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棕制品项目可行性建设方案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7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_Toc3372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2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_Toc10225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_Toc26248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_Toc27370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二、棕制品项目概论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_Toc3013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_Toc13378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50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_Toc9150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_Toc23407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_Toc2155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_Toc25520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6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_Toc14348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5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_Toc10665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_Toc27147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_Toc7223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_Toc1431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_Toc21233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_Toc25755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26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_Toc17326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_Toc3224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_Toc12694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_Toc29481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_Toc16566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_Toc28811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4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_Toc26249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_Toc29977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5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_Toc22845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_Toc6407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_Toc502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7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_Toc19087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05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_Toc14705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_Toc9067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6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_Toc11476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_Toc2992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6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_Toc30669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_Toc15699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_Toc32259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14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_Toc4914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2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_Toc18432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8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_Toc11978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_Toc16380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52" w:history="1">
        <w:r>
          <w:rPr>
            <w:rFonts w:ascii="仿宋" w:eastAsia="仿宋" w:hAnsi="仿宋" w:cs="仿宋" w:hint="eastAsia"/>
            <w:lang w:eastAsia="zh-CN"/>
          </w:rPr>
          <w:t>十八、创新驱动与持续发展</w:t>
        </w:r>
        <w:r>
          <w:tab/>
        </w:r>
        <w:r>
          <w:fldChar w:fldCharType="begin"/>
        </w:r>
        <w:r>
          <w:instrText xml:space="preserve"> PAGEREF _Toc24352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7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22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4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棕制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5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棕制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棕制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棕制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1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37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在棕制品项目启动前，将进行一系列深入的地质调查，包括钻探和土壤取样，以深入了解项目区域的地层结构和土壤组成。特别是对于土壤的承载能力和地下水位的深度进行详细评估。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棕制品项目还将考虑建设排水系统，以减少地表水对土壤稳定性的影响。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完成初始的地质风险评估后，棕制品项目将安装长期地质监测设备，如倾斜仪、裂缝计和地下水位计，以持续监测地质条件的变化。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148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295"/>
      <w:r>
        <w:rPr>
          <w:rFonts w:ascii="仿宋" w:eastAsia="仿宋" w:hAnsi="仿宋" w:cs="仿宋" w:hint="eastAsia"/>
          <w:sz w:val="28"/>
          <w:lang w:eastAsia="zh-CN"/>
        </w:rPr>
        <w:t>二、棕制品项目概论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13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棕制品项目的申报单位是“XXX实业发展公司”，这是一家在其所处行业内备受尊敬的企业。公司自成立以来，通过其在棕制品项目中表现出的创新精神和卓越执行力，在市场上赢得了显著的地位。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该公司的法定代表人秦XX，在棕制品项目及其他多个行业领域中都有着显著的贡献。秦XX以其出色的领导才能和敏锐的商业洞察力，带领公司在棕制品项目等多个领域实现了持续的成长和成功。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棕制品项目的重要合作伙伴。公司专注于[行业名称]领域，以创新作为驱动力，不断推动技术进步和市场扩张。在棕制品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棕制品项目中展现了强劲的增长和稳定的财务表现。公司通过有效的策略，在棕制品项目中扩大了其市场份额并增强了盈利能力。同时，公司积极承担社会责任，参与各类社会公益项目，增强了其在棕制品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37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https://d.book118.com/387110136133006030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棕制品项目可行性建设方案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07302D"/>
    <w:rsid w:val="2C0730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87110136133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2023-12-20T00:38:00Z</dcterms:created>
  <dcterms:modified xsi:type="dcterms:W3CDTF">2023-12-20T00:39:11Z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A3DFC171AF604D919AFB0CA517305066_11</vt:lpwstr>
  </property>
  <property fmtid="{D5CDD505-2E9C-101B-9397-08002B2CF9AE}" pid="3" name="KSOProductBuildVer">
    <vt:lpwstr>2052-12.1.0.16120</vt:lpwstr>
  </property>
</Properties>
</file>