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1"/>
        </w:rPr>
      </w:pPr>
    </w:p>
    <w:p>
      <w:pPr>
        <w:pStyle w:val="Title"/>
        <w:rPr>
          <w:rFonts w:ascii="宋体" w:eastAsia="宋体" w:hint="eastAsia"/>
        </w:rPr>
      </w:pPr>
      <w:r>
        <w:rPr>
          <w:rFonts w:ascii="宋体" w:eastAsia="宋体" w:hint="eastAsia"/>
        </w:rPr>
        <w:t>北京交通大学校园</w:t>
      </w:r>
    </w:p>
    <w:p>
      <w:pPr>
        <w:pStyle w:val="Title"/>
        <w:spacing w:line="1278" w:lineRule="exact"/>
      </w:pPr>
      <w:r>
        <w:t>环境空气质量监测方案</w:t>
      </w:r>
    </w:p>
    <w:p>
      <w:pPr>
        <w:pStyle w:val="BodyText"/>
        <w:rPr>
          <w:sz w:val="94"/>
        </w:rPr>
      </w:pPr>
    </w:p>
    <w:p>
      <w:pPr>
        <w:pStyle w:val="BodyText"/>
        <w:spacing w:before="7"/>
        <w:rPr>
          <w:sz w:val="126"/>
        </w:rPr>
      </w:pPr>
    </w:p>
    <w:p>
      <w:pPr>
        <w:spacing w:before="0" w:line="254" w:lineRule="auto"/>
        <w:ind w:left="10467" w:right="3696" w:firstLine="21"/>
        <w:jc w:val="left"/>
        <w:rPr>
          <w:sz w:val="48"/>
        </w:rPr>
      </w:pPr>
      <w:r>
        <w:rPr>
          <w:sz w:val="48"/>
        </w:rPr>
        <w:t>学院：土建学院班级：环境 0702 姓名：郭雪</w:t>
      </w:r>
    </w:p>
    <w:p>
      <w:pPr>
        <w:spacing w:before="0" w:line="880" w:lineRule="exact"/>
        <w:ind w:left="10442" w:right="0" w:firstLine="0"/>
        <w:jc w:val="left"/>
        <w:rPr>
          <w:sz w:val="48"/>
        </w:rPr>
      </w:pPr>
      <w:r>
        <w:rPr>
          <w:sz w:val="48"/>
        </w:rPr>
        <w:t>学号：07233034</w:t>
      </w:r>
    </w:p>
    <w:p>
      <w:pPr>
        <w:spacing w:after="0" w:line="880" w:lineRule="exact"/>
        <w:jc w:val="left"/>
        <w:rPr>
          <w:sz w:val="48"/>
        </w:rPr>
        <w:sectPr>
          <w:headerReference w:type="default" r:id="rId4"/>
          <w:footerReference w:type="default" r:id="rId5"/>
          <w:type w:val="continuous"/>
          <w:pgSz w:w="17860" w:h="25260"/>
          <w:pgMar w:top="1780" w:right="0" w:bottom="1780" w:left="0" w:header="1121" w:footer="1591"/>
          <w:cols w:space="708"/>
        </w:sectPr>
      </w:pPr>
    </w:p>
    <w:p>
      <w:pPr>
        <w:pStyle w:val="Heading1"/>
        <w:tabs>
          <w:tab w:val="left" w:pos="636"/>
        </w:tabs>
        <w:spacing w:line="773" w:lineRule="exact"/>
        <w:ind w:left="3" w:firstLine="0"/>
        <w:jc w:val="center"/>
      </w:pPr>
      <w:r>
        <w:t>目</w:t>
        <w:tab/>
        <w:t>录</w:t>
      </w:r>
    </w:p>
    <w:p>
      <w:pPr>
        <w:spacing w:after="0" w:line="773" w:lineRule="exact"/>
        <w:jc w:val="center"/>
        <w:sectPr>
          <w:headerReference w:type="default" r:id="rId6"/>
          <w:footerReference w:type="default" r:id="rId7"/>
          <w:pgSz w:w="17860" w:h="25260"/>
          <w:pgMar w:top="1780" w:right="0" w:bottom="0" w:left="0" w:header="1121" w:footer="1591"/>
          <w:pgNumType w:start="2"/>
          <w:cols w:space="708"/>
        </w:sectPr>
      </w:pPr>
    </w:p>
    <w:sdt>
      <w:sdtPr>
        <w:id w:val="1065004109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11"/>
            </w:numPr>
            <w:tabs>
              <w:tab w:val="left" w:pos="3179"/>
              <w:tab w:val="left" w:pos="3180"/>
              <w:tab w:val="right" w:leader="dot" w:pos="15155"/>
            </w:tabs>
            <w:spacing w:before="630" w:after="0" w:line="240" w:lineRule="auto"/>
            <w:ind w:left="3179" w:right="0" w:hanging="472"/>
            <w:jc w:val="left"/>
          </w:pPr>
          <w:hyperlink w:anchor="_TOC_250012" w:history="1">
            <w:r>
              <w:t>引言</w:t>
              <w:tab/>
              <w:t>3</w:t>
            </w:r>
          </w:hyperlink>
        </w:p>
        <w:p>
          <w:pPr>
            <w:pStyle w:val="TOC1"/>
            <w:numPr>
              <w:ilvl w:val="0"/>
              <w:numId w:val="11"/>
            </w:numPr>
            <w:tabs>
              <w:tab w:val="left" w:pos="3179"/>
              <w:tab w:val="left" w:pos="3180"/>
              <w:tab w:val="right" w:leader="dot" w:pos="15155"/>
            </w:tabs>
            <w:spacing w:before="161" w:after="0" w:line="240" w:lineRule="auto"/>
            <w:ind w:left="3179" w:right="0" w:hanging="472"/>
            <w:jc w:val="left"/>
          </w:pPr>
          <w:hyperlink w:anchor="_TOC_250011" w:history="1">
            <w:r>
              <w:t>监测目的</w:t>
              <w:tab/>
              <w:t>1</w:t>
            </w:r>
          </w:hyperlink>
        </w:p>
        <w:p>
          <w:pPr>
            <w:pStyle w:val="TOC1"/>
            <w:numPr>
              <w:ilvl w:val="0"/>
              <w:numId w:val="11"/>
            </w:numPr>
            <w:tabs>
              <w:tab w:val="left" w:pos="3179"/>
              <w:tab w:val="left" w:pos="3180"/>
              <w:tab w:val="right" w:leader="dot" w:pos="15155"/>
            </w:tabs>
            <w:spacing w:before="162" w:after="0" w:line="240" w:lineRule="auto"/>
            <w:ind w:left="3179" w:right="0" w:hanging="472"/>
            <w:jc w:val="left"/>
          </w:pPr>
          <w:hyperlink w:anchor="_TOC_250010" w:history="1">
            <w:r>
              <w:t>方案设计思路</w:t>
              <w:tab/>
              <w:t>2</w:t>
            </w:r>
          </w:hyperlink>
        </w:p>
        <w:p>
          <w:pPr>
            <w:pStyle w:val="TOC1"/>
            <w:numPr>
              <w:ilvl w:val="0"/>
              <w:numId w:val="11"/>
            </w:numPr>
            <w:tabs>
              <w:tab w:val="left" w:pos="3179"/>
              <w:tab w:val="left" w:pos="3180"/>
              <w:tab w:val="right" w:leader="dot" w:pos="15155"/>
            </w:tabs>
            <w:spacing w:before="162" w:after="0" w:line="240" w:lineRule="auto"/>
            <w:ind w:left="3179" w:right="0" w:hanging="472"/>
            <w:jc w:val="left"/>
          </w:pPr>
          <w:hyperlink w:anchor="_TOC_250009" w:history="1">
            <w:r>
              <w:t>方案调研</w:t>
              <w:tab/>
              <w:t>2</w:t>
            </w:r>
          </w:hyperlink>
        </w:p>
        <w:p>
          <w:pPr>
            <w:pStyle w:val="TOC3"/>
            <w:numPr>
              <w:ilvl w:val="1"/>
              <w:numId w:val="11"/>
            </w:numPr>
            <w:tabs>
              <w:tab w:val="left" w:pos="4062"/>
              <w:tab w:val="right" w:leader="dot" w:pos="15150"/>
            </w:tabs>
            <w:spacing w:before="281" w:after="0" w:line="240" w:lineRule="auto"/>
            <w:ind w:left="4061" w:right="0" w:hanging="732"/>
            <w:jc w:val="left"/>
            <w:rPr>
              <w:b w:val="0"/>
            </w:rPr>
          </w:pPr>
          <w:hyperlink w:anchor="_TOC_250008" w:history="1">
            <w:r>
              <w:t>背景调研</w:t>
              <w:tab/>
            </w:r>
            <w:r>
              <w:rPr>
                <w:b w:val="0"/>
              </w:rPr>
              <w:t>6</w:t>
            </w:r>
          </w:hyperlink>
        </w:p>
        <w:p>
          <w:pPr>
            <w:pStyle w:val="TOC5"/>
            <w:numPr>
              <w:ilvl w:val="2"/>
              <w:numId w:val="11"/>
            </w:numPr>
            <w:tabs>
              <w:tab w:val="left" w:pos="4951"/>
              <w:tab w:val="right" w:leader="dot" w:pos="15197"/>
            </w:tabs>
            <w:spacing w:before="273" w:after="0" w:line="240" w:lineRule="auto"/>
            <w:ind w:left="4950" w:right="0" w:hanging="991"/>
            <w:jc w:val="left"/>
          </w:pPr>
          <w:r>
            <w:t>总体地理位置</w:t>
            <w:tab/>
            <w:t>6</w:t>
          </w:r>
        </w:p>
        <w:p>
          <w:pPr>
            <w:pStyle w:val="TOC5"/>
            <w:numPr>
              <w:ilvl w:val="2"/>
              <w:numId w:val="11"/>
            </w:numPr>
            <w:tabs>
              <w:tab w:val="left" w:pos="4951"/>
              <w:tab w:val="right" w:leader="dot" w:pos="15197"/>
            </w:tabs>
            <w:spacing w:before="272" w:after="0" w:line="240" w:lineRule="auto"/>
            <w:ind w:left="4950" w:right="0" w:hanging="991"/>
            <w:jc w:val="left"/>
          </w:pPr>
          <w:r>
            <w:t>总体污染状况</w:t>
            <w:tab/>
            <w:t>7</w:t>
          </w:r>
        </w:p>
        <w:p>
          <w:pPr>
            <w:pStyle w:val="TOC5"/>
            <w:numPr>
              <w:ilvl w:val="2"/>
              <w:numId w:val="11"/>
            </w:numPr>
            <w:tabs>
              <w:tab w:val="left" w:pos="4951"/>
              <w:tab w:val="right" w:leader="dot" w:pos="15154"/>
            </w:tabs>
            <w:spacing w:before="273" w:after="0" w:line="240" w:lineRule="auto"/>
            <w:ind w:left="4950" w:right="0" w:hanging="991"/>
            <w:jc w:val="left"/>
          </w:pPr>
          <w:r>
            <w:t>气象资料</w:t>
            <w:tab/>
            <w:t>7</w:t>
          </w:r>
        </w:p>
        <w:p>
          <w:pPr>
            <w:pStyle w:val="TOC5"/>
            <w:numPr>
              <w:ilvl w:val="2"/>
              <w:numId w:val="11"/>
            </w:numPr>
            <w:tabs>
              <w:tab w:val="left" w:pos="4951"/>
              <w:tab w:val="right" w:leader="dot" w:pos="15160"/>
            </w:tabs>
            <w:spacing w:before="272" w:after="0" w:line="240" w:lineRule="auto"/>
            <w:ind w:left="4950" w:right="0" w:hanging="991"/>
            <w:jc w:val="left"/>
          </w:pPr>
          <w:r>
            <w:t>污染源分布及排放情况</w:t>
            <w:tab/>
            <w:t>8</w:t>
          </w:r>
        </w:p>
        <w:p>
          <w:pPr>
            <w:pStyle w:val="TOC4"/>
            <w:numPr>
              <w:ilvl w:val="1"/>
              <w:numId w:val="11"/>
            </w:numPr>
            <w:tabs>
              <w:tab w:val="left" w:pos="4062"/>
              <w:tab w:val="right" w:leader="dot" w:pos="15150"/>
            </w:tabs>
            <w:spacing w:before="273" w:after="0" w:line="240" w:lineRule="auto"/>
            <w:ind w:left="4061" w:right="0" w:hanging="732"/>
            <w:jc w:val="left"/>
            <w:rPr>
              <w:b w:val="0"/>
              <w:i w:val="0"/>
              <w:sz w:val="36"/>
            </w:rPr>
          </w:pPr>
          <w:hyperlink w:anchor="_TOC_250007" w:history="1">
            <w:r>
              <w:rPr>
                <w:i w:val="0"/>
                <w:sz w:val="36"/>
              </w:rPr>
              <w:t>现场调研</w:t>
              <w:tab/>
            </w:r>
            <w:r>
              <w:rPr>
                <w:b w:val="0"/>
                <w:i w:val="0"/>
                <w:sz w:val="36"/>
              </w:rPr>
              <w:t>11</w:t>
            </w:r>
          </w:hyperlink>
        </w:p>
        <w:p>
          <w:pPr>
            <w:pStyle w:val="TOC4"/>
            <w:numPr>
              <w:ilvl w:val="1"/>
              <w:numId w:val="11"/>
            </w:numPr>
            <w:tabs>
              <w:tab w:val="left" w:pos="4062"/>
              <w:tab w:val="right" w:leader="dot" w:pos="15150"/>
            </w:tabs>
            <w:spacing w:before="273" w:after="0" w:line="240" w:lineRule="auto"/>
            <w:ind w:left="4061" w:right="0" w:hanging="732"/>
            <w:jc w:val="left"/>
            <w:rPr>
              <w:b w:val="0"/>
              <w:i w:val="0"/>
              <w:sz w:val="36"/>
            </w:rPr>
          </w:pPr>
          <w:r>
            <w:rPr>
              <w:i w:val="0"/>
              <w:sz w:val="36"/>
            </w:rPr>
            <w:t>检测方法调研</w:t>
            <w:tab/>
          </w:r>
          <w:r>
            <w:rPr>
              <w:b w:val="0"/>
              <w:i w:val="0"/>
              <w:sz w:val="36"/>
            </w:rPr>
            <w:t>12</w:t>
          </w:r>
        </w:p>
        <w:p>
          <w:pPr>
            <w:pStyle w:val="TOC2"/>
            <w:numPr>
              <w:ilvl w:val="0"/>
              <w:numId w:val="11"/>
            </w:numPr>
            <w:tabs>
              <w:tab w:val="left" w:pos="3179"/>
              <w:tab w:val="left" w:pos="3180"/>
              <w:tab w:val="right" w:leader="dot" w:pos="14977"/>
            </w:tabs>
            <w:spacing w:before="153" w:after="0" w:line="240" w:lineRule="auto"/>
            <w:ind w:left="3179" w:right="0" w:hanging="472"/>
            <w:jc w:val="left"/>
            <w:rPr>
              <w:i w:val="0"/>
              <w:sz w:val="36"/>
            </w:rPr>
          </w:pPr>
          <w:hyperlink w:anchor="_TOC_250006" w:history="1">
            <w:r>
              <w:rPr>
                <w:i w:val="0"/>
                <w:sz w:val="42"/>
              </w:rPr>
              <w:t>监测特点</w:t>
              <w:tab/>
            </w:r>
            <w:r>
              <w:rPr>
                <w:i w:val="0"/>
                <w:position w:val="-5"/>
                <w:sz w:val="36"/>
              </w:rPr>
              <w:t>14</w:t>
            </w:r>
          </w:hyperlink>
        </w:p>
        <w:p>
          <w:pPr>
            <w:pStyle w:val="TOC2"/>
            <w:numPr>
              <w:ilvl w:val="0"/>
              <w:numId w:val="11"/>
            </w:numPr>
            <w:tabs>
              <w:tab w:val="left" w:pos="3179"/>
              <w:tab w:val="left" w:pos="3180"/>
              <w:tab w:val="right" w:leader="dot" w:pos="14977"/>
            </w:tabs>
            <w:spacing w:before="133" w:after="0" w:line="240" w:lineRule="auto"/>
            <w:ind w:left="3179" w:right="0" w:hanging="472"/>
            <w:jc w:val="left"/>
            <w:rPr>
              <w:i w:val="0"/>
              <w:sz w:val="36"/>
            </w:rPr>
          </w:pPr>
          <w:hyperlink w:anchor="_TOC_250005" w:history="1">
            <w:r>
              <w:rPr>
                <w:i w:val="0"/>
                <w:sz w:val="42"/>
              </w:rPr>
              <w:t>监测方案</w:t>
              <w:tab/>
            </w:r>
            <w:r>
              <w:rPr>
                <w:i w:val="0"/>
                <w:position w:val="-5"/>
                <w:sz w:val="36"/>
              </w:rPr>
              <w:t>15</w:t>
            </w:r>
          </w:hyperlink>
        </w:p>
        <w:p>
          <w:pPr>
            <w:pStyle w:val="TOC4"/>
            <w:numPr>
              <w:ilvl w:val="1"/>
              <w:numId w:val="11"/>
            </w:numPr>
            <w:tabs>
              <w:tab w:val="left" w:pos="4062"/>
              <w:tab w:val="right" w:leader="dot" w:pos="15150"/>
            </w:tabs>
            <w:spacing w:before="252" w:after="0" w:line="240" w:lineRule="auto"/>
            <w:ind w:left="4061" w:right="0" w:hanging="732"/>
            <w:jc w:val="left"/>
            <w:rPr>
              <w:b w:val="0"/>
              <w:i w:val="0"/>
              <w:sz w:val="36"/>
            </w:rPr>
          </w:pPr>
          <w:hyperlink w:anchor="_TOC_250004" w:history="1">
            <w:r>
              <w:rPr>
                <w:i w:val="0"/>
                <w:sz w:val="36"/>
              </w:rPr>
              <w:t>方案概述</w:t>
              <w:tab/>
            </w:r>
            <w:r>
              <w:rPr>
                <w:b w:val="0"/>
                <w:i w:val="0"/>
                <w:sz w:val="36"/>
              </w:rPr>
              <w:t>15</w:t>
            </w:r>
          </w:hyperlink>
        </w:p>
        <w:p>
          <w:pPr>
            <w:pStyle w:val="TOC4"/>
            <w:numPr>
              <w:ilvl w:val="1"/>
              <w:numId w:val="11"/>
            </w:numPr>
            <w:tabs>
              <w:tab w:val="left" w:pos="4062"/>
              <w:tab w:val="right" w:leader="dot" w:pos="15150"/>
            </w:tabs>
            <w:spacing w:before="273" w:after="0" w:line="240" w:lineRule="auto"/>
            <w:ind w:left="4061" w:right="0" w:hanging="732"/>
            <w:jc w:val="left"/>
            <w:rPr>
              <w:b w:val="0"/>
              <w:i w:val="0"/>
              <w:sz w:val="36"/>
            </w:rPr>
          </w:pPr>
          <w:r>
            <w:rPr>
              <w:i w:val="0"/>
              <w:sz w:val="36"/>
            </w:rPr>
            <w:t>检测内容</w:t>
            <w:tab/>
          </w:r>
          <w:r>
            <w:rPr>
              <w:b w:val="0"/>
              <w:i w:val="0"/>
              <w:sz w:val="36"/>
            </w:rPr>
            <w:t>17</w:t>
          </w:r>
        </w:p>
        <w:p>
          <w:pPr>
            <w:pStyle w:val="TOC4"/>
            <w:numPr>
              <w:ilvl w:val="1"/>
              <w:numId w:val="11"/>
            </w:numPr>
            <w:tabs>
              <w:tab w:val="left" w:pos="4062"/>
              <w:tab w:val="right" w:leader="dot" w:pos="15150"/>
            </w:tabs>
            <w:spacing w:before="272" w:after="0" w:line="240" w:lineRule="auto"/>
            <w:ind w:left="4061" w:right="0" w:hanging="732"/>
            <w:jc w:val="left"/>
            <w:rPr>
              <w:b w:val="0"/>
              <w:i w:val="0"/>
              <w:sz w:val="36"/>
            </w:rPr>
          </w:pPr>
          <w:hyperlink w:anchor="_TOC_250003" w:history="1">
            <w:r>
              <w:rPr>
                <w:i w:val="0"/>
                <w:sz w:val="36"/>
              </w:rPr>
              <w:t>布点方案</w:t>
              <w:tab/>
            </w:r>
            <w:r>
              <w:rPr>
                <w:b w:val="0"/>
                <w:i w:val="0"/>
                <w:sz w:val="36"/>
              </w:rPr>
              <w:t>17</w:t>
            </w:r>
          </w:hyperlink>
        </w:p>
        <w:p>
          <w:pPr>
            <w:pStyle w:val="TOC4"/>
            <w:numPr>
              <w:ilvl w:val="1"/>
              <w:numId w:val="11"/>
            </w:numPr>
            <w:tabs>
              <w:tab w:val="left" w:pos="4062"/>
              <w:tab w:val="right" w:leader="dot" w:pos="15150"/>
            </w:tabs>
            <w:spacing w:before="274" w:after="0" w:line="240" w:lineRule="auto"/>
            <w:ind w:left="4061" w:right="0" w:hanging="732"/>
            <w:jc w:val="left"/>
            <w:rPr>
              <w:b w:val="0"/>
              <w:i w:val="0"/>
              <w:sz w:val="36"/>
            </w:rPr>
          </w:pPr>
          <w:r>
            <w:rPr>
              <w:i w:val="0"/>
              <w:sz w:val="36"/>
            </w:rPr>
            <w:t>检测方法</w:t>
            <w:tab/>
          </w:r>
          <w:r>
            <w:rPr>
              <w:b w:val="0"/>
              <w:i w:val="0"/>
              <w:sz w:val="36"/>
            </w:rPr>
            <w:t>18</w:t>
          </w:r>
        </w:p>
        <w:p>
          <w:pPr>
            <w:pStyle w:val="TOC5"/>
            <w:numPr>
              <w:ilvl w:val="2"/>
              <w:numId w:val="11"/>
            </w:numPr>
            <w:tabs>
              <w:tab w:val="left" w:pos="4872"/>
              <w:tab w:val="right" w:leader="dot" w:pos="15150"/>
            </w:tabs>
            <w:spacing w:before="272" w:after="0" w:line="240" w:lineRule="auto"/>
            <w:ind w:left="4871" w:right="0" w:hanging="912"/>
            <w:jc w:val="left"/>
          </w:pPr>
          <w:r>
            <w:t>TSP</w:t>
          </w:r>
          <w:r>
            <w:rPr>
              <w:spacing w:val="79"/>
            </w:rPr>
            <w:t xml:space="preserve"> </w:t>
          </w:r>
          <w:r>
            <w:t>的测定：</w:t>
            <w:tab/>
            <w:t>18</w:t>
          </w:r>
        </w:p>
        <w:p>
          <w:pPr>
            <w:pStyle w:val="TOC5"/>
            <w:numPr>
              <w:ilvl w:val="2"/>
              <w:numId w:val="11"/>
            </w:numPr>
            <w:tabs>
              <w:tab w:val="left" w:pos="4872"/>
              <w:tab w:val="right" w:leader="dot" w:pos="15150"/>
            </w:tabs>
            <w:spacing w:before="273" w:after="0" w:line="240" w:lineRule="auto"/>
            <w:ind w:left="4871" w:right="0" w:hanging="912"/>
            <w:jc w:val="left"/>
          </w:pPr>
          <w:r>
            <w:t>PM10</w:t>
          </w:r>
          <w:r>
            <w:rPr>
              <w:spacing w:val="-27"/>
            </w:rPr>
            <w:t xml:space="preserve"> </w:t>
          </w:r>
          <w:r>
            <w:t>的 测定</w:t>
            <w:tab/>
            <w:t>21</w:t>
          </w:r>
        </w:p>
        <w:p>
          <w:pPr>
            <w:pStyle w:val="TOC5"/>
            <w:numPr>
              <w:ilvl w:val="2"/>
              <w:numId w:val="11"/>
            </w:numPr>
            <w:tabs>
              <w:tab w:val="left" w:pos="4951"/>
              <w:tab w:val="right" w:leader="dot" w:pos="15150"/>
            </w:tabs>
            <w:spacing w:before="272" w:after="0" w:line="240" w:lineRule="auto"/>
            <w:ind w:left="4950" w:right="0" w:hanging="991"/>
            <w:jc w:val="left"/>
          </w:pPr>
          <w:r>
            <w:t>测量空气流速、湿度的测定。</w:t>
            <w:tab/>
            <w:t>22</w:t>
          </w:r>
        </w:p>
        <w:p>
          <w:pPr>
            <w:pStyle w:val="TOC3"/>
            <w:numPr>
              <w:ilvl w:val="1"/>
              <w:numId w:val="11"/>
            </w:numPr>
            <w:tabs>
              <w:tab w:val="left" w:pos="4062"/>
              <w:tab w:val="right" w:leader="dot" w:pos="15150"/>
            </w:tabs>
            <w:spacing w:before="272" w:after="240" w:line="240" w:lineRule="auto"/>
            <w:ind w:left="4061" w:right="0" w:hanging="732"/>
            <w:jc w:val="left"/>
            <w:rPr>
              <w:b w:val="0"/>
            </w:rPr>
          </w:pPr>
          <w:r>
            <w:t>数据表格（略）</w:t>
            <w:tab/>
          </w:r>
          <w:r>
            <w:rPr>
              <w:b w:val="0"/>
            </w:rPr>
            <w:t>22</w:t>
          </w:r>
        </w:p>
        <w:p>
          <w:pPr>
            <w:pStyle w:val="TOC4"/>
            <w:numPr>
              <w:ilvl w:val="1"/>
              <w:numId w:val="11"/>
            </w:numPr>
            <w:tabs>
              <w:tab w:val="left" w:pos="4062"/>
              <w:tab w:val="right" w:leader="dot" w:pos="15150"/>
            </w:tabs>
            <w:spacing w:before="117" w:after="0" w:line="240" w:lineRule="auto"/>
            <w:ind w:left="4061" w:right="0" w:hanging="732"/>
            <w:jc w:val="left"/>
            <w:rPr>
              <w:b w:val="0"/>
              <w:i w:val="0"/>
              <w:sz w:val="36"/>
            </w:rPr>
          </w:pPr>
          <w:r>
            <w:rPr>
              <w:i w:val="0"/>
              <w:sz w:val="36"/>
            </w:rPr>
            <w:t>结果预计</w:t>
            <w:tab/>
          </w:r>
          <w:r>
            <w:rPr>
              <w:b w:val="0"/>
              <w:i w:val="0"/>
              <w:sz w:val="36"/>
            </w:rPr>
            <w:t>23</w:t>
          </w:r>
        </w:p>
        <w:p>
          <w:pPr>
            <w:pStyle w:val="TOC5"/>
            <w:numPr>
              <w:ilvl w:val="2"/>
              <w:numId w:val="11"/>
            </w:numPr>
            <w:tabs>
              <w:tab w:val="left" w:pos="5016"/>
              <w:tab w:val="right" w:leader="dot" w:pos="15150"/>
            </w:tabs>
            <w:spacing w:before="272" w:after="0" w:line="240" w:lineRule="auto"/>
            <w:ind w:left="5015" w:right="0" w:hanging="1056"/>
            <w:jc w:val="left"/>
            <w:sectPr>
              <w:headerReference w:type="default" r:id="rId8"/>
              <w:footerReference w:type="default" r:id="rId9"/>
              <w:type w:val="continuous"/>
              <w:pgSz w:w="17860" w:h="25260"/>
              <w:pgMar w:top="1802" w:right="0" w:bottom="0" w:left="0" w:header="708" w:footer="708"/>
              <w:pgNumType w:start="3"/>
              <w:cols w:space="708"/>
            </w:sectPr>
          </w:pPr>
          <w:r>
            <w:t>预测分析</w:t>
            <w:tab/>
            <w:t>23</w:t>
          </w:r>
        </w:p>
      </w:sdtContent>
    </w:sdt>
    <w:sdt>
      <w:sdtPr>
        <w:id w:val="1762126773"/>
        <w:docPartObj>
          <w:docPartGallery w:val="Table of Contents"/>
          <w:docPartUnique/>
        </w:docPartObj>
      </w:sdtPr>
      <w:sdtContent>
        <w:p>
          <w:pPr>
            <w:pStyle w:val="TOC5"/>
            <w:tabs>
              <w:tab w:val="left" w:leader="dot" w:pos="14726"/>
            </w:tabs>
            <w:spacing w:before="273"/>
            <w:ind w:left="3960" w:firstLine="0"/>
          </w:pPr>
          <w:r>
            <w:t>6.6.2</w:t>
          </w:r>
          <w:r>
            <w:rPr>
              <w:spacing w:val="75"/>
            </w:rPr>
            <w:t xml:space="preserve"> </w:t>
          </w:r>
          <w:r>
            <w:t>预想</w:t>
            <w:tab/>
            <w:t>18</w:t>
          </w:r>
        </w:p>
        <w:p>
          <w:pPr>
            <w:pStyle w:val="TOC1"/>
            <w:numPr>
              <w:ilvl w:val="0"/>
              <w:numId w:val="11"/>
            </w:numPr>
            <w:tabs>
              <w:tab w:val="left" w:pos="3179"/>
              <w:tab w:val="left" w:pos="3180"/>
              <w:tab w:val="right" w:leader="dot" w:pos="15155"/>
            </w:tabs>
            <w:spacing w:before="154" w:after="0" w:line="240" w:lineRule="auto"/>
            <w:ind w:left="3179" w:right="0" w:hanging="472"/>
            <w:jc w:val="left"/>
          </w:pPr>
          <w:hyperlink w:anchor="_TOC_250002" w:history="1">
            <w:r>
              <w:t>方案实施计划</w:t>
              <w:tab/>
              <w:t>24</w:t>
            </w:r>
          </w:hyperlink>
        </w:p>
        <w:p>
          <w:pPr>
            <w:pStyle w:val="TOC4"/>
            <w:numPr>
              <w:ilvl w:val="1"/>
              <w:numId w:val="11"/>
            </w:numPr>
            <w:tabs>
              <w:tab w:val="left" w:pos="4062"/>
              <w:tab w:val="right" w:leader="dot" w:pos="15150"/>
            </w:tabs>
            <w:spacing w:before="280" w:after="0" w:line="240" w:lineRule="auto"/>
            <w:ind w:left="4061" w:right="0" w:hanging="732"/>
            <w:jc w:val="left"/>
            <w:rPr>
              <w:b w:val="0"/>
              <w:i w:val="0"/>
              <w:color w:val="126CC1"/>
              <w:sz w:val="36"/>
            </w:rPr>
          </w:pPr>
          <w:r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2108200</wp:posOffset>
                </wp:positionH>
                <wp:positionV relativeFrom="paragraph">
                  <wp:posOffset>571079</wp:posOffset>
                </wp:positionV>
                <wp:extent cx="1397000" cy="38100"/>
                <wp:effectExtent l="0" t="0" r="0" b="0"/>
                <wp:wrapNone/>
                <wp:docPr id="1" name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.png"/>
                        <pic:cNvPicPr/>
                      </pic:nvPicPr>
                      <pic:blipFill>
                        <a:blip xmlns:r="http://schemas.openxmlformats.org/officeDocument/2006/relationships"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TOC_250001" w:history="1">
            <w:r>
              <w:rPr>
                <w:i w:val="0"/>
                <w:color w:val="126CC1"/>
                <w:sz w:val="36"/>
              </w:rPr>
              <w:t>仪器列表</w:t>
              <w:tab/>
            </w:r>
            <w:r>
              <w:rPr>
                <w:b w:val="0"/>
                <w:i w:val="0"/>
                <w:sz w:val="36"/>
              </w:rPr>
              <w:t>24</w:t>
            </w:r>
          </w:hyperlink>
        </w:p>
        <w:p>
          <w:pPr>
            <w:pStyle w:val="TOC4"/>
            <w:numPr>
              <w:ilvl w:val="1"/>
              <w:numId w:val="11"/>
            </w:numPr>
            <w:tabs>
              <w:tab w:val="left" w:pos="4062"/>
              <w:tab w:val="right" w:leader="dot" w:pos="15150"/>
            </w:tabs>
            <w:spacing w:before="273" w:after="0" w:line="240" w:lineRule="auto"/>
            <w:ind w:left="4061" w:right="0" w:hanging="732"/>
            <w:jc w:val="left"/>
            <w:rPr>
              <w:b w:val="0"/>
              <w:i w:val="0"/>
              <w:color w:val="126CC1"/>
              <w:sz w:val="36"/>
            </w:rPr>
          </w:pPr>
          <w:hyperlink w:anchor="_TOC_250000" w:history="1">
            <w:r>
              <w:rPr>
                <w:i w:val="0"/>
                <w:color w:val="126CC1"/>
                <w:sz w:val="36"/>
              </w:rPr>
              <w:t>时间安排</w:t>
              <w:tab/>
            </w:r>
            <w:r>
              <w:rPr>
                <w:b w:val="0"/>
                <w:i w:val="0"/>
                <w:sz w:val="36"/>
              </w:rPr>
              <w:t>25</w:t>
            </w:r>
          </w:hyperlink>
        </w:p>
      </w:sdtContent>
    </w:sdt>
    <w:p>
      <w:pPr>
        <w:spacing w:after="0" w:line="240" w:lineRule="auto"/>
        <w:jc w:val="left"/>
        <w:rPr>
          <w:sz w:val="36"/>
        </w:rPr>
        <w:sectPr>
          <w:headerReference w:type="default" r:id="rId11"/>
          <w:footerReference w:type="default" r:id="rId12"/>
          <w:type w:val="nextPage"/>
          <w:pgSz w:w="17860" w:h="25260"/>
          <w:pgMar w:top="1802" w:right="0" w:bottom="0" w:left="0" w:header="708" w:footer="708"/>
          <w:pgNumType w:start="4"/>
          <w:cols w:space="708"/>
          <w:titlePg w:val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191719</wp:posOffset>
            </wp:positionV>
            <wp:extent cx="1270" cy="1270"/>
            <wp:effectExtent l="0" t="0" r="0" b="0"/>
            <wp:wrapTopAndBottom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4"/>
        </w:rPr>
        <w:sectPr>
          <w:headerReference w:type="default" r:id="rId13"/>
          <w:footerReference w:type="default" r:id="rId14"/>
          <w:type w:val="continuous"/>
          <w:pgSz w:w="17860" w:h="25260"/>
          <w:pgMar w:top="1780" w:right="0" w:bottom="1780" w:left="0" w:header="708" w:footer="708"/>
          <w:pgNumType w:start="5"/>
          <w:cols w:space="708"/>
        </w:sectPr>
      </w:pPr>
    </w:p>
    <w:p>
      <w:pPr>
        <w:pStyle w:val="Heading1"/>
        <w:numPr>
          <w:ilvl w:val="0"/>
          <w:numId w:val="10"/>
        </w:numPr>
        <w:tabs>
          <w:tab w:val="left" w:pos="3172"/>
          <w:tab w:val="left" w:pos="3173"/>
        </w:tabs>
        <w:spacing w:before="0" w:after="0" w:line="773" w:lineRule="exact"/>
        <w:ind w:left="3172" w:right="0" w:hanging="473"/>
        <w:jc w:val="left"/>
      </w:pPr>
      <w:bookmarkStart w:id="0" w:name="_TOC_250012"/>
      <w:bookmarkEnd w:id="0"/>
      <w:r>
        <w:t>引言</w:t>
      </w:r>
    </w:p>
    <w:p>
      <w:pPr>
        <w:pStyle w:val="BodyText"/>
        <w:spacing w:before="162" w:line="290" w:lineRule="auto"/>
        <w:ind w:left="2700" w:right="2520" w:firstLine="838"/>
      </w:pPr>
      <w:r>
        <w:rPr>
          <w:spacing w:val="-8"/>
        </w:rPr>
        <w:t>北京交通大学作为教育部直属的全国重点大学，有着悠久的历史</w:t>
      </w:r>
      <w:r>
        <w:rPr>
          <w:spacing w:val="-16"/>
        </w:rPr>
        <w:t>背景和文化底蕴。学校在几代北交人的努力下不断发展壮大。近几年</w:t>
      </w:r>
      <w:r>
        <w:rPr>
          <w:spacing w:val="-17"/>
        </w:rPr>
        <w:t>来，学校对于硬件设施的投入也是日趋增大。自我到校学习以来，学</w:t>
      </w:r>
      <w:r>
        <w:rPr>
          <w:spacing w:val="-1"/>
        </w:rPr>
        <w:t>校先后建成了逸夫教学楼与机械工程楼，改造了学校东部的土操场， 并且在建中的还有一座大型的学生活动中心。但是大片的建筑工地、裸露的土地使得学校的生态薄弱，大气、噪声等污染也相对严重。校</w:t>
      </w:r>
      <w:r>
        <w:rPr>
          <w:spacing w:val="-8"/>
        </w:rPr>
        <w:t>园环境污染对学生健康的影响已成为不可忽视的因素。由于学校主区校园面积较小，而且频繁施工，我们就将目光集中在整个主区（</w:t>
      </w:r>
      <w:r>
        <w:rPr>
          <w:spacing w:val="-13"/>
        </w:rPr>
        <w:t>不含</w:t>
      </w:r>
      <w:r>
        <w:t>家属区</w:t>
      </w:r>
      <w:r>
        <w:rPr>
          <w:spacing w:val="-206"/>
        </w:rPr>
        <w:t>）</w:t>
      </w:r>
      <w:r>
        <w:t>。因此，学校室外的大气状况对学生健康的影响值得我们去</w:t>
      </w:r>
      <w:r>
        <w:rPr>
          <w:spacing w:val="-27"/>
          <w:w w:val="100"/>
        </w:rPr>
        <w:t>研究探讨</w:t>
      </w:r>
      <w:r>
        <w:rPr>
          <w:w w:val="100"/>
        </w:rPr>
        <w:t>（大气污染对人体健康影响的调研见附录</w:t>
      </w:r>
      <w:r>
        <w:t xml:space="preserve"> </w:t>
      </w:r>
      <w:r>
        <w:rPr>
          <w:spacing w:val="-1"/>
          <w:w w:val="100"/>
        </w:rPr>
        <w:t>9.</w:t>
      </w:r>
      <w:r>
        <w:rPr>
          <w:spacing w:val="-2"/>
          <w:w w:val="100"/>
        </w:rPr>
        <w:t>1</w:t>
      </w:r>
      <w:r>
        <w:rPr>
          <w:spacing w:val="-213"/>
          <w:w w:val="100"/>
        </w:rPr>
        <w:t>）</w:t>
      </w:r>
      <w:r>
        <w:rPr>
          <w:spacing w:val="-19"/>
          <w:w w:val="100"/>
        </w:rPr>
        <w:t>。室外大气空</w:t>
      </w:r>
      <w:r>
        <w:rPr>
          <w:spacing w:val="-19"/>
        </w:rPr>
        <w:t>气污染，不仅具有普通室外污染的一般特点，即污染浓度高种类多、</w:t>
      </w:r>
      <w:r>
        <w:rPr>
          <w:spacing w:val="-1"/>
        </w:rPr>
        <w:t>接触时间长、扩散快、影响范围大、涉及人数多、随时间空间变化大</w:t>
      </w:r>
      <w:r>
        <w:t>等，还因为其人员相对密集，人员呼吸急促等原因而更具复杂性。</w:t>
      </w:r>
    </w:p>
    <w:p>
      <w:pPr>
        <w:pStyle w:val="Heading1"/>
        <w:numPr>
          <w:ilvl w:val="0"/>
          <w:numId w:val="10"/>
        </w:numPr>
        <w:tabs>
          <w:tab w:val="left" w:pos="3172"/>
          <w:tab w:val="left" w:pos="3173"/>
        </w:tabs>
        <w:spacing w:before="0" w:after="0" w:line="766" w:lineRule="exact"/>
        <w:ind w:left="3172" w:right="0" w:hanging="473"/>
        <w:jc w:val="left"/>
      </w:pPr>
      <w:bookmarkStart w:id="1" w:name="_TOC_250011"/>
      <w:bookmarkEnd w:id="1"/>
      <w:r>
        <w:t>监测目的</w:t>
      </w:r>
    </w:p>
    <w:p>
      <w:pPr>
        <w:pStyle w:val="BodyText"/>
        <w:spacing w:before="161" w:line="290" w:lineRule="auto"/>
        <w:ind w:left="2700" w:right="2520"/>
      </w:pPr>
      <w:r>
        <w:t>此次大气监测的目的主要有以下五方面：                                    1．通过实验进一步巩固课本知识，深入了解空气环境中各污染因子</w:t>
      </w:r>
      <w:r>
        <w:rPr>
          <w:spacing w:val="-1"/>
        </w:rPr>
        <w:t>的具体采样方法、分析方法、误差分析及数据处理等方法。巩固大气</w:t>
      </w:r>
      <w:r>
        <w:rPr>
          <w:spacing w:val="-12"/>
        </w:rPr>
        <w:t>环境监测的原理与知识，了解调查研究的基本方法与步骤，通过严格</w:t>
      </w:r>
      <w:r>
        <w:rPr>
          <w:spacing w:val="-13"/>
        </w:rPr>
        <w:t>科学的训练锻炼同学的思考能力、实践能力、创新能力，通过深入了</w:t>
      </w:r>
      <w:r>
        <w:t>解接触我们所处的环境提高同学的环保意识；                             2．对北京交通大学校园的空气环境定期监测，评价北京交通大学校</w:t>
      </w:r>
    </w:p>
    <w:p>
      <w:pPr>
        <w:spacing w:after="0" w:line="290" w:lineRule="auto"/>
        <w:sectPr>
          <w:headerReference w:type="default" r:id="rId15"/>
          <w:footerReference w:type="default" r:id="rId16"/>
          <w:pgSz w:w="17860" w:h="25260"/>
          <w:pgMar w:top="1780" w:right="0" w:bottom="1780" w:left="0" w:header="1121" w:footer="1591"/>
          <w:pgNumType w:start="6"/>
          <w:cols w:space="708"/>
        </w:sectPr>
      </w:pPr>
    </w:p>
    <w:p>
      <w:pPr>
        <w:pStyle w:val="BodyText"/>
        <w:spacing w:line="290" w:lineRule="auto"/>
        <w:ind w:left="2700" w:right="2672"/>
      </w:pPr>
      <w:r>
        <w:rPr>
          <w:spacing w:val="-14"/>
        </w:rPr>
        <w:t>园的空气环境质量，为研究北京交通大学校园空气环境质量变化及制</w:t>
      </w:r>
      <w:r>
        <w:t>订北京交通大学校园环境保护规划提供基础数据。</w:t>
      </w:r>
    </w:p>
    <w:p>
      <w:pPr>
        <w:pStyle w:val="BodyText"/>
        <w:spacing w:line="290" w:lineRule="auto"/>
        <w:ind w:left="2700" w:right="2594"/>
      </w:pPr>
      <w:r>
        <w:t>3</w:t>
      </w:r>
      <w:r>
        <w:rPr>
          <w:spacing w:val="-1"/>
        </w:rPr>
        <w:t>.根据污染物或其他影响环境质量因素的分布，追踪污染路线，寻找</w:t>
      </w:r>
      <w:r>
        <w:rPr>
          <w:spacing w:val="-13"/>
        </w:rPr>
        <w:t>污染源，为北京交通大学校园环境污染的治理提供依据，培养独立开展环境监测的技能；                                                                  4．及时、准确、全面地反映校园大气环境质量现状及发展趋势，培</w:t>
      </w:r>
      <w:r>
        <w:rPr>
          <w:spacing w:val="-18"/>
        </w:rPr>
        <w:t>养大家的环境忧患意识；培养团结协作精神及综合分析与处理问题的能 力 。                                                                                    5．为开展和校园相关的环境管理、污染控制、环境规划、环境评价提供科学依据，为在建或未建的室外运动场所提出建设性的意见。</w:t>
      </w:r>
    </w:p>
    <w:p>
      <w:pPr>
        <w:pStyle w:val="BodyText"/>
        <w:spacing w:before="6"/>
        <w:rPr>
          <w:sz w:val="50"/>
        </w:rPr>
      </w:pPr>
    </w:p>
    <w:p>
      <w:pPr>
        <w:pStyle w:val="Heading1"/>
        <w:numPr>
          <w:ilvl w:val="0"/>
          <w:numId w:val="10"/>
        </w:numPr>
        <w:tabs>
          <w:tab w:val="left" w:pos="3172"/>
          <w:tab w:val="left" w:pos="3173"/>
        </w:tabs>
        <w:spacing w:before="0" w:after="0" w:line="240" w:lineRule="auto"/>
        <w:ind w:left="3172" w:right="0" w:hanging="473"/>
        <w:jc w:val="left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676482</wp:posOffset>
            </wp:positionV>
            <wp:extent cx="11340845" cy="4355973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355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_TOC_250010"/>
      <w:bookmarkEnd w:id="2"/>
      <w:r>
        <w:t>方案设计思路</w:t>
      </w:r>
    </w:p>
    <w:p>
      <w:pPr>
        <w:spacing w:after="0" w:line="240" w:lineRule="auto"/>
        <w:jc w:val="left"/>
        <w:sectPr>
          <w:headerReference w:type="default" r:id="rId18"/>
          <w:footerReference w:type="default" r:id="rId19"/>
          <w:pgSz w:w="17860" w:h="25260"/>
          <w:pgMar w:top="1780" w:right="0" w:bottom="1780" w:left="0" w:header="1121" w:footer="1591"/>
          <w:pgNumType w:start="7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p>
      <w:pPr>
        <w:pStyle w:val="Heading1"/>
        <w:numPr>
          <w:ilvl w:val="0"/>
          <w:numId w:val="10"/>
        </w:numPr>
        <w:tabs>
          <w:tab w:val="left" w:pos="3173"/>
        </w:tabs>
        <w:spacing w:before="0" w:after="0" w:line="766" w:lineRule="exact"/>
        <w:ind w:left="3172" w:right="0" w:hanging="473"/>
        <w:jc w:val="both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-3804215</wp:posOffset>
            </wp:positionV>
            <wp:extent cx="11340845" cy="3212972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212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" w:name="_TOC_250009"/>
      <w:bookmarkEnd w:id="3"/>
      <w:r>
        <w:t>方案调研</w:t>
      </w:r>
    </w:p>
    <w:p>
      <w:pPr>
        <w:pStyle w:val="BodyText"/>
        <w:spacing w:before="162" w:line="290" w:lineRule="auto"/>
        <w:ind w:left="2700" w:right="2582" w:firstLine="838"/>
        <w:jc w:val="both"/>
      </w:pPr>
      <w:r>
        <w:rPr>
          <w:spacing w:val="-9"/>
        </w:rPr>
        <w:t>大气污染受气象、季节、地形、地貌等因素的强烈影响而随时间</w:t>
      </w:r>
      <w:r>
        <w:rPr>
          <w:spacing w:val="-14"/>
        </w:rPr>
        <w:t>变化，因此应对校园内各种大气污染源、大气污染物排放状况及自然</w:t>
      </w:r>
      <w:r>
        <w:rPr>
          <w:spacing w:val="-10"/>
        </w:rPr>
        <w:t>与社会环境特征进行调查，并对大气污染 物排放作初步估算。</w:t>
      </w:r>
    </w:p>
    <w:p>
      <w:pPr>
        <w:pStyle w:val="Heading1"/>
        <w:numPr>
          <w:ilvl w:val="1"/>
          <w:numId w:val="10"/>
        </w:numPr>
        <w:tabs>
          <w:tab w:val="left" w:pos="3551"/>
        </w:tabs>
        <w:spacing w:before="0" w:after="0" w:line="772" w:lineRule="exact"/>
        <w:ind w:left="3550" w:right="0" w:hanging="851"/>
        <w:jc w:val="both"/>
      </w:pPr>
      <w:bookmarkStart w:id="4" w:name="_TOC_250008"/>
      <w:bookmarkEnd w:id="4"/>
      <w:r>
        <w:t>背景调研</w:t>
      </w:r>
    </w:p>
    <w:p>
      <w:pPr>
        <w:pStyle w:val="ListParagraph"/>
        <w:numPr>
          <w:ilvl w:val="2"/>
          <w:numId w:val="10"/>
        </w:numPr>
        <w:tabs>
          <w:tab w:val="left" w:pos="3853"/>
        </w:tabs>
        <w:spacing w:before="162" w:after="0" w:line="240" w:lineRule="auto"/>
        <w:ind w:left="3852" w:right="0" w:hanging="1153"/>
        <w:jc w:val="both"/>
        <w:rPr>
          <w:sz w:val="42"/>
        </w:rPr>
      </w:pPr>
      <w:r>
        <w:rPr>
          <w:sz w:val="42"/>
        </w:rPr>
        <w:t>总体地理位置</w:t>
      </w:r>
    </w:p>
    <w:p>
      <w:pPr>
        <w:pStyle w:val="BodyText"/>
        <w:spacing w:before="162" w:line="290" w:lineRule="auto"/>
        <w:ind w:left="2700" w:right="2957" w:firstLine="889"/>
      </w:pPr>
      <w:r>
        <w:rPr>
          <w:spacing w:val="9"/>
        </w:rPr>
        <w:t xml:space="preserve">北京中心位于北纬 </w:t>
      </w:r>
      <w:r>
        <w:rPr>
          <w:spacing w:val="11"/>
        </w:rPr>
        <w:t>39</w:t>
      </w:r>
      <w:r>
        <w:rPr>
          <w:spacing w:val="21"/>
        </w:rPr>
        <w:t>度</w:t>
      </w:r>
      <w:r>
        <w:rPr>
          <w:spacing w:val="11"/>
        </w:rPr>
        <w:t>54</w:t>
      </w:r>
      <w:r>
        <w:rPr>
          <w:spacing w:val="21"/>
        </w:rPr>
        <w:t>分</w:t>
      </w:r>
      <w:r>
        <w:rPr>
          <w:spacing w:val="12"/>
        </w:rPr>
        <w:t>20</w:t>
      </w:r>
      <w:r>
        <w:rPr>
          <w:spacing w:val="-6"/>
        </w:rPr>
        <w:t xml:space="preserve">秒，东经 </w:t>
      </w:r>
      <w:r>
        <w:rPr>
          <w:spacing w:val="11"/>
        </w:rPr>
        <w:t>116</w:t>
      </w:r>
      <w:r>
        <w:rPr>
          <w:spacing w:val="21"/>
        </w:rPr>
        <w:t>度</w:t>
      </w:r>
      <w:r>
        <w:rPr>
          <w:spacing w:val="11"/>
        </w:rPr>
        <w:t>25</w:t>
      </w:r>
      <w:r>
        <w:rPr>
          <w:spacing w:val="22"/>
        </w:rPr>
        <w:t>分</w:t>
      </w:r>
      <w:r>
        <w:rPr>
          <w:spacing w:val="11"/>
        </w:rPr>
        <w:t>29</w:t>
      </w:r>
      <w:r>
        <w:t>秒。位于华北平原西北边缘。毗邻渤海湾，上靠辽东半岛，下临山东 半岛。北京与天津相邻，并与天津一起被河北省环绕。西部是太 行山山脉余脉的西山，北部是燕山山脉的军都山，两山在南口关 沟相交，形成一个向东南展开的半圆形大山弯，人们称之为“北 京弯”，它所围绕的小平原即为北京小平原。</w:t>
      </w:r>
    </w:p>
    <w:p>
      <w:pPr>
        <w:pStyle w:val="BodyText"/>
        <w:spacing w:line="290" w:lineRule="auto"/>
        <w:ind w:left="2700" w:right="2926" w:firstLine="889"/>
        <w:jc w:val="both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497666</wp:posOffset>
            </wp:positionV>
            <wp:extent cx="876300" cy="381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1993900</wp:posOffset>
            </wp:positionH>
            <wp:positionV relativeFrom="paragraph">
              <wp:posOffset>1094566</wp:posOffset>
            </wp:positionV>
            <wp:extent cx="8636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4533900</wp:posOffset>
            </wp:positionH>
            <wp:positionV relativeFrom="paragraph">
              <wp:posOffset>1094566</wp:posOffset>
            </wp:positionV>
            <wp:extent cx="5842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1094566</wp:posOffset>
            </wp:positionV>
            <wp:extent cx="8763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学校位于首都北京“学府胜地” </w:t>
      </w:r>
      <w:r>
        <w:rPr>
          <w:color w:val="126CC1"/>
        </w:rPr>
        <w:t>海淀区</w:t>
      </w:r>
      <w:r>
        <w:t>，坐落于北京交通枢纽</w:t>
      </w:r>
      <w:r>
        <w:rPr>
          <w:color w:val="126CC1"/>
        </w:rPr>
        <w:t>西直门</w:t>
      </w:r>
      <w:r>
        <w:t xml:space="preserve">，毗邻中国“ </w:t>
      </w:r>
      <w:r>
        <w:rPr>
          <w:color w:val="126CC1"/>
        </w:rPr>
        <w:t>硅谷</w:t>
      </w:r>
      <w:r>
        <w:t>”</w:t>
      </w:r>
      <w:r>
        <w:rPr>
          <w:color w:val="126CC1"/>
        </w:rPr>
        <w:t>中关村</w:t>
      </w:r>
      <w:r>
        <w:t>，周边环绕众多世界知名公司，地理位置极其优越。经过一百多年的发展，北京交大校园建</w:t>
      </w:r>
    </w:p>
    <w:p>
      <w:pPr>
        <w:spacing w:after="0" w:line="290" w:lineRule="auto"/>
        <w:jc w:val="both"/>
        <w:sectPr>
          <w:headerReference w:type="default" r:id="rId25"/>
          <w:footerReference w:type="default" r:id="rId26"/>
          <w:pgSz w:w="17860" w:h="25260"/>
          <w:pgMar w:top="1780" w:right="0" w:bottom="1780" w:left="0" w:header="1121" w:footer="1591"/>
          <w:pgNumType w:start="8"/>
          <w:cols w:space="708"/>
        </w:sectPr>
      </w:pPr>
    </w:p>
    <w:p>
      <w:pPr>
        <w:pStyle w:val="BodyText"/>
        <w:spacing w:line="290" w:lineRule="auto"/>
        <w:ind w:left="2700" w:right="2964"/>
      </w:pPr>
      <w:r>
        <w:t>筑现代和古典建筑交相辉映，中西合璧风格独特。教学区总面积</w:t>
      </w:r>
      <w:r>
        <w:rPr>
          <w:spacing w:val="21"/>
        </w:rPr>
        <w:t>近</w:t>
      </w:r>
      <w:r>
        <w:t>1100</w:t>
      </w:r>
      <w:r>
        <w:rPr>
          <w:spacing w:val="-13"/>
        </w:rPr>
        <w:t xml:space="preserve"> 亩，建筑面积 </w:t>
      </w:r>
      <w:r>
        <w:rPr>
          <w:spacing w:val="11"/>
        </w:rPr>
        <w:t>78</w:t>
      </w:r>
      <w:r>
        <w:rPr>
          <w:spacing w:val="-1"/>
        </w:rPr>
        <w:t>万平方米，东西两个校区，教学、科研设</w:t>
      </w:r>
      <w:r>
        <w:t>施完善，硬件一流，校园环境优美。</w:t>
      </w:r>
    </w:p>
    <w:p>
      <w:pPr>
        <w:pStyle w:val="ListParagraph"/>
        <w:numPr>
          <w:ilvl w:val="2"/>
          <w:numId w:val="10"/>
        </w:numPr>
        <w:tabs>
          <w:tab w:val="left" w:pos="3852"/>
          <w:tab w:val="left" w:pos="3853"/>
        </w:tabs>
        <w:spacing w:before="0" w:after="0" w:line="772" w:lineRule="exact"/>
        <w:ind w:left="3852" w:right="0" w:hanging="1153"/>
        <w:jc w:val="left"/>
        <w:rPr>
          <w:sz w:val="42"/>
        </w:rPr>
      </w:pPr>
      <w:r>
        <w:rPr>
          <w:sz w:val="42"/>
        </w:rPr>
        <w:t>总体污染状况</w:t>
      </w:r>
    </w:p>
    <w:p>
      <w:pPr>
        <w:pStyle w:val="BodyText"/>
        <w:spacing w:before="160" w:line="290" w:lineRule="auto"/>
        <w:ind w:left="2700" w:right="2520" w:firstLine="838"/>
        <w:jc w:val="both"/>
      </w:pPr>
      <w:r>
        <w:rPr>
          <w:spacing w:val="-8"/>
        </w:rPr>
        <w:t>校园空气质量在很大程度上也受到外来因素的干扰。比如说冬春</w:t>
      </w:r>
      <w:r>
        <w:rPr>
          <w:spacing w:val="-9"/>
        </w:rPr>
        <w:t>季节从内蒙古吹来的沙尘暴，黄沙遍天，遮天蔽日，在短时期内会造</w:t>
      </w:r>
      <w:r>
        <w:rPr>
          <w:spacing w:val="-13"/>
        </w:rPr>
        <w:t>成很大的危害，并对校园的大气质量造成了很严重的影响。所以要想</w:t>
      </w:r>
      <w:r>
        <w:rPr>
          <w:spacing w:val="-14"/>
        </w:rPr>
        <w:t>准确测量校园的大气质量，就必须考虑到这些因素。当然，由于学校</w:t>
      </w:r>
      <w:r>
        <w:rPr>
          <w:spacing w:val="-1"/>
        </w:rPr>
        <w:t xml:space="preserve">地处海淀区，这一带基本上都是校园区，临近地区的影响不是太大， </w:t>
      </w:r>
      <w:r>
        <w:t>所以可以从北京市区的总体空气质量状况来考虑背景值。</w:t>
      </w:r>
    </w:p>
    <w:p>
      <w:pPr>
        <w:pStyle w:val="BodyText"/>
        <w:tabs>
          <w:tab w:val="left" w:pos="5576"/>
          <w:tab w:val="left" w:pos="8263"/>
          <w:tab w:val="left" w:pos="8544"/>
          <w:tab w:val="left" w:pos="10258"/>
          <w:tab w:val="left" w:pos="13095"/>
        </w:tabs>
        <w:spacing w:line="290" w:lineRule="auto"/>
        <w:ind w:left="2700" w:right="2433" w:firstLine="838"/>
      </w:pPr>
      <w:r>
        <w:t>根据2009</w:t>
        <w:tab/>
      </w:r>
      <w:r>
        <w:rPr>
          <w:spacing w:val="-51"/>
        </w:rPr>
        <w:t>年</w:t>
      </w:r>
      <w:r>
        <w:t>《北京市环境状况公报</w:t>
      </w:r>
      <w:r>
        <w:rPr>
          <w:spacing w:val="-112"/>
        </w:rPr>
        <w:t>》</w:t>
      </w:r>
      <w:r>
        <w:t>（由于网上资源只找</w:t>
      </w:r>
      <w:r>
        <w:rPr>
          <w:spacing w:val="-12"/>
        </w:rPr>
        <w:t>到</w:t>
      </w:r>
      <w:r>
        <w:t>07 版，暂时性使用它），</w:t>
      </w:r>
      <w:r>
        <w:rPr>
          <w:spacing w:val="42"/>
        </w:rPr>
        <w:t xml:space="preserve"> </w:t>
      </w:r>
      <w:r>
        <w:t>2009</w:t>
        <w:tab/>
        <w:t>年，市区大气中二氧化硫、二氧化氮</w:t>
      </w:r>
      <w:r>
        <w:rPr>
          <w:spacing w:val="-17"/>
        </w:rPr>
        <w:t>、</w:t>
      </w:r>
      <w:r>
        <w:t>一氧化碳</w:t>
      </w:r>
      <w:r>
        <w:rPr>
          <w:spacing w:val="-145"/>
        </w:rPr>
        <w:t>、</w:t>
      </w:r>
      <w:r>
        <w:t>可吸入颗粒物和总悬浮颗粒物浓度年日均值分别为每立方米0.067</w:t>
      </w:r>
      <w:r>
        <w:rPr>
          <w:spacing w:val="-40"/>
        </w:rPr>
        <w:t>、</w:t>
      </w:r>
      <w:r>
        <w:t>0.076</w:t>
      </w:r>
      <w:r>
        <w:rPr>
          <w:spacing w:val="-40"/>
        </w:rPr>
        <w:t>、</w:t>
      </w:r>
      <w:r>
        <w:t>2.5、</w:t>
      </w:r>
      <w:r>
        <w:rPr>
          <w:spacing w:val="46"/>
        </w:rPr>
        <w:t xml:space="preserve"> </w:t>
      </w:r>
      <w:r>
        <w:t>0.166</w:t>
        <w:tab/>
      </w:r>
      <w:r>
        <w:rPr>
          <w:spacing w:val="-4"/>
        </w:rPr>
        <w:t>和</w:t>
      </w:r>
      <w:r>
        <w:t>0.373</w:t>
        <w:tab/>
        <w:t>毫克，</w:t>
      </w:r>
      <w:r>
        <w:rPr>
          <w:spacing w:val="-40"/>
        </w:rPr>
        <w:t>与</w:t>
      </w:r>
      <w:r>
        <w:t>2008</w:t>
        <w:tab/>
        <w:t>年相比，二氧化硫和化学需氧量排放量分别</w:t>
      </w:r>
      <w:r>
        <w:rPr>
          <w:spacing w:val="-18"/>
        </w:rPr>
        <w:t>比</w:t>
      </w:r>
      <w:r>
        <w:t>2008年下</w:t>
      </w:r>
      <w:r>
        <w:rPr>
          <w:spacing w:val="-4"/>
        </w:rPr>
        <w:t>降</w:t>
      </w:r>
      <w:r>
        <w:t>3.59%和2.49%。</w:t>
      </w:r>
    </w:p>
    <w:p>
      <w:pPr>
        <w:pStyle w:val="ListParagraph"/>
        <w:numPr>
          <w:ilvl w:val="2"/>
          <w:numId w:val="10"/>
        </w:numPr>
        <w:tabs>
          <w:tab w:val="left" w:pos="3852"/>
          <w:tab w:val="left" w:pos="3853"/>
        </w:tabs>
        <w:spacing w:before="0" w:after="0" w:line="771" w:lineRule="exact"/>
        <w:ind w:left="3852" w:right="0" w:hanging="1153"/>
        <w:jc w:val="left"/>
        <w:rPr>
          <w:sz w:val="42"/>
        </w:rPr>
      </w:pPr>
      <w:r>
        <w:rPr>
          <w:sz w:val="42"/>
        </w:rPr>
        <w:t>气象资料</w:t>
      </w:r>
    </w:p>
    <w:p>
      <w:pPr>
        <w:pStyle w:val="BodyText"/>
        <w:tabs>
          <w:tab w:val="left" w:pos="4666"/>
          <w:tab w:val="left" w:pos="5504"/>
          <w:tab w:val="left" w:pos="9077"/>
        </w:tabs>
        <w:spacing w:before="158" w:line="290" w:lineRule="auto"/>
        <w:ind w:left="2700" w:right="2480"/>
      </w:pPr>
      <w:r>
        <w:t>北京位于亚洲大陆东南部</w:t>
      </w:r>
      <w:r>
        <w:rPr>
          <w:spacing w:val="-83"/>
        </w:rPr>
        <w:t>，</w:t>
      </w:r>
      <w:r>
        <w:t>属亚热带季风气候</w:t>
      </w:r>
      <w:r>
        <w:rPr>
          <w:spacing w:val="-83"/>
        </w:rPr>
        <w:t>。</w:t>
      </w:r>
      <w:r>
        <w:t>冬季以寒冷的西北风为主</w:t>
      </w:r>
      <w:r>
        <w:rPr>
          <w:spacing w:val="-91"/>
        </w:rPr>
        <w:t>、</w:t>
      </w:r>
      <w:r>
        <w:t>特别是一些强风</w:t>
      </w:r>
      <w:r>
        <w:rPr>
          <w:spacing w:val="-98"/>
        </w:rPr>
        <w:t>；</w:t>
      </w:r>
      <w:r>
        <w:t>夏季以温暖潮湿的东南风为</w:t>
      </w:r>
      <w:r>
        <w:rPr>
          <w:spacing w:val="-106"/>
        </w:rPr>
        <w:t>主</w:t>
      </w:r>
      <w:r>
        <w:t>（因临渤海</w:t>
      </w:r>
      <w:r>
        <w:rPr>
          <w:spacing w:val="-94"/>
        </w:rPr>
        <w:t>）</w:t>
      </w:r>
      <w:r>
        <w:t>。气温冬季</w:t>
      </w:r>
      <w:r>
        <w:rPr>
          <w:spacing w:val="-4"/>
        </w:rPr>
        <w:t>在</w:t>
      </w:r>
      <w:r>
        <w:t>10</w:t>
        <w:tab/>
        <w:t>度以下</w:t>
      </w:r>
      <w:r>
        <w:rPr>
          <w:spacing w:val="-80"/>
        </w:rPr>
        <w:t>；</w:t>
      </w:r>
      <w:r>
        <w:t>夏季</w:t>
      </w:r>
      <w:r>
        <w:rPr>
          <w:spacing w:val="-3"/>
        </w:rPr>
        <w:t>在</w:t>
      </w:r>
      <w:r>
        <w:t>20</w:t>
        <w:tab/>
        <w:t>度以上</w:t>
      </w:r>
      <w:r>
        <w:rPr>
          <w:spacing w:val="-83"/>
        </w:rPr>
        <w:t>。</w:t>
      </w:r>
      <w:r>
        <w:t>我们的环境监测</w:t>
      </w:r>
      <w:r>
        <w:rPr>
          <w:spacing w:val="-6"/>
        </w:rPr>
        <w:t>在</w:t>
      </w:r>
      <w:r>
        <w:t>10月</w:t>
      </w:r>
      <w:r>
        <w:rPr>
          <w:spacing w:val="-18"/>
        </w:rPr>
        <w:t>。</w:t>
      </w:r>
      <w:r>
        <w:t>风向主要为东南风，风速通常不高；温暖潮湿，</w:t>
      </w:r>
      <w:r>
        <w:rPr>
          <w:spacing w:val="-35"/>
        </w:rPr>
        <w:t xml:space="preserve"> </w:t>
      </w:r>
      <w:r>
        <w:t>日照时间长，</w:t>
      </w:r>
      <w:r>
        <w:rPr>
          <w:spacing w:val="54"/>
        </w:rPr>
        <w:t xml:space="preserve"> </w:t>
      </w:r>
      <w:r>
        <w:t>气温通常</w:t>
      </w:r>
      <w:r>
        <w:rPr>
          <w:spacing w:val="-4"/>
        </w:rPr>
        <w:t>为</w:t>
      </w:r>
      <w:r>
        <w:t>30</w:t>
        <w:tab/>
        <w:t>度左右，湿度较高。</w:t>
      </w:r>
    </w:p>
    <w:p>
      <w:pPr>
        <w:pStyle w:val="BodyText"/>
        <w:spacing w:line="771" w:lineRule="exact"/>
        <w:ind w:left="3539"/>
      </w:pPr>
      <w:r>
        <w:t>主要收集校园气象站（图1）和当地气象站（台）近年的气象数</w:t>
      </w:r>
    </w:p>
    <w:p>
      <w:pPr>
        <w:spacing w:after="0" w:line="771" w:lineRule="exact"/>
        <w:sectPr>
          <w:headerReference w:type="default" r:id="rId27"/>
          <w:footerReference w:type="default" r:id="rId28"/>
          <w:pgSz w:w="17860" w:h="25260"/>
          <w:pgMar w:top="1780" w:right="0" w:bottom="1780" w:left="0" w:header="1121" w:footer="1591"/>
          <w:pgNumType w:start="9"/>
          <w:cols w:space="708"/>
        </w:sectPr>
      </w:pPr>
    </w:p>
    <w:p>
      <w:pPr>
        <w:pStyle w:val="BodyText"/>
        <w:spacing w:line="290" w:lineRule="auto"/>
        <w:ind w:left="2700" w:right="2520"/>
      </w:pPr>
      <w:r>
        <w:t>据，包括风向、风速、气温、气压、降水量、相对湿度等，具体调查内容如表所示。</w:t>
      </w:r>
    </w:p>
    <w:p>
      <w:pPr>
        <w:pStyle w:val="BodyText"/>
        <w:spacing w:line="771" w:lineRule="exact"/>
        <w:ind w:left="5415" w:right="7782"/>
        <w:jc w:val="center"/>
      </w:pPr>
      <w:r>
        <w:pict>
          <v:group id="_x0000_s1025" style="width:560pt;height:474pt;margin-top:49.36pt;margin-left:126pt;mso-position-horizontal-relative:page;position:absolute;z-index:-251650048" coordorigin="2520,987" coordsize="11200,94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200;height:9480;left:2520;position:absolute;top:987" stroked="f">
              <v:imagedata r:id="rId2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705;height:2443;left:2700;position:absolute;top:7670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降水量</w:t>
                    </w:r>
                  </w:p>
                  <w:p>
                    <w:pPr>
                      <w:spacing w:before="6" w:line="240" w:lineRule="auto"/>
                      <w:rPr>
                        <w:sz w:val="60"/>
                      </w:rPr>
                    </w:pPr>
                  </w:p>
                  <w:p>
                    <w:pPr>
                      <w:spacing w:before="1" w:line="6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相对湿度</w:t>
                    </w:r>
                  </w:p>
                </w:txbxContent>
              </v:textbox>
            </v:shape>
            <v:shape id="_x0000_s1028" type="#_x0000_t202" style="width:5075;height:2443;left:8270;position:absolute;top:7670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平均年降水量、每日最大降</w:t>
                    </w:r>
                  </w:p>
                  <w:p>
                    <w:pPr>
                      <w:spacing w:before="162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水量等</w:t>
                    </w:r>
                  </w:p>
                  <w:p>
                    <w:pPr>
                      <w:spacing w:before="176" w:line="6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年平均相对湿度</w:t>
                    </w:r>
                  </w:p>
                </w:txbxContent>
              </v:textbox>
            </v:shape>
          </v:group>
        </w:pict>
      </w:r>
      <w:r>
        <w:t>气象资料调查</w:t>
      </w:r>
    </w:p>
    <w:p>
      <w:pPr>
        <w:pStyle w:val="BodyText"/>
        <w:spacing w:before="8"/>
        <w:rPr>
          <w:sz w:val="15"/>
        </w:rPr>
      </w:pPr>
    </w:p>
    <w:tbl>
      <w:tblPr>
        <w:tblStyle w:val="TableNormal0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7"/>
        <w:gridCol w:w="2785"/>
        <w:gridCol w:w="7362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3"/>
          <w:jc w:val="left"/>
        </w:trPr>
        <w:tc>
          <w:tcPr>
            <w:tcW w:w="577" w:type="dxa"/>
          </w:tcPr>
          <w:p>
            <w:pPr>
              <w:pStyle w:val="TableParagraph"/>
              <w:spacing w:line="666" w:lineRule="exact"/>
              <w:ind w:right="5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项</w:t>
            </w:r>
          </w:p>
        </w:tc>
        <w:tc>
          <w:tcPr>
            <w:tcW w:w="2785" w:type="dxa"/>
          </w:tcPr>
          <w:p>
            <w:pPr>
              <w:pStyle w:val="TableParagraph"/>
              <w:spacing w:line="666" w:lineRule="exact"/>
              <w:ind w:left="106"/>
              <w:rPr>
                <w:sz w:val="42"/>
              </w:rPr>
            </w:pPr>
            <w:r>
              <w:rPr>
                <w:w w:val="100"/>
                <w:sz w:val="42"/>
              </w:rPr>
              <w:t>目</w:t>
            </w:r>
          </w:p>
        </w:tc>
        <w:tc>
          <w:tcPr>
            <w:tcW w:w="7362" w:type="dxa"/>
          </w:tcPr>
          <w:p>
            <w:pPr>
              <w:pStyle w:val="TableParagraph"/>
              <w:tabs>
                <w:tab w:val="left" w:pos="3730"/>
                <w:tab w:val="left" w:pos="4360"/>
                <w:tab w:val="left" w:pos="4990"/>
              </w:tabs>
              <w:spacing w:line="666" w:lineRule="exact"/>
              <w:ind w:left="3096"/>
              <w:rPr>
                <w:sz w:val="42"/>
              </w:rPr>
            </w:pPr>
            <w:r>
              <w:rPr>
                <w:sz w:val="42"/>
              </w:rPr>
              <w:t>调</w:t>
              <w:tab/>
              <w:t>查</w:t>
              <w:tab/>
              <w:t>内</w:t>
              <w:tab/>
              <w:t>容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6"/>
          <w:jc w:val="left"/>
        </w:trPr>
        <w:tc>
          <w:tcPr>
            <w:tcW w:w="577" w:type="dxa"/>
          </w:tcPr>
          <w:p>
            <w:pPr>
              <w:pStyle w:val="TableParagraph"/>
              <w:spacing w:before="88"/>
              <w:ind w:right="5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风</w:t>
            </w:r>
          </w:p>
        </w:tc>
        <w:tc>
          <w:tcPr>
            <w:tcW w:w="2785" w:type="dxa"/>
          </w:tcPr>
          <w:p>
            <w:pPr>
              <w:pStyle w:val="TableParagraph"/>
              <w:spacing w:before="88"/>
              <w:ind w:left="106"/>
              <w:rPr>
                <w:sz w:val="42"/>
              </w:rPr>
            </w:pPr>
            <w:r>
              <w:rPr>
                <w:w w:val="100"/>
                <w:sz w:val="42"/>
              </w:rPr>
              <w:t>向</w:t>
            </w:r>
          </w:p>
        </w:tc>
        <w:tc>
          <w:tcPr>
            <w:tcW w:w="7362" w:type="dxa"/>
          </w:tcPr>
          <w:p>
            <w:pPr>
              <w:pStyle w:val="TableParagraph"/>
              <w:spacing w:before="88"/>
              <w:ind w:left="2257"/>
              <w:rPr>
                <w:sz w:val="42"/>
              </w:rPr>
            </w:pPr>
            <w:r>
              <w:rPr>
                <w:sz w:val="42"/>
              </w:rPr>
              <w:t>主导风向、次主导风向及频</w:t>
            </w:r>
          </w:p>
          <w:p>
            <w:pPr>
              <w:pStyle w:val="TableParagraph"/>
              <w:spacing w:before="162"/>
              <w:ind w:left="2257"/>
              <w:rPr>
                <w:sz w:val="42"/>
              </w:rPr>
            </w:pPr>
            <w:r>
              <w:rPr>
                <w:sz w:val="42"/>
              </w:rPr>
              <w:t>率等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8"/>
          <w:jc w:val="left"/>
        </w:trPr>
        <w:tc>
          <w:tcPr>
            <w:tcW w:w="577" w:type="dxa"/>
          </w:tcPr>
          <w:p>
            <w:pPr>
              <w:pStyle w:val="TableParagraph"/>
              <w:spacing w:before="89"/>
              <w:ind w:right="5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风</w:t>
            </w:r>
          </w:p>
        </w:tc>
        <w:tc>
          <w:tcPr>
            <w:tcW w:w="2785" w:type="dxa"/>
          </w:tcPr>
          <w:p>
            <w:pPr>
              <w:pStyle w:val="TableParagraph"/>
              <w:spacing w:before="89"/>
              <w:ind w:left="106"/>
              <w:rPr>
                <w:sz w:val="42"/>
              </w:rPr>
            </w:pPr>
            <w:r>
              <w:rPr>
                <w:w w:val="100"/>
                <w:sz w:val="42"/>
              </w:rPr>
              <w:t>速</w:t>
            </w:r>
          </w:p>
        </w:tc>
        <w:tc>
          <w:tcPr>
            <w:tcW w:w="7362" w:type="dxa"/>
          </w:tcPr>
          <w:p>
            <w:pPr>
              <w:pStyle w:val="TableParagraph"/>
              <w:spacing w:before="89"/>
              <w:ind w:left="2257"/>
              <w:rPr>
                <w:sz w:val="42"/>
              </w:rPr>
            </w:pPr>
            <w:r>
              <w:rPr>
                <w:sz w:val="42"/>
              </w:rPr>
              <w:t>年平均风速、最大风速、最</w:t>
            </w:r>
          </w:p>
          <w:p>
            <w:pPr>
              <w:pStyle w:val="TableParagraph"/>
              <w:spacing w:before="162"/>
              <w:ind w:left="2257"/>
              <w:rPr>
                <w:sz w:val="42"/>
              </w:rPr>
            </w:pPr>
            <w:r>
              <w:rPr>
                <w:sz w:val="42"/>
              </w:rPr>
              <w:t>小风速、年静风频率等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90"/>
          <w:jc w:val="left"/>
        </w:trPr>
        <w:tc>
          <w:tcPr>
            <w:tcW w:w="577" w:type="dxa"/>
          </w:tcPr>
          <w:p>
            <w:pPr>
              <w:pStyle w:val="TableParagraph"/>
              <w:spacing w:before="90"/>
              <w:ind w:right="5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气</w:t>
            </w:r>
          </w:p>
        </w:tc>
        <w:tc>
          <w:tcPr>
            <w:tcW w:w="2785" w:type="dxa"/>
          </w:tcPr>
          <w:p>
            <w:pPr>
              <w:pStyle w:val="TableParagraph"/>
              <w:spacing w:before="90"/>
              <w:ind w:left="106"/>
              <w:rPr>
                <w:sz w:val="42"/>
              </w:rPr>
            </w:pPr>
            <w:r>
              <w:rPr>
                <w:w w:val="100"/>
                <w:sz w:val="42"/>
              </w:rPr>
              <w:t>温</w:t>
            </w:r>
          </w:p>
        </w:tc>
        <w:tc>
          <w:tcPr>
            <w:tcW w:w="7362" w:type="dxa"/>
          </w:tcPr>
          <w:p>
            <w:pPr>
              <w:pStyle w:val="TableParagraph"/>
              <w:spacing w:before="90"/>
              <w:ind w:left="2257"/>
              <w:rPr>
                <w:sz w:val="42"/>
              </w:rPr>
            </w:pPr>
            <w:r>
              <w:rPr>
                <w:sz w:val="42"/>
              </w:rPr>
              <w:t>年平均气温、最高气温、最</w:t>
            </w:r>
          </w:p>
          <w:p>
            <w:pPr>
              <w:pStyle w:val="TableParagraph"/>
              <w:spacing w:before="162" w:line="645" w:lineRule="exact"/>
              <w:ind w:left="2257"/>
              <w:rPr>
                <w:sz w:val="42"/>
              </w:rPr>
            </w:pPr>
            <w:r>
              <w:rPr>
                <w:sz w:val="42"/>
              </w:rPr>
              <w:t>低气温等</w:t>
            </w:r>
          </w:p>
        </w:tc>
      </w:tr>
    </w:tbl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8"/>
        <w:rPr>
          <w:sz w:val="46"/>
        </w:rPr>
      </w:pPr>
    </w:p>
    <w:p>
      <w:pPr>
        <w:pStyle w:val="ListParagraph"/>
        <w:numPr>
          <w:ilvl w:val="2"/>
          <w:numId w:val="10"/>
        </w:numPr>
        <w:tabs>
          <w:tab w:val="left" w:pos="3853"/>
        </w:tabs>
        <w:spacing w:before="0" w:after="0" w:line="240" w:lineRule="auto"/>
        <w:ind w:left="3852" w:right="0" w:hanging="1153"/>
        <w:jc w:val="both"/>
        <w:rPr>
          <w:sz w:val="42"/>
        </w:rPr>
      </w:pPr>
      <w:r>
        <w:rPr>
          <w:sz w:val="42"/>
        </w:rPr>
        <w:t>污染源分布及排放情况</w:t>
      </w:r>
    </w:p>
    <w:p>
      <w:pPr>
        <w:pStyle w:val="BodyText"/>
        <w:spacing w:before="162" w:line="290" w:lineRule="auto"/>
        <w:ind w:left="2700" w:right="2687" w:firstLine="838"/>
        <w:jc w:val="both"/>
      </w:pPr>
      <w:r>
        <w:rPr>
          <w:spacing w:val="-11"/>
        </w:rPr>
        <w:t>主要调查校园大气污染物的排放源、数量、燃料种类和污染物名</w:t>
      </w:r>
      <w:r>
        <w:rPr>
          <w:spacing w:val="-13"/>
        </w:rPr>
        <w:t>称及排放方式等，为大气环境监测项目的选择提供依据，可按表中的方式进行调查。</w:t>
      </w:r>
    </w:p>
    <w:p>
      <w:pPr>
        <w:pStyle w:val="BodyText"/>
        <w:spacing w:line="773" w:lineRule="exact"/>
        <w:ind w:left="5417" w:right="7782"/>
        <w:jc w:val="center"/>
      </w:pPr>
      <w:r>
        <w:t>校园大气污染源情况调查</w:t>
      </w:r>
    </w:p>
    <w:p>
      <w:pPr>
        <w:pStyle w:val="BodyText"/>
        <w:spacing w:before="12"/>
        <w:rPr>
          <w:sz w:val="9"/>
        </w:rPr>
      </w:pPr>
      <w:r>
        <w:pict>
          <v:group id="_x0000_s1029" style="width:566pt;height:96pt;margin-top:10.87pt;margin-left:126pt;mso-position-horizontal-relative:page;mso-wrap-distance-left:0;mso-wrap-distance-right:0;position:absolute;z-index:-251649024" coordorigin="2520,217" coordsize="11320,1920">
            <v:shape id="_x0000_s1030" type="#_x0000_t75" style="width:11320;height:1920;left:2520;position:absolute;top:217" stroked="f">
              <v:imagedata r:id="rId30" o:title=""/>
            </v:shape>
            <v:shape id="_x0000_s1031" type="#_x0000_t202" style="width:863;height:556;left:2700;position:absolute;top:285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序号</w:t>
                    </w:r>
                  </w:p>
                </w:txbxContent>
              </v:textbox>
            </v:shape>
            <v:shape id="_x0000_s1032" type="#_x0000_t202" style="width:1698;height:1492;left:4259;position:absolute;top:285" filled="f" stroked="f">
              <v:textbox inset="0,0,0,0">
                <w:txbxContent>
                  <w:p>
                    <w:pPr>
                      <w:tabs>
                        <w:tab w:val="left" w:pos="1256"/>
                      </w:tabs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90"/>
                        <w:sz w:val="42"/>
                      </w:rPr>
                      <w:t>污</w:t>
                    </w:r>
                    <w:r>
                      <w:rPr>
                        <w:sz w:val="42"/>
                      </w:rPr>
                      <w:t>染</w:t>
                      <w:tab/>
                      <w:t>数</w:t>
                    </w:r>
                  </w:p>
                  <w:p>
                    <w:pPr>
                      <w:tabs>
                        <w:tab w:val="left" w:pos="1256"/>
                      </w:tabs>
                      <w:spacing w:before="161" w:line="6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90"/>
                        <w:sz w:val="42"/>
                      </w:rPr>
                      <w:t>源</w:t>
                    </w:r>
                    <w:r>
                      <w:rPr>
                        <w:sz w:val="42"/>
                      </w:rPr>
                      <w:t>名</w:t>
                      <w:tab/>
                      <w:t>量</w:t>
                    </w:r>
                  </w:p>
                </w:txbxContent>
              </v:textbox>
            </v:shape>
            <v:shape id="_x0000_s1033" type="#_x0000_t202" style="width:442;height:556;left:6657;position:absolute;top:285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燃</w:t>
                    </w:r>
                  </w:p>
                </w:txbxContent>
              </v:textbox>
            </v:shape>
            <v:shape id="_x0000_s1034" type="#_x0000_t202" style="width:5713;height:556;left:7482;position:absolute;top:285" filled="f" stroked="f">
              <v:textbox inset="0,0,0,0">
                <w:txbxContent>
                  <w:p>
                    <w:pPr>
                      <w:tabs>
                        <w:tab w:val="left" w:pos="741"/>
                        <w:tab w:val="left" w:pos="1371"/>
                        <w:tab w:val="left" w:pos="2113"/>
                        <w:tab w:val="left" w:pos="2740"/>
                        <w:tab w:val="left" w:pos="3481"/>
                        <w:tab w:val="left" w:pos="4108"/>
                        <w:tab w:val="left" w:pos="4849"/>
                      </w:tabs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料</w:t>
                      <w:tab/>
                      <w:t>污</w:t>
                      <w:tab/>
                      <w:t>染</w:t>
                      <w:tab/>
                      <w:t>治</w:t>
                      <w:tab/>
                      <w:t>理</w:t>
                      <w:tab/>
                      <w:t>排</w:t>
                      <w:tab/>
                      <w:t>放</w:t>
                      <w:tab/>
                      <w:t>备注</w:t>
                    </w:r>
                  </w:p>
                </w:txbxContent>
              </v:textbox>
            </v:shape>
            <v:shape id="_x0000_s1035" type="#_x0000_t202" style="width:863;height:556;left:6657;position:absolute;top:1220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种类</w:t>
                    </w:r>
                  </w:p>
                </w:txbxContent>
              </v:textbox>
            </v:shape>
            <v:shape id="_x0000_s1036" type="#_x0000_t202" style="width:442;height:556;left:8224;position:absolute;top:1220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物</w:t>
                    </w:r>
                  </w:p>
                </w:txbxContent>
              </v:textbox>
            </v:shape>
            <v:shape id="_x0000_s1037" type="#_x0000_t202" style="width:863;height:556;left:9596;position:absolute;top:1220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措施</w:t>
                    </w:r>
                  </w:p>
                </w:txbxContent>
              </v:textbox>
            </v:shape>
            <v:shape id="_x0000_s1038" type="#_x0000_t202" style="width:863;height:556;left:10964;position:absolute;top:1220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方式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9"/>
        </w:rPr>
        <w:sectPr>
          <w:headerReference w:type="default" r:id="rId31"/>
          <w:footerReference w:type="default" r:id="rId32"/>
          <w:pgSz w:w="17860" w:h="25260"/>
          <w:pgMar w:top="1780" w:right="0" w:bottom="1780" w:left="0" w:header="1121" w:footer="1591"/>
          <w:pgNumType w:start="10"/>
          <w:cols w:space="708"/>
        </w:sectPr>
      </w:pPr>
    </w:p>
    <w:p>
      <w:pPr>
        <w:pStyle w:val="BodyText"/>
        <w:spacing w:before="13"/>
        <w:ind w:left="4259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1171575</wp:posOffset>
            </wp:positionV>
            <wp:extent cx="7188200" cy="12661900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88200" cy="1266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称</w:t>
      </w:r>
    </w:p>
    <w:p>
      <w:pPr>
        <w:pStyle w:val="ListParagraph"/>
        <w:numPr>
          <w:ilvl w:val="0"/>
          <w:numId w:val="9"/>
        </w:numPr>
        <w:tabs>
          <w:tab w:val="left" w:pos="3025"/>
        </w:tabs>
        <w:spacing w:before="176" w:after="0" w:line="290" w:lineRule="auto"/>
        <w:ind w:left="2700" w:right="13893" w:firstLine="0"/>
        <w:jc w:val="both"/>
        <w:rPr>
          <w:sz w:val="42"/>
        </w:rPr>
      </w:pPr>
      <w:r>
        <w:rPr>
          <w:spacing w:val="36"/>
          <w:sz w:val="42"/>
        </w:rPr>
        <w:t>生活区（</w:t>
      </w:r>
      <w:r>
        <w:rPr>
          <w:spacing w:val="-17"/>
          <w:sz w:val="42"/>
        </w:rPr>
        <w:t>食</w:t>
      </w:r>
      <w:r>
        <w:rPr>
          <w:sz w:val="42"/>
        </w:rPr>
        <w:t>堂）</w:t>
      </w:r>
    </w:p>
    <w:p>
      <w:pPr>
        <w:pStyle w:val="ListParagraph"/>
        <w:numPr>
          <w:ilvl w:val="0"/>
          <w:numId w:val="9"/>
        </w:numPr>
        <w:tabs>
          <w:tab w:val="left" w:pos="3025"/>
        </w:tabs>
        <w:spacing w:before="12" w:after="0" w:line="290" w:lineRule="auto"/>
        <w:ind w:left="2700" w:right="13918" w:firstLine="0"/>
        <w:jc w:val="both"/>
        <w:rPr>
          <w:sz w:val="42"/>
        </w:rPr>
      </w:pPr>
      <w:r>
        <w:rPr>
          <w:spacing w:val="27"/>
          <w:sz w:val="42"/>
        </w:rPr>
        <w:t>建筑</w:t>
      </w:r>
      <w:r>
        <w:rPr>
          <w:spacing w:val="1"/>
          <w:sz w:val="42"/>
        </w:rPr>
        <w:t>工   地</w:t>
      </w:r>
    </w:p>
    <w:p>
      <w:pPr>
        <w:pStyle w:val="BodyText"/>
        <w:spacing w:line="773" w:lineRule="exact"/>
        <w:ind w:left="2700"/>
        <w:jc w:val="both"/>
      </w:pPr>
      <w:r>
        <w:t>（</w:t>
      </w:r>
      <w:r>
        <w:rPr>
          <w:spacing w:val="6"/>
        </w:rPr>
        <w:t xml:space="preserve">   学</w:t>
      </w:r>
    </w:p>
    <w:p>
      <w:pPr>
        <w:pStyle w:val="BodyText"/>
        <w:spacing w:before="162"/>
        <w:ind w:left="2700"/>
        <w:jc w:val="both"/>
      </w:pPr>
      <w:r>
        <w:rPr>
          <w:spacing w:val="4"/>
        </w:rPr>
        <w:t>生   活</w:t>
      </w:r>
    </w:p>
    <w:p>
      <w:pPr>
        <w:pStyle w:val="BodyText"/>
        <w:spacing w:before="162" w:line="290" w:lineRule="auto"/>
        <w:ind w:left="2700" w:right="13918"/>
        <w:jc w:val="both"/>
      </w:pPr>
      <w:r>
        <w:t>动 中心）</w:t>
      </w:r>
    </w:p>
    <w:p>
      <w:pPr>
        <w:pStyle w:val="BodyText"/>
        <w:spacing w:before="12"/>
        <w:rPr>
          <w:sz w:val="51"/>
        </w:rPr>
      </w:pPr>
    </w:p>
    <w:p>
      <w:pPr>
        <w:pStyle w:val="ListParagraph"/>
        <w:numPr>
          <w:ilvl w:val="0"/>
          <w:numId w:val="9"/>
        </w:numPr>
        <w:tabs>
          <w:tab w:val="left" w:pos="3025"/>
        </w:tabs>
        <w:spacing w:before="0" w:after="0" w:line="290" w:lineRule="auto"/>
        <w:ind w:left="2700" w:right="13918" w:firstLine="0"/>
        <w:jc w:val="left"/>
        <w:rPr>
          <w:sz w:val="42"/>
        </w:rPr>
      </w:pPr>
      <w:r>
        <w:rPr>
          <w:spacing w:val="27"/>
          <w:sz w:val="42"/>
        </w:rPr>
        <w:t>锅炉</w:t>
      </w:r>
      <w:r>
        <w:rPr>
          <w:sz w:val="42"/>
        </w:rPr>
        <w:t>房</w:t>
      </w:r>
    </w:p>
    <w:p>
      <w:pPr>
        <w:pStyle w:val="BodyText"/>
        <w:spacing w:before="8"/>
        <w:rPr>
          <w:sz w:val="55"/>
        </w:rPr>
      </w:pPr>
    </w:p>
    <w:p>
      <w:pPr>
        <w:pStyle w:val="ListParagraph"/>
        <w:numPr>
          <w:ilvl w:val="0"/>
          <w:numId w:val="9"/>
        </w:numPr>
        <w:tabs>
          <w:tab w:val="left" w:pos="3025"/>
        </w:tabs>
        <w:spacing w:before="0" w:after="0" w:line="290" w:lineRule="auto"/>
        <w:ind w:left="2700" w:right="13918" w:firstLine="0"/>
        <w:jc w:val="both"/>
        <w:rPr>
          <w:sz w:val="42"/>
        </w:rPr>
      </w:pPr>
      <w:r>
        <w:rPr>
          <w:spacing w:val="27"/>
          <w:sz w:val="42"/>
        </w:rPr>
        <w:t>机械</w:t>
      </w:r>
      <w:r>
        <w:rPr>
          <w:spacing w:val="2"/>
          <w:sz w:val="42"/>
        </w:rPr>
        <w:t>实 习</w:t>
      </w:r>
      <w:r>
        <w:rPr>
          <w:sz w:val="42"/>
        </w:rPr>
        <w:t>工地</w:t>
      </w:r>
    </w:p>
    <w:p>
      <w:pPr>
        <w:pStyle w:val="ListParagraph"/>
        <w:numPr>
          <w:ilvl w:val="0"/>
          <w:numId w:val="9"/>
        </w:numPr>
        <w:tabs>
          <w:tab w:val="left" w:pos="3025"/>
        </w:tabs>
        <w:spacing w:before="85" w:after="0" w:line="290" w:lineRule="auto"/>
        <w:ind w:left="2700" w:right="13918" w:firstLine="0"/>
        <w:jc w:val="both"/>
        <w:rPr>
          <w:sz w:val="42"/>
        </w:rPr>
      </w:pPr>
      <w:r>
        <w:rPr>
          <w:spacing w:val="27"/>
          <w:sz w:val="42"/>
        </w:rPr>
        <w:t>家属</w:t>
      </w:r>
      <w:r>
        <w:rPr>
          <w:spacing w:val="2"/>
          <w:sz w:val="42"/>
        </w:rPr>
        <w:t>区 居</w:t>
      </w:r>
    </w:p>
    <w:p>
      <w:pPr>
        <w:pStyle w:val="BodyText"/>
        <w:spacing w:line="290" w:lineRule="auto"/>
        <w:ind w:left="2700" w:right="13918"/>
        <w:jc w:val="both"/>
      </w:pPr>
      <w:r>
        <w:t>民 炉灶</w:t>
      </w:r>
    </w:p>
    <w:p>
      <w:pPr>
        <w:spacing w:after="0" w:line="290" w:lineRule="auto"/>
        <w:jc w:val="both"/>
        <w:sectPr>
          <w:headerReference w:type="default" r:id="rId34"/>
          <w:footerReference w:type="default" r:id="rId35"/>
          <w:pgSz w:w="17860" w:h="25260"/>
          <w:pgMar w:top="1780" w:right="0" w:bottom="1780" w:left="0" w:header="1121" w:footer="1591"/>
          <w:pgNumType w:start="11"/>
          <w:cols w:space="708"/>
        </w:sectPr>
      </w:pPr>
    </w:p>
    <w:p>
      <w:pPr>
        <w:pStyle w:val="BodyText"/>
        <w:spacing w:line="290" w:lineRule="auto"/>
        <w:ind w:left="2700" w:right="2691" w:firstLine="838"/>
      </w:pPr>
      <w:r>
        <w:rPr>
          <w:spacing w:val="-9"/>
        </w:rPr>
        <w:t>通过参考大气污染源的分类与污染物时空分布的特点，我们对污</w:t>
      </w:r>
      <w:r>
        <w:t>染源进行了调查与分析。调查显示污染源有：</w:t>
      </w:r>
    </w:p>
    <w:p>
      <w:pPr>
        <w:pStyle w:val="ListParagraph"/>
        <w:numPr>
          <w:ilvl w:val="1"/>
          <w:numId w:val="9"/>
        </w:numPr>
        <w:tabs>
          <w:tab w:val="left" w:pos="4210"/>
          <w:tab w:val="left" w:pos="11320"/>
        </w:tabs>
        <w:spacing w:before="0" w:after="0" w:line="290" w:lineRule="auto"/>
        <w:ind w:left="2700" w:right="2276" w:firstLine="838"/>
        <w:jc w:val="left"/>
        <w:rPr>
          <w:sz w:val="42"/>
        </w:rPr>
      </w:pPr>
      <w:r>
        <w:rPr>
          <w:sz w:val="42"/>
        </w:rPr>
        <w:t>汽车尾气污染：属移动污染源，线源，低架源，交通污染源</w:t>
      </w:r>
      <w:r>
        <w:rPr>
          <w:spacing w:val="-17"/>
          <w:sz w:val="42"/>
        </w:rPr>
        <w:t>。</w:t>
      </w:r>
      <w:r>
        <w:rPr>
          <w:sz w:val="42"/>
        </w:rPr>
        <w:t>排气中的主要污染物是烟尘</w:t>
      </w:r>
      <w:r>
        <w:rPr>
          <w:spacing w:val="-14"/>
          <w:sz w:val="42"/>
        </w:rPr>
        <w:t>、</w:t>
      </w:r>
      <w:r>
        <w:rPr>
          <w:sz w:val="42"/>
        </w:rPr>
        <w:t>NOx</w:t>
      </w:r>
      <w:r>
        <w:rPr>
          <w:spacing w:val="-3"/>
          <w:sz w:val="42"/>
        </w:rPr>
        <w:t>、</w:t>
      </w:r>
      <w:r>
        <w:rPr>
          <w:sz w:val="42"/>
        </w:rPr>
        <w:t>CO、O3</w:t>
        <w:tab/>
        <w:t>等。但校园内机动车 较少，且移动速度较快，因此对各运动场所的影响大致相同。</w:t>
      </w:r>
    </w:p>
    <w:p>
      <w:pPr>
        <w:pStyle w:val="ListParagraph"/>
        <w:numPr>
          <w:ilvl w:val="1"/>
          <w:numId w:val="9"/>
        </w:numPr>
        <w:tabs>
          <w:tab w:val="left" w:pos="4210"/>
        </w:tabs>
        <w:spacing w:before="0" w:after="0" w:line="290" w:lineRule="auto"/>
        <w:ind w:left="2700" w:right="2520" w:firstLine="838"/>
        <w:jc w:val="both"/>
        <w:rPr>
          <w:sz w:val="42"/>
        </w:rPr>
      </w:pPr>
      <w:r>
        <w:rPr>
          <w:sz w:val="42"/>
        </w:rPr>
        <w:t>逸夫楼旁边锅炉房：属固定污染源，点源，高架源，生活污</w:t>
      </w:r>
      <w:r>
        <w:rPr>
          <w:spacing w:val="-2"/>
          <w:sz w:val="42"/>
        </w:rPr>
        <w:t>染源。主要污染物是烟尘、</w:t>
      </w:r>
      <w:r>
        <w:rPr>
          <w:sz w:val="42"/>
        </w:rPr>
        <w:t>SO2、</w:t>
      </w:r>
      <w:r>
        <w:rPr>
          <w:spacing w:val="-3"/>
          <w:sz w:val="42"/>
        </w:rPr>
        <w:t>CO</w:t>
      </w:r>
      <w:r>
        <w:rPr>
          <w:sz w:val="42"/>
        </w:rPr>
        <w:t>、CO2、有机化合物等。它位</w:t>
      </w:r>
      <w:r>
        <w:rPr>
          <w:spacing w:val="-13"/>
          <w:sz w:val="42"/>
        </w:rPr>
        <w:t>于校园东部，离网球场与东大操场等运动场所较近。但由于其为高架</w:t>
      </w:r>
      <w:r>
        <w:rPr>
          <w:spacing w:val="-14"/>
          <w:sz w:val="42"/>
        </w:rPr>
        <w:t>源，受控气流动影响大，且扩散快，因此对周边地区影响大致相同。</w:t>
      </w:r>
    </w:p>
    <w:p>
      <w:pPr>
        <w:pStyle w:val="ListParagraph"/>
        <w:numPr>
          <w:ilvl w:val="1"/>
          <w:numId w:val="9"/>
        </w:numPr>
        <w:tabs>
          <w:tab w:val="left" w:pos="4210"/>
        </w:tabs>
        <w:spacing w:before="0" w:after="0" w:line="290" w:lineRule="auto"/>
        <w:ind w:left="2700" w:right="2276" w:firstLine="838"/>
        <w:jc w:val="left"/>
        <w:rPr>
          <w:sz w:val="42"/>
        </w:rPr>
      </w:pPr>
      <w:r>
        <w:rPr>
          <w:spacing w:val="-1"/>
          <w:sz w:val="42"/>
        </w:rPr>
        <w:t>学生活动工地：属固定污染源、点源、低架源、生活污染源。</w:t>
      </w:r>
      <w:r>
        <w:rPr>
          <w:sz w:val="42"/>
        </w:rPr>
        <w:t>主要污染物是颗粒物、噪音。是主要的污染源。</w:t>
      </w:r>
    </w:p>
    <w:p>
      <w:pPr>
        <w:pStyle w:val="ListParagraph"/>
        <w:numPr>
          <w:ilvl w:val="1"/>
          <w:numId w:val="9"/>
        </w:numPr>
        <w:tabs>
          <w:tab w:val="left" w:pos="4210"/>
        </w:tabs>
        <w:spacing w:before="0" w:after="0" w:line="290" w:lineRule="auto"/>
        <w:ind w:left="2700" w:right="2520" w:firstLine="838"/>
        <w:jc w:val="both"/>
        <w:rPr>
          <w:sz w:val="42"/>
        </w:rPr>
      </w:pPr>
      <w:r>
        <w:rPr>
          <w:sz w:val="42"/>
        </w:rPr>
        <w:t>化学实验室：属固定污染源、点源、低架源。主要污染物是</w:t>
      </w:r>
      <w:r>
        <w:rPr>
          <w:spacing w:val="-1"/>
          <w:sz w:val="42"/>
        </w:rPr>
        <w:t>挥发性有机物、放射性物质。它位于校园中部，但其规模较小，保护措施好，严格执行安全实验准则，没有发生过严重的事故，因此对外</w:t>
      </w:r>
      <w:r>
        <w:rPr>
          <w:sz w:val="42"/>
        </w:rPr>
        <w:t>界运动场所影响很小。</w:t>
      </w:r>
    </w:p>
    <w:p>
      <w:pPr>
        <w:pStyle w:val="ListParagraph"/>
        <w:numPr>
          <w:ilvl w:val="1"/>
          <w:numId w:val="9"/>
        </w:numPr>
        <w:tabs>
          <w:tab w:val="left" w:pos="4210"/>
        </w:tabs>
        <w:spacing w:before="0" w:after="0" w:line="290" w:lineRule="auto"/>
        <w:ind w:left="2700" w:right="2520" w:firstLine="838"/>
        <w:jc w:val="both"/>
        <w:rPr>
          <w:sz w:val="42"/>
        </w:rPr>
      </w:pPr>
      <w:r>
        <w:rPr>
          <w:sz w:val="42"/>
        </w:rPr>
        <w:t>生物性污染物：属固定污染源、面源、低架源。它一种空气</w:t>
      </w:r>
      <w:r>
        <w:rPr>
          <w:spacing w:val="-13"/>
          <w:sz w:val="42"/>
        </w:rPr>
        <w:t>变应原，主要有花粉和清华大学室外各类运动场所空气质量监测方案</w:t>
      </w:r>
      <w:r>
        <w:rPr>
          <w:spacing w:val="-14"/>
          <w:sz w:val="42"/>
        </w:rPr>
        <w:t>一些霉菌孢子。在校园内分布较多，主要集中在小河边。且考虑监测</w:t>
      </w:r>
      <w:r>
        <w:rPr>
          <w:sz w:val="42"/>
        </w:rPr>
        <w:t>季节为夏季，该污染物量不大。因此影响不大。</w:t>
      </w:r>
    </w:p>
    <w:p>
      <w:pPr>
        <w:pStyle w:val="BodyText"/>
        <w:spacing w:line="290" w:lineRule="auto"/>
        <w:ind w:left="2700" w:right="2674" w:firstLine="838"/>
        <w:jc w:val="both"/>
      </w:pPr>
      <w:r>
        <w:rPr>
          <w:spacing w:val="-9"/>
        </w:rPr>
        <w:t>通过参考大气污染物存在状态及来源，以及上述污染源，我们得</w:t>
      </w:r>
      <w:r>
        <w:rPr>
          <w:spacing w:val="-10"/>
        </w:rPr>
        <w:t>出，人的活动和动植物的新陈代谢是</w:t>
      </w:r>
      <w:r>
        <w:t>CO2</w:t>
      </w:r>
      <w:r>
        <w:rPr>
          <w:spacing w:val="7"/>
        </w:rPr>
        <w:t xml:space="preserve"> 的主要来源；汽车废气以</w:t>
      </w:r>
      <w:r>
        <w:rPr>
          <w:spacing w:val="5"/>
        </w:rPr>
        <w:t>及锅炉燃烧的废气是</w:t>
      </w:r>
      <w:r>
        <w:t>CO</w:t>
      </w:r>
      <w:r>
        <w:rPr>
          <w:spacing w:val="-4"/>
        </w:rPr>
        <w:t>、</w:t>
      </w:r>
      <w:r>
        <w:t>CO2</w:t>
      </w:r>
      <w:r>
        <w:rPr>
          <w:spacing w:val="46"/>
        </w:rPr>
        <w:t xml:space="preserve"> 和</w:t>
      </w:r>
      <w:r>
        <w:t>NOx</w:t>
      </w:r>
      <w:r>
        <w:rPr>
          <w:spacing w:val="3"/>
        </w:rPr>
        <w:t xml:space="preserve"> 的主要来源；各场所地表形</w:t>
      </w:r>
    </w:p>
    <w:p>
      <w:pPr>
        <w:spacing w:after="0" w:line="290" w:lineRule="auto"/>
        <w:jc w:val="both"/>
        <w:sectPr>
          <w:headerReference w:type="default" r:id="rId36"/>
          <w:footerReference w:type="default" r:id="rId37"/>
          <w:pgSz w:w="17860" w:h="25260"/>
          <w:pgMar w:top="1780" w:right="0" w:bottom="1780" w:left="0" w:header="1121" w:footer="1591"/>
          <w:pgNumType w:start="12"/>
          <w:cols w:space="708"/>
        </w:sectPr>
      </w:pPr>
    </w:p>
    <w:p>
      <w:pPr>
        <w:pStyle w:val="BodyText"/>
        <w:spacing w:line="290" w:lineRule="auto"/>
        <w:ind w:left="2700" w:right="2693"/>
        <w:jc w:val="both"/>
      </w:pPr>
      <w:r>
        <w:rPr>
          <w:spacing w:val="-13"/>
        </w:rPr>
        <w:t>态、工地和锅炉烟尘是颗粒污染物的主要来源；锅炉燃烧废气是</w:t>
      </w:r>
      <w:r>
        <w:rPr>
          <w:spacing w:val="-6"/>
        </w:rPr>
        <w:t xml:space="preserve">SO2 </w:t>
      </w:r>
      <w:r>
        <w:rPr>
          <w:spacing w:val="-2"/>
        </w:rPr>
        <w:t>的主要来源；汽车尾气和锅炉燃烧废气是有机化合物，特别</w:t>
      </w:r>
      <w:r>
        <w:t>VOC</w:t>
      </w:r>
      <w:r>
        <w:rPr>
          <w:spacing w:val="56"/>
        </w:rPr>
        <w:t xml:space="preserve"> 的主要来源。化工化学实验室是放射性污染物的主要来源。</w:t>
      </w:r>
    </w:p>
    <w:p>
      <w:pPr>
        <w:pStyle w:val="Heading1"/>
        <w:numPr>
          <w:ilvl w:val="1"/>
          <w:numId w:val="10"/>
        </w:numPr>
        <w:tabs>
          <w:tab w:val="left" w:pos="3551"/>
        </w:tabs>
        <w:spacing w:before="0" w:after="0" w:line="772" w:lineRule="exact"/>
        <w:ind w:left="3550" w:right="0" w:hanging="851"/>
        <w:jc w:val="both"/>
      </w:pPr>
      <w:bookmarkStart w:id="5" w:name="_TOC_250007"/>
      <w:bookmarkEnd w:id="5"/>
      <w:r>
        <w:t>现场调研</w:t>
      </w:r>
    </w:p>
    <w:p>
      <w:pPr>
        <w:pStyle w:val="BodyText"/>
        <w:spacing w:before="160" w:line="290" w:lineRule="auto"/>
        <w:ind w:left="2700" w:right="2688" w:firstLine="838"/>
        <w:jc w:val="both"/>
      </w:pPr>
      <w:r>
        <w:rPr>
          <w:spacing w:val="-9"/>
        </w:rPr>
        <w:t>校园内有两座室外运动场所都集中在学校北部，学校四周分布着</w:t>
      </w:r>
      <w:r>
        <w:t>18</w:t>
      </w:r>
      <w:r>
        <w:rPr>
          <w:spacing w:val="-2"/>
        </w:rPr>
        <w:t>号公寓、</w:t>
      </w:r>
      <w:r>
        <w:t>19</w:t>
      </w:r>
      <w:r>
        <w:rPr>
          <w:spacing w:val="-1"/>
        </w:rPr>
        <w:t>号公寓、</w:t>
      </w:r>
      <w:r>
        <w:t>22号公寓、嘉园公寓和留学生公寓。考虑地面用材情况，校内的地面状况可分为以下几类：</w:t>
      </w:r>
    </w:p>
    <w:p>
      <w:pPr>
        <w:pStyle w:val="ListParagraph"/>
        <w:numPr>
          <w:ilvl w:val="0"/>
          <w:numId w:val="8"/>
        </w:numPr>
        <w:tabs>
          <w:tab w:val="left" w:pos="4210"/>
        </w:tabs>
        <w:spacing w:before="0" w:after="0" w:line="290" w:lineRule="auto"/>
        <w:ind w:left="2700" w:right="2520" w:firstLine="838"/>
        <w:jc w:val="left"/>
        <w:rPr>
          <w:sz w:val="42"/>
        </w:rPr>
      </w:pPr>
      <w:r>
        <w:rPr>
          <w:sz w:val="42"/>
        </w:rPr>
        <w:t>裸土地。这种地面由经过平整的沙土覆盖，虽然是出于安全</w:t>
      </w:r>
      <w:r>
        <w:rPr>
          <w:spacing w:val="-1"/>
          <w:sz w:val="42"/>
        </w:rPr>
        <w:t>考虑、避免受伤，但北京天气干燥、降雨量少，有人在这样裸露的土地上跑动时，总是扬起一片尘土；遇到大风天气，常常尘土飞扬，沿</w:t>
      </w:r>
      <w:r>
        <w:rPr>
          <w:spacing w:val="-2"/>
          <w:sz w:val="42"/>
        </w:rPr>
        <w:t>运动场附近的道路边上积土成堆，降低能见度，成为空气中</w:t>
      </w:r>
      <w:r>
        <w:rPr>
          <w:sz w:val="42"/>
        </w:rPr>
        <w:t>TSP、PM10、降尘的来源，刺激呼吸道和肺部，影响人类健康和周围植物的生长。关于颗粒物介绍见后。</w:t>
      </w:r>
    </w:p>
    <w:p>
      <w:pPr>
        <w:pStyle w:val="ListParagraph"/>
        <w:numPr>
          <w:ilvl w:val="0"/>
          <w:numId w:val="8"/>
        </w:numPr>
        <w:tabs>
          <w:tab w:val="left" w:pos="4210"/>
          <w:tab w:val="left" w:pos="6607"/>
          <w:tab w:val="left" w:pos="9325"/>
          <w:tab w:val="left" w:pos="11280"/>
        </w:tabs>
        <w:spacing w:before="0" w:after="0" w:line="290" w:lineRule="auto"/>
        <w:ind w:left="2700" w:right="2520" w:firstLine="838"/>
        <w:jc w:val="left"/>
        <w:rPr>
          <w:sz w:val="42"/>
        </w:rPr>
      </w:pPr>
      <w:r>
        <w:rPr>
          <w:sz w:val="42"/>
        </w:rPr>
        <w:t>塑胶地面。塑胶运动场由素土层、碎石层、基础结构层（沥青砼或水泥砼）、塑胶面层组成，该地面的塑胶层主要为聚氨酯，</w:t>
      </w:r>
      <w:r>
        <w:rPr>
          <w:spacing w:val="-17"/>
          <w:sz w:val="42"/>
        </w:rPr>
        <w:t>强</w:t>
      </w:r>
      <w:r>
        <w:rPr>
          <w:sz w:val="42"/>
        </w:rPr>
        <w:t>度高、弹性好、耐磨、耐低温、防震隔音，是十分利于运动员发挥</w:t>
      </w:r>
      <w:r>
        <w:rPr>
          <w:spacing w:val="-17"/>
          <w:sz w:val="42"/>
        </w:rPr>
        <w:t>的</w:t>
      </w:r>
      <w:r>
        <w:rPr>
          <w:sz w:val="42"/>
        </w:rPr>
        <w:t>地面。但是，从学校操场的情况来看，塑胶地面在太阳照射、温度</w:t>
      </w:r>
      <w:r>
        <w:rPr>
          <w:spacing w:val="-17"/>
          <w:sz w:val="42"/>
        </w:rPr>
        <w:t>较</w:t>
      </w:r>
      <w:r>
        <w:rPr>
          <w:sz w:val="42"/>
        </w:rPr>
        <w:t>高的情况下会挥发出明显的气味</w:t>
      </w:r>
      <w:r>
        <w:rPr>
          <w:spacing w:val="-160"/>
          <w:sz w:val="42"/>
        </w:rPr>
        <w:t>，</w:t>
      </w:r>
      <w:r>
        <w:rPr>
          <w:sz w:val="42"/>
        </w:rPr>
        <w:t>该气味可能来自于塑胶颗粒本身和粘连塑胶颗粒的胶结料。例如以聚醚多元醇、扩链剂、异氰酸酯、</w:t>
      </w:r>
      <w:r>
        <w:rPr>
          <w:spacing w:val="-17"/>
          <w:sz w:val="42"/>
        </w:rPr>
        <w:t>增</w:t>
      </w:r>
      <w:r>
        <w:rPr>
          <w:sz w:val="42"/>
        </w:rPr>
        <w:t>塑剂、填料等为原材</w:t>
      </w:r>
      <w:r>
        <w:rPr>
          <w:spacing w:val="-10"/>
          <w:sz w:val="42"/>
        </w:rPr>
        <w:t>料</w:t>
      </w:r>
      <w:r>
        <w:rPr>
          <w:sz w:val="42"/>
        </w:rPr>
        <w:t>,制备</w:t>
      </w:r>
      <w:r>
        <w:rPr>
          <w:spacing w:val="-4"/>
          <w:sz w:val="42"/>
        </w:rPr>
        <w:t>的</w:t>
      </w:r>
      <w:r>
        <w:rPr>
          <w:sz w:val="42"/>
        </w:rPr>
        <w:t>MDI</w:t>
        <w:tab/>
        <w:t>型双组分聚氨酯塑胶跑道用浆  料</w:t>
      </w:r>
      <w:r>
        <w:rPr>
          <w:spacing w:val="-101"/>
          <w:sz w:val="42"/>
        </w:rPr>
        <w:t>。</w:t>
      </w:r>
      <w:r>
        <w:rPr>
          <w:sz w:val="42"/>
        </w:rPr>
        <w:t>研究表明</w:t>
      </w:r>
      <w:r>
        <w:rPr>
          <w:spacing w:val="-4"/>
          <w:sz w:val="42"/>
        </w:rPr>
        <w:t>该</w:t>
      </w:r>
      <w:r>
        <w:rPr>
          <w:sz w:val="42"/>
        </w:rPr>
        <w:t>MDI</w:t>
        <w:tab/>
        <w:t>型塑胶跑道与传统</w:t>
      </w:r>
      <w:r>
        <w:rPr>
          <w:spacing w:val="-11"/>
          <w:sz w:val="42"/>
        </w:rPr>
        <w:t>的</w:t>
      </w:r>
      <w:r>
        <w:rPr>
          <w:sz w:val="42"/>
        </w:rPr>
        <w:t>TDI</w:t>
        <w:tab/>
        <w:t>聚氨酯塑胶跑道相</w:t>
      </w:r>
      <w:r>
        <w:rPr>
          <w:spacing w:val="-10"/>
          <w:sz w:val="42"/>
        </w:rPr>
        <w:t>比</w:t>
      </w:r>
      <w:r>
        <w:rPr>
          <w:sz w:val="42"/>
        </w:rPr>
        <w:t>, 气味</w:t>
      </w:r>
    </w:p>
    <w:p>
      <w:pPr>
        <w:spacing w:after="0" w:line="290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https://d.book118.com/387112034106006046</w:t>
        </w:r>
      </w:hyperlink>
    </w:p>
    <w:p>
      <w:pPr>
        <w:spacing w:after="0" w:line="290" w:lineRule="auto"/>
        <w:jc w:val="left"/>
        <w:rPr>
          <w:sz w:val="42"/>
        </w:rPr>
      </w:pPr>
    </w:p>
    <w:sectPr>
      <w:headerReference w:type="default" r:id="rId39"/>
      <w:footerReference w:type="default" r:id="rId40"/>
      <w:pgSz w:w="17860" w:h="25260"/>
      <w:pgMar w:top="1780" w:right="0" w:bottom="1780" w:left="0" w:header="1121" w:footer="1591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32.25pt;height:9.6pt;margin-top:1172.35pt;margin-left:430.5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随意编辑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32.25pt;height:9.6pt;margin-top:1172.35pt;margin-left:430.5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随意编辑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32.25pt;height:9.6pt;margin-top:1172.35pt;margin-left:430.5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随意编辑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32.25pt;height:9.6pt;margin-top:1172.35pt;margin-left:430.5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随意编辑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32.25pt;height:9.6pt;margin-top:1172.35pt;margin-left:430.5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随意编辑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32.25pt;height:9.6pt;margin-top:1172.35pt;margin-left:430.5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随意编辑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32.25pt;height:9.6pt;margin-top:1172.35pt;margin-left:430.5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随意编辑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32.25pt;height:9.6pt;margin-top:1172.35pt;margin-left:430.5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随意编辑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32.25pt;height:9.6pt;margin-top:1172.35pt;margin-left:430.5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随意编辑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32.25pt;height:9.6pt;margin-top:1172.35pt;margin-left:430.5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随意编辑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32.25pt;height:9.6pt;margin-top:1172.35pt;margin-left:430.5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随意编辑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32.25pt;height:9.6pt;margin-top:1172.35pt;margin-left:430.5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随意编辑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32.25pt;height:9.6pt;margin-top:1172.35pt;margin-left:430.5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随意编辑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2.25pt;height:9.6pt;margin-top:57.47pt;margin-left:430.5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32.25pt;height:9.6pt;margin-top:57.47pt;margin-left:430.5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32.25pt;height:9.6pt;margin-top:57.47pt;margin-left:430.5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32.25pt;height:9.6pt;margin-top:57.47pt;margin-left:430.5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32.25pt;height:9.6pt;margin-top:57.47pt;margin-left:430.5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32.25pt;height:9.6pt;margin-top:57.47pt;margin-left:430.5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32.25pt;height:9.6pt;margin-top:57.47pt;margin-left:430.5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32.25pt;height:9.6pt;margin-top:57.47pt;margin-left:430.5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32.25pt;height:9.6pt;margin-top:57.47pt;margin-left:430.5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32.25pt;height:9.6pt;margin-top:57.47pt;margin-left:430.5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32.25pt;height:9.6pt;margin-top:57.47pt;margin-left:430.5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32.25pt;height:9.6pt;margin-top:57.47pt;margin-left:430.5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32.25pt;height:9.6pt;margin-top:57.47pt;margin-left:430.5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FDFDF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44D672"/>
    <w:multiLevelType w:val="hybridMultilevel"/>
    <w:tmpl w:val="00000000"/>
    <w:lvl w:ilvl="0">
      <w:start w:val="1"/>
      <w:numFmt w:val="decimal"/>
      <w:lvlText w:val="%1"/>
      <w:lvlJc w:val="left"/>
      <w:pPr>
        <w:ind w:left="457" w:hanging="457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651" w:hanging="4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42" w:hanging="4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34" w:hanging="4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25" w:hanging="4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17" w:hanging="4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08" w:hanging="4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00" w:hanging="4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91" w:hanging="457"/>
      </w:pPr>
      <w:rPr>
        <w:rFonts w:hint="default"/>
      </w:rPr>
    </w:lvl>
  </w:abstractNum>
  <w:abstractNum w:abstractNumId="1">
    <w:nsid w:val="28FFCFDE"/>
    <w:multiLevelType w:val="hybridMultilevel"/>
    <w:tmpl w:val="00000000"/>
    <w:lvl w:ilvl="0">
      <w:start w:val="1"/>
      <w:numFmt w:val="decimal"/>
      <w:lvlText w:val="%1."/>
      <w:lvlJc w:val="left"/>
      <w:pPr>
        <w:ind w:left="5220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6483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47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11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75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3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803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67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31" w:hanging="350"/>
      </w:pPr>
      <w:rPr>
        <w:rFonts w:hint="default"/>
      </w:rPr>
    </w:lvl>
  </w:abstractNum>
  <w:abstractNum w:abstractNumId="2">
    <w:nsid w:val="363248A3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671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6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6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6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6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6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6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6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671"/>
      </w:pPr>
      <w:rPr>
        <w:rFonts w:hint="default"/>
      </w:rPr>
    </w:lvl>
  </w:abstractNum>
  <w:abstractNum w:abstractNumId="3">
    <w:nsid w:val="3C455658"/>
    <w:multiLevelType w:val="hybridMultilevel"/>
    <w:tmpl w:val="00000000"/>
    <w:lvl w:ilvl="0">
      <w:start w:val="5"/>
      <w:numFmt w:val="decimal"/>
      <w:lvlText w:val="%1"/>
      <w:lvlJc w:val="left"/>
      <w:pPr>
        <w:ind w:left="3172" w:hanging="472"/>
        <w:jc w:val="left"/>
      </w:pPr>
      <w:rPr>
        <w:rFonts w:ascii="微软雅黑" w:eastAsia="微软雅黑" w:hAnsi="微软雅黑" w:cs="微软雅黑" w:hint="default"/>
        <w:b/>
        <w:bCs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3550" w:hanging="85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148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37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26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15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04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93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1" w:hanging="850"/>
      </w:pPr>
      <w:rPr>
        <w:rFonts w:hint="default"/>
      </w:rPr>
    </w:lvl>
  </w:abstractNum>
  <w:abstractNum w:abstractNumId="4">
    <w:nsid w:val="3EC18E12"/>
    <w:multiLevelType w:val="hybridMultilevel"/>
    <w:tmpl w:val="00000000"/>
    <w:lvl w:ilvl="0">
      <w:start w:val="6"/>
      <w:numFmt w:val="decimal"/>
      <w:lvlText w:val="%1"/>
      <w:lvlJc w:val="left"/>
      <w:pPr>
        <w:ind w:left="3341" w:hanging="641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341" w:hanging="641"/>
        <w:jc w:val="left"/>
      </w:pPr>
      <w:rPr>
        <w:rFonts w:ascii="微软雅黑" w:eastAsia="微软雅黑" w:hAnsi="微软雅黑" w:cs="微软雅黑" w:hint="default"/>
        <w:b/>
        <w:bCs/>
        <w:spacing w:val="-3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3852" w:hanging="115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971" w:hanging="11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26" w:hanging="11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82" w:hanging="11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37" w:hanging="11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93" w:hanging="11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48" w:hanging="1152"/>
      </w:pPr>
      <w:rPr>
        <w:rFonts w:hint="default"/>
      </w:rPr>
    </w:lvl>
  </w:abstractNum>
  <w:abstractNum w:abstractNumId="5">
    <w:nsid w:val="41500228"/>
    <w:multiLevelType w:val="hybridMultilevel"/>
    <w:tmpl w:val="00000000"/>
    <w:lvl w:ilvl="0">
      <w:start w:val="6"/>
      <w:numFmt w:val="decimal"/>
      <w:lvlText w:val="%1"/>
      <w:lvlJc w:val="left"/>
      <w:pPr>
        <w:ind w:left="2700" w:hanging="1067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700" w:hanging="106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0" w:hanging="1067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10486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39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593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646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699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753" w:hanging="1067"/>
      </w:pPr>
      <w:rPr>
        <w:rFonts w:hint="default"/>
      </w:rPr>
    </w:lvl>
  </w:abstractNum>
  <w:abstractNum w:abstractNumId="6">
    <w:nsid w:val="44BD645F"/>
    <w:multiLevelType w:val="hybridMultilevel"/>
    <w:tmpl w:val="00000000"/>
    <w:lvl w:ilvl="0">
      <w:start w:val="6"/>
      <w:numFmt w:val="decimal"/>
      <w:lvlText w:val="%1"/>
      <w:lvlJc w:val="left"/>
      <w:pPr>
        <w:ind w:left="2700" w:hanging="85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700" w:hanging="85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3."/>
      <w:lvlJc w:val="left"/>
      <w:pPr>
        <w:ind w:left="3892" w:hanging="353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7002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53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04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5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6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7" w:hanging="353"/>
      </w:pPr>
      <w:rPr>
        <w:rFonts w:hint="default"/>
      </w:rPr>
    </w:lvl>
  </w:abstractNum>
  <w:abstractNum w:abstractNumId="7">
    <w:nsid w:val="587B5A64"/>
    <w:multiLevelType w:val="hybridMultilevel"/>
    <w:tmpl w:val="00000000"/>
    <w:lvl w:ilvl="0">
      <w:start w:val="1"/>
      <w:numFmt w:val="decimal"/>
      <w:lvlText w:val="%1"/>
      <w:lvlJc w:val="left"/>
      <w:pPr>
        <w:ind w:left="3179" w:hanging="472"/>
        <w:jc w:val="left"/>
      </w:pPr>
      <w:rPr>
        <w:rFonts w:ascii="微软雅黑" w:eastAsia="微软雅黑" w:hAnsi="微软雅黑" w:cs="微软雅黑" w:hint="default"/>
        <w:b/>
        <w:bCs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4061" w:hanging="731"/>
        <w:jc w:val="left"/>
      </w:pPr>
      <w:rPr>
        <w:rFonts w:hint="default"/>
        <w:b/>
        <w:bCs/>
        <w:spacing w:val="-1"/>
        <w:w w:val="100"/>
      </w:rPr>
    </w:lvl>
    <w:lvl w:ilvl="2">
      <w:start w:val="1"/>
      <w:numFmt w:val="decimal"/>
      <w:lvlText w:val="%1.%2.%3"/>
      <w:lvlJc w:val="left"/>
      <w:pPr>
        <w:ind w:left="4950" w:hanging="73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960" w:hanging="7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20" w:hanging="7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7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9" w:hanging="7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9" w:hanging="7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79" w:hanging="731"/>
      </w:pPr>
      <w:rPr>
        <w:rFonts w:hint="default"/>
      </w:rPr>
    </w:lvl>
  </w:abstractNum>
  <w:abstractNum w:abstractNumId="8">
    <w:nsid w:val="59C97EDA"/>
    <w:multiLevelType w:val="hybridMultilevel"/>
    <w:tmpl w:val="00000000"/>
    <w:lvl w:ilvl="0">
      <w:start w:val="1"/>
      <w:numFmt w:val="decimal"/>
      <w:lvlText w:val="%1"/>
      <w:lvlJc w:val="left"/>
      <w:pPr>
        <w:ind w:left="3172" w:hanging="472"/>
        <w:jc w:val="left"/>
      </w:pPr>
      <w:rPr>
        <w:rFonts w:ascii="微软雅黑" w:eastAsia="微软雅黑" w:hAnsi="微软雅黑" w:cs="微软雅黑" w:hint="default"/>
        <w:b/>
        <w:bCs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3550" w:hanging="85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3852" w:hanging="115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609" w:hanging="11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59" w:hanging="11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9" w:hanging="11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9" w:hanging="11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09" w:hanging="11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59" w:hanging="1152"/>
      </w:pPr>
      <w:rPr>
        <w:rFonts w:hint="default"/>
      </w:rPr>
    </w:lvl>
  </w:abstractNum>
  <w:abstractNum w:abstractNumId="9">
    <w:nsid w:val="5DFC0987"/>
    <w:multiLevelType w:val="hybridMultilevel"/>
    <w:tmpl w:val="00000000"/>
    <w:lvl w:ilvl="0">
      <w:start w:val="4"/>
      <w:numFmt w:val="decimal"/>
      <w:lvlText w:val="%1."/>
      <w:lvlJc w:val="left"/>
      <w:pPr>
        <w:ind w:left="4210" w:hanging="671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583" w:hanging="6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47" w:hanging="6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11" w:hanging="6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75" w:hanging="6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39" w:hanging="6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03" w:hanging="6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67" w:hanging="6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31" w:hanging="671"/>
      </w:pPr>
      <w:rPr>
        <w:rFonts w:hint="default"/>
      </w:rPr>
    </w:lvl>
  </w:abstractNum>
  <w:abstractNum w:abstractNumId="10">
    <w:nsid w:val="7BFB8246"/>
    <w:multiLevelType w:val="hybridMultilevel"/>
    <w:tmpl w:val="00000000"/>
    <w:lvl w:ilvl="0">
      <w:start w:val="1"/>
      <w:numFmt w:val="decimal"/>
      <w:lvlText w:val="%1"/>
      <w:lvlJc w:val="left"/>
      <w:pPr>
        <w:ind w:left="2700" w:hanging="324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1"/>
      <w:numFmt w:val="decimal"/>
      <w:lvlText w:val="%2."/>
      <w:lvlJc w:val="left"/>
      <w:pPr>
        <w:ind w:left="2700" w:hanging="671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731" w:hanging="6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6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6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6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6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6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671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0"/>
  </w:num>
  <w:num w:numId="6">
    <w:abstractNumId w:val="3"/>
  </w:num>
  <w:num w:numId="7">
    <w:abstractNumId w:val="9"/>
  </w:num>
  <w:num w:numId="8">
    <w:abstractNumId w:val="2"/>
  </w:num>
  <w:num w:numId="9">
    <w:abstractNumId w:val="10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3550" w:hanging="851"/>
      <w:outlineLvl w:val="0"/>
    </w:pPr>
    <w:rPr>
      <w:rFonts w:ascii="微软雅黑" w:eastAsia="微软雅黑" w:hAnsi="微软雅黑" w:cs="微软雅黑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162"/>
      <w:ind w:left="3179" w:hanging="472"/>
    </w:pPr>
    <w:rPr>
      <w:rFonts w:ascii="微软雅黑" w:eastAsia="微软雅黑" w:hAnsi="微软雅黑" w:cs="微软雅黑"/>
      <w:b/>
      <w:bCs/>
      <w:sz w:val="42"/>
      <w:szCs w:val="42"/>
    </w:rPr>
  </w:style>
  <w:style w:type="paragraph" w:styleId="TOC2">
    <w:name w:val="toc 2"/>
    <w:basedOn w:val="Normal"/>
    <w:uiPriority w:val="1"/>
    <w:qFormat/>
    <w:pPr>
      <w:spacing w:before="133"/>
      <w:ind w:left="3179" w:hanging="472"/>
    </w:pPr>
    <w:rPr>
      <w:rFonts w:ascii="微软雅黑" w:eastAsia="微软雅黑" w:hAnsi="微软雅黑" w:cs="微软雅黑"/>
      <w:b/>
      <w:bCs/>
      <w:i/>
    </w:rPr>
  </w:style>
  <w:style w:type="paragraph" w:styleId="TOC3">
    <w:name w:val="toc 3"/>
    <w:basedOn w:val="Normal"/>
    <w:uiPriority w:val="1"/>
    <w:qFormat/>
    <w:pPr>
      <w:spacing w:before="272"/>
      <w:ind w:left="4061" w:hanging="732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TOC4">
    <w:name w:val="toc 4"/>
    <w:basedOn w:val="Normal"/>
    <w:uiPriority w:val="1"/>
    <w:qFormat/>
    <w:pPr>
      <w:spacing w:before="273"/>
      <w:ind w:left="4061" w:hanging="732"/>
    </w:pPr>
    <w:rPr>
      <w:rFonts w:ascii="微软雅黑" w:eastAsia="微软雅黑" w:hAnsi="微软雅黑" w:cs="微软雅黑"/>
      <w:b/>
      <w:bCs/>
      <w:i/>
    </w:rPr>
  </w:style>
  <w:style w:type="paragraph" w:styleId="TOC5">
    <w:name w:val="toc 5"/>
    <w:basedOn w:val="Normal"/>
    <w:uiPriority w:val="1"/>
    <w:qFormat/>
    <w:pPr>
      <w:spacing w:before="272"/>
      <w:ind w:left="4950" w:hanging="991"/>
    </w:pPr>
    <w:rPr>
      <w:rFonts w:ascii="微软雅黑" w:eastAsia="微软雅黑" w:hAnsi="微软雅黑" w:cs="微软雅黑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2"/>
      <w:szCs w:val="42"/>
    </w:rPr>
  </w:style>
  <w:style w:type="paragraph" w:styleId="Title">
    <w:name w:val="Title"/>
    <w:basedOn w:val="Normal"/>
    <w:uiPriority w:val="1"/>
    <w:qFormat/>
    <w:pPr>
      <w:spacing w:line="874" w:lineRule="exact"/>
      <w:ind w:left="1439"/>
      <w:jc w:val="center"/>
    </w:pPr>
    <w:rPr>
      <w:rFonts w:ascii="微软雅黑" w:eastAsia="微软雅黑" w:hAnsi="微软雅黑" w:cs="微软雅黑"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2700" w:hanging="732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1.png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image" Target="media/image2.png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3.png" /><Relationship Id="rId21" Type="http://schemas.openxmlformats.org/officeDocument/2006/relationships/image" Target="media/image4.png" /><Relationship Id="rId22" Type="http://schemas.openxmlformats.org/officeDocument/2006/relationships/image" Target="media/image5.png" /><Relationship Id="rId23" Type="http://schemas.openxmlformats.org/officeDocument/2006/relationships/image" Target="media/image6.png" /><Relationship Id="rId24" Type="http://schemas.openxmlformats.org/officeDocument/2006/relationships/image" Target="media/image7.png" /><Relationship Id="rId25" Type="http://schemas.openxmlformats.org/officeDocument/2006/relationships/header" Target="header8.xml" /><Relationship Id="rId26" Type="http://schemas.openxmlformats.org/officeDocument/2006/relationships/footer" Target="footer8.xml" /><Relationship Id="rId27" Type="http://schemas.openxmlformats.org/officeDocument/2006/relationships/header" Target="header9.xml" /><Relationship Id="rId28" Type="http://schemas.openxmlformats.org/officeDocument/2006/relationships/footer" Target="footer9.xml" /><Relationship Id="rId29" Type="http://schemas.openxmlformats.org/officeDocument/2006/relationships/image" Target="media/image8.png" /><Relationship Id="rId3" Type="http://schemas.openxmlformats.org/officeDocument/2006/relationships/fontTable" Target="fontTable.xml" /><Relationship Id="rId30" Type="http://schemas.openxmlformats.org/officeDocument/2006/relationships/image" Target="media/image9.png" /><Relationship Id="rId31" Type="http://schemas.openxmlformats.org/officeDocument/2006/relationships/header" Target="header10.xml" /><Relationship Id="rId32" Type="http://schemas.openxmlformats.org/officeDocument/2006/relationships/footer" Target="footer10.xml" /><Relationship Id="rId33" Type="http://schemas.openxmlformats.org/officeDocument/2006/relationships/image" Target="media/image10.png" /><Relationship Id="rId34" Type="http://schemas.openxmlformats.org/officeDocument/2006/relationships/header" Target="header11.xml" /><Relationship Id="rId35" Type="http://schemas.openxmlformats.org/officeDocument/2006/relationships/footer" Target="footer11.xml" /><Relationship Id="rId36" Type="http://schemas.openxmlformats.org/officeDocument/2006/relationships/header" Target="header12.xml" /><Relationship Id="rId37" Type="http://schemas.openxmlformats.org/officeDocument/2006/relationships/footer" Target="footer12.xml" /><Relationship Id="rId38" Type="http://schemas.openxmlformats.org/officeDocument/2006/relationships/hyperlink" Target="https://d.book118.com/387112034106006046" TargetMode="External" /><Relationship Id="rId39" Type="http://schemas.openxmlformats.org/officeDocument/2006/relationships/header" Target="header13.xml" /><Relationship Id="rId4" Type="http://schemas.openxmlformats.org/officeDocument/2006/relationships/header" Target="header1.xml" /><Relationship Id="rId40" Type="http://schemas.openxmlformats.org/officeDocument/2006/relationships/footer" Target="footer13.xml" /><Relationship Id="rId41" Type="http://schemas.openxmlformats.org/officeDocument/2006/relationships/theme" Target="theme/theme1.xml" /><Relationship Id="rId42" Type="http://schemas.openxmlformats.org/officeDocument/2006/relationships/numbering" Target="numbering.xml" /><Relationship Id="rId43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2024-02-01T16:54:56Z</dcterms:created>
  <dcterms:modified xsi:type="dcterms:W3CDTF">2024-02-01T16:54:56Z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2022-11-28T00:00:00Z</vt:filetime>
  </property>
  <property fmtid="{D5CDD505-2E9C-101B-9397-08002B2CF9AE}" pid="3" name="LastSaved">
    <vt:filetime>2024-02-01T00:00:00Z</vt:filetime>
  </property>
</Properties>
</file>