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0"/>
        <w:ind w:left="524" w:right="763" w:firstLine="0"/>
        <w:jc w:val="center"/>
        <w:rPr>
          <w:rFonts w:ascii="黑体" w:eastAsia="黑体"/>
          <w:sz w:val="32"/>
        </w:rPr>
      </w:pPr>
      <w:r>
        <w:rPr>
          <w:rFonts w:ascii="黑体" w:eastAsia="黑体"/>
          <w:spacing w:val="-1"/>
          <w:sz w:val="32"/>
        </w:rPr>
        <w:t>仅供学习参考范文格式，严禁照搬照抄范文内容</w:t>
      </w:r>
    </w:p>
    <w:p>
      <w:pPr>
        <w:pStyle w:val="BodyText"/>
        <w:rPr>
          <w:rFonts w:ascii="黑体"/>
          <w:sz w:val="32"/>
        </w:rPr>
      </w:pPr>
    </w:p>
    <w:p>
      <w:pPr>
        <w:pStyle w:val="BodyText"/>
        <w:rPr>
          <w:rFonts w:ascii="黑体"/>
          <w:sz w:val="32"/>
        </w:rPr>
      </w:pPr>
    </w:p>
    <w:p>
      <w:pPr>
        <w:pStyle w:val="BodyText"/>
        <w:spacing w:before="9"/>
        <w:rPr>
          <w:rFonts w:ascii="黑体"/>
          <w:sz w:val="29"/>
        </w:rPr>
      </w:pPr>
    </w:p>
    <w:p>
      <w:pPr>
        <w:pStyle w:val="Title"/>
      </w:pPr>
      <w:r>
        <w:rPr>
          <w:spacing w:val="-3"/>
        </w:rPr>
        <w:t>毕业论文</w:t>
      </w:r>
    </w:p>
    <w:p>
      <w:pPr>
        <w:pStyle w:val="BodyText"/>
        <w:spacing w:before="10"/>
        <w:rPr>
          <w:rFonts w:ascii="Microsoft JhengHei"/>
          <w:b/>
          <w:sz w:val="74"/>
        </w:rPr>
      </w:pPr>
    </w:p>
    <w:p>
      <w:pPr>
        <w:pStyle w:val="Heading1"/>
        <w:ind w:right="763"/>
        <w:jc w:val="center"/>
      </w:pPr>
      <w:r>
        <w:rPr>
          <w:spacing w:val="-1"/>
        </w:rPr>
        <w:t>油气回收技术的研究现状及其应用前景</w:t>
      </w:r>
    </w:p>
    <w:p>
      <w:pPr>
        <w:pStyle w:val="BodyText"/>
        <w:rPr>
          <w:rFonts w:ascii="黑体"/>
          <w:sz w:val="44"/>
        </w:rPr>
      </w:pPr>
    </w:p>
    <w:p>
      <w:pPr>
        <w:pStyle w:val="BodyText"/>
        <w:rPr>
          <w:rFonts w:ascii="黑体"/>
          <w:sz w:val="44"/>
        </w:rPr>
      </w:pPr>
    </w:p>
    <w:p>
      <w:pPr>
        <w:pStyle w:val="BodyText"/>
        <w:rPr>
          <w:rFonts w:ascii="黑体"/>
          <w:sz w:val="44"/>
        </w:rPr>
      </w:pPr>
    </w:p>
    <w:p>
      <w:pPr>
        <w:pStyle w:val="BodyText"/>
        <w:rPr>
          <w:rFonts w:ascii="黑体"/>
          <w:sz w:val="44"/>
        </w:rPr>
      </w:pPr>
    </w:p>
    <w:p>
      <w:pPr>
        <w:pStyle w:val="BodyText"/>
        <w:rPr>
          <w:rFonts w:ascii="黑体"/>
          <w:sz w:val="31"/>
        </w:rPr>
      </w:pPr>
    </w:p>
    <w:p>
      <w:pPr>
        <w:tabs>
          <w:tab w:val="left" w:pos="3407"/>
        </w:tabs>
        <w:spacing w:before="0"/>
        <w:ind w:left="2446" w:right="0" w:firstLine="0"/>
        <w:jc w:val="left"/>
        <w:rPr>
          <w:rFonts w:ascii="Microsoft JhengHei" w:eastAsia="Microsoft JhengHei"/>
          <w:b/>
          <w:sz w:val="32"/>
        </w:rPr>
      </w:pPr>
      <w:r>
        <w:pict>
          <v:line id="_x0000_s1025" style="mso-position-horizontal-relative:page;position:absolute;z-index:-251658240" from="275.55pt,25.5pt" to="403.05pt,25.35pt" stroked="t" strokecolor="black" strokeweight="0.75pt">
            <v:stroke dashstyle="solid"/>
          </v:line>
        </w:pict>
      </w:r>
      <w:r>
        <w:rPr>
          <w:rFonts w:ascii="Microsoft JhengHei" w:eastAsia="Microsoft JhengHei"/>
          <w:b/>
          <w:spacing w:val="-10"/>
          <w:sz w:val="32"/>
        </w:rPr>
        <w:t>学</w:t>
      </w:r>
      <w:r>
        <w:rPr>
          <w:rFonts w:ascii="Microsoft JhengHei" w:eastAsia="Microsoft JhengHei"/>
          <w:b/>
          <w:sz w:val="32"/>
        </w:rPr>
        <w:tab/>
        <w:t>生</w:t>
      </w:r>
      <w:r>
        <w:rPr>
          <w:rFonts w:ascii="Microsoft JhengHei" w:eastAsia="Microsoft JhengHei"/>
          <w:b/>
          <w:spacing w:val="-10"/>
          <w:sz w:val="32"/>
        </w:rPr>
        <w:t>：</w:t>
      </w:r>
    </w:p>
    <w:p>
      <w:pPr>
        <w:tabs>
          <w:tab w:val="left" w:pos="3401"/>
        </w:tabs>
        <w:spacing w:before="34"/>
        <w:ind w:left="2440" w:right="0" w:firstLine="0"/>
        <w:jc w:val="left"/>
        <w:rPr>
          <w:rFonts w:ascii="Microsoft JhengHei" w:eastAsia="Microsoft JhengHei"/>
          <w:b/>
          <w:sz w:val="32"/>
        </w:rPr>
      </w:pPr>
      <w:r>
        <w:pict>
          <v:line id="_x0000_s1026" style="mso-position-horizontal-relative:page;position:absolute;z-index:-251657216" from="275.7pt,25.2pt" to="402.45pt,25.5pt" stroked="t" strokecolor="black" strokeweight="0.75pt">
            <v:stroke dashstyle="solid"/>
          </v:line>
        </w:pict>
      </w:r>
      <w:r>
        <w:rPr>
          <w:rFonts w:ascii="Microsoft JhengHei" w:eastAsia="Microsoft JhengHei"/>
          <w:b/>
          <w:spacing w:val="-10"/>
          <w:sz w:val="32"/>
        </w:rPr>
        <w:t>学</w:t>
      </w:r>
      <w:r>
        <w:rPr>
          <w:rFonts w:ascii="Microsoft JhengHei" w:eastAsia="Microsoft JhengHei"/>
          <w:b/>
          <w:sz w:val="32"/>
        </w:rPr>
        <w:tab/>
        <w:t>号</w:t>
      </w:r>
      <w:r>
        <w:rPr>
          <w:rFonts w:ascii="Microsoft JhengHei" w:eastAsia="Microsoft JhengHei"/>
          <w:b/>
          <w:spacing w:val="-10"/>
          <w:sz w:val="32"/>
        </w:rPr>
        <w:t>：</w:t>
      </w:r>
    </w:p>
    <w:p>
      <w:pPr>
        <w:tabs>
          <w:tab w:val="left" w:pos="3401"/>
        </w:tabs>
        <w:spacing w:before="34" w:line="254" w:lineRule="auto"/>
        <w:ind w:left="2440" w:right="2813" w:firstLine="0"/>
        <w:jc w:val="left"/>
        <w:rPr>
          <w:rFonts w:ascii="Microsoft JhengHei" w:eastAsia="Microsoft JhengHei"/>
          <w:b/>
          <w:sz w:val="32"/>
        </w:rPr>
      </w:pPr>
      <w:r>
        <w:pict>
          <v:line id="_x0000_s1027" style="mso-position-horizontal-relative:page;position:absolute;z-index:-251656192" from="276.45pt,24.6pt" to="404.7pt,24.6pt" stroked="t" strokecolor="black" strokeweight="0.75pt">
            <v:stroke dashstyle="solid"/>
          </v:line>
        </w:pict>
      </w:r>
      <w:r>
        <w:pict>
          <v:line id="_x0000_s1028" style="mso-position-horizontal-relative:page;position:absolute;z-index:-251655168" from="276.45pt,57.25pt" to="405.45pt,57.7pt" stroked="t" strokecolor="black" strokeweight="0.75pt">
            <v:stroke dashstyle="solid"/>
          </v:line>
        </w:pict>
      </w:r>
      <w:r>
        <w:rPr>
          <w:rFonts w:ascii="Microsoft JhengHei" w:eastAsia="Microsoft JhengHei"/>
          <w:b/>
          <w:spacing w:val="-10"/>
          <w:sz w:val="32"/>
        </w:rPr>
        <w:t>专</w:t>
      </w:r>
      <w:r>
        <w:rPr>
          <w:rFonts w:ascii="Microsoft JhengHei" w:eastAsia="Microsoft JhengHei"/>
          <w:b/>
          <w:sz w:val="32"/>
        </w:rPr>
        <w:tab/>
      </w:r>
      <w:r>
        <w:rPr>
          <w:rFonts w:ascii="Microsoft JhengHei" w:eastAsia="Microsoft JhengHei"/>
          <w:b/>
          <w:spacing w:val="-2"/>
          <w:sz w:val="32"/>
        </w:rPr>
        <w:t>业</w:t>
      </w:r>
      <w:r>
        <w:rPr>
          <w:rFonts w:ascii="Microsoft JhengHei" w:eastAsia="Microsoft JhengHei"/>
          <w:b/>
          <w:spacing w:val="-2"/>
          <w:sz w:val="32"/>
        </w:rPr>
        <w:t>：</w:t>
      </w:r>
      <w:r>
        <w:rPr>
          <w:rFonts w:ascii="Microsoft JhengHei" w:eastAsia="Microsoft JhengHei"/>
          <w:b/>
          <w:spacing w:val="-2"/>
          <w:sz w:val="32"/>
        </w:rPr>
        <w:t>管</w:t>
      </w:r>
      <w:r>
        <w:rPr>
          <w:rFonts w:ascii="Microsoft JhengHei" w:eastAsia="Microsoft JhengHei"/>
          <w:b/>
          <w:spacing w:val="-2"/>
          <w:sz w:val="32"/>
        </w:rPr>
        <w:t>道</w:t>
      </w:r>
      <w:r>
        <w:rPr>
          <w:rFonts w:ascii="Microsoft JhengHei" w:eastAsia="Microsoft JhengHei"/>
          <w:b/>
          <w:spacing w:val="-2"/>
          <w:sz w:val="32"/>
        </w:rPr>
        <w:t>工</w:t>
      </w:r>
      <w:r>
        <w:rPr>
          <w:rFonts w:ascii="Microsoft JhengHei" w:eastAsia="Microsoft JhengHei"/>
          <w:b/>
          <w:spacing w:val="-2"/>
          <w:sz w:val="32"/>
        </w:rPr>
        <w:t>程</w:t>
      </w:r>
      <w:r>
        <w:rPr>
          <w:rFonts w:ascii="Microsoft JhengHei" w:eastAsia="Microsoft JhengHei"/>
          <w:b/>
          <w:spacing w:val="-2"/>
          <w:sz w:val="32"/>
        </w:rPr>
        <w:t>技</w:t>
      </w:r>
      <w:r>
        <w:rPr>
          <w:rFonts w:ascii="Microsoft JhengHei" w:eastAsia="Microsoft JhengHei"/>
          <w:b/>
          <w:spacing w:val="-2"/>
          <w:sz w:val="32"/>
        </w:rPr>
        <w:t>术</w:t>
      </w:r>
      <w:r>
        <w:rPr>
          <w:rFonts w:ascii="Microsoft JhengHei" w:eastAsia="Microsoft JhengHei"/>
          <w:b/>
          <w:spacing w:val="-10"/>
          <w:sz w:val="32"/>
        </w:rPr>
        <w:t>班</w:t>
      </w:r>
      <w:r>
        <w:rPr>
          <w:rFonts w:ascii="Microsoft JhengHei" w:eastAsia="Microsoft JhengHei"/>
          <w:b/>
          <w:sz w:val="32"/>
        </w:rPr>
        <w:tab/>
      </w:r>
      <w:r>
        <w:rPr>
          <w:rFonts w:ascii="Microsoft JhengHei" w:eastAsia="Microsoft JhengHei"/>
          <w:b/>
          <w:spacing w:val="-6"/>
          <w:sz w:val="32"/>
        </w:rPr>
        <w:t>级：</w:t>
      </w:r>
    </w:p>
    <w:p>
      <w:pPr>
        <w:spacing w:before="0" w:line="586" w:lineRule="exact"/>
        <w:ind w:left="2440" w:right="0" w:firstLine="0"/>
        <w:jc w:val="left"/>
        <w:rPr>
          <w:rFonts w:ascii="Microsoft JhengHei" w:eastAsia="Microsoft JhengHei"/>
          <w:b/>
          <w:sz w:val="32"/>
        </w:rPr>
      </w:pPr>
      <w:r>
        <w:pict>
          <v:line id="_x0000_s1029" style="mso-position-horizontal-relative:page;position:absolute;z-index:-251654144" from="277.05pt,22.75pt" to="405.3pt,22.6pt" stroked="t" strokecolor="black" strokeweight="0.75pt">
            <v:stroke dashstyle="solid"/>
          </v:line>
        </w:pict>
      </w:r>
      <w:r>
        <w:rPr>
          <w:rFonts w:ascii="Microsoft JhengHei" w:eastAsia="Microsoft JhengHei"/>
          <w:b/>
          <w:spacing w:val="-2"/>
          <w:sz w:val="32"/>
        </w:rPr>
        <w:t>指导教师：</w:t>
      </w:r>
    </w:p>
    <w:p>
      <w:pPr>
        <w:spacing w:after="0" w:line="586" w:lineRule="exact"/>
        <w:jc w:val="left"/>
        <w:rPr>
          <w:rFonts w:ascii="Microsoft JhengHei" w:eastAsia="Microsoft JhengHei"/>
          <w:sz w:val="32"/>
        </w:rPr>
        <w:sectPr>
          <w:type w:val="continuous"/>
          <w:pgSz w:w="11910" w:h="16840"/>
          <w:pgMar w:top="1520" w:right="1440" w:bottom="280" w:left="1680" w:header="708" w:footer="708"/>
          <w:cols w:space="708"/>
        </w:sectPr>
      </w:pPr>
    </w:p>
    <w:p>
      <w:pPr>
        <w:pStyle w:val="BodyText"/>
        <w:rPr>
          <w:rFonts w:ascii="Microsoft JhengHei"/>
          <w:b/>
          <w:sz w:val="20"/>
        </w:rPr>
      </w:pPr>
    </w:p>
    <w:p>
      <w:pPr>
        <w:pStyle w:val="BodyText"/>
        <w:spacing w:before="15"/>
        <w:rPr>
          <w:rFonts w:ascii="Microsoft JhengHei"/>
          <w:b/>
        </w:rPr>
      </w:pPr>
    </w:p>
    <w:p>
      <w:pPr>
        <w:spacing w:before="58"/>
        <w:ind w:left="524" w:right="141" w:firstLine="0"/>
        <w:jc w:val="center"/>
        <w:rPr>
          <w:rFonts w:ascii="黑体" w:eastAsia="黑体"/>
          <w:sz w:val="30"/>
        </w:rPr>
      </w:pPr>
      <w:r>
        <w:rPr>
          <w:rFonts w:ascii="黑体" w:eastAsia="黑体"/>
          <w:spacing w:val="-1"/>
          <w:sz w:val="30"/>
        </w:rPr>
        <w:t>安全技术与环境工程系</w:t>
      </w:r>
    </w:p>
    <w:p>
      <w:pPr>
        <w:tabs>
          <w:tab w:val="left" w:pos="1382"/>
        </w:tabs>
        <w:spacing w:before="196"/>
        <w:ind w:left="542" w:right="0" w:firstLine="0"/>
        <w:jc w:val="center"/>
        <w:rPr>
          <w:rFonts w:ascii="Microsoft JhengHei" w:eastAsia="Microsoft JhengHei"/>
          <w:b/>
          <w:sz w:val="24"/>
        </w:rPr>
      </w:pPr>
      <w:r>
        <w:rPr>
          <w:rFonts w:ascii="Microsoft JhengHei" w:eastAsia="Microsoft JhengHei"/>
          <w:b/>
          <w:spacing w:val="-10"/>
          <w:sz w:val="24"/>
        </w:rPr>
        <w:t>年</w:t>
      </w:r>
      <w:r>
        <w:rPr>
          <w:rFonts w:ascii="Microsoft JhengHei" w:eastAsia="Microsoft JhengHei"/>
          <w:b/>
          <w:sz w:val="24"/>
        </w:rPr>
        <w:tab/>
      </w:r>
      <w:r>
        <w:rPr>
          <w:rFonts w:ascii="Microsoft JhengHei" w:eastAsia="Microsoft JhengHei"/>
          <w:b/>
          <w:spacing w:val="-10"/>
          <w:sz w:val="24"/>
        </w:rPr>
        <w:t>月</w:t>
      </w:r>
    </w:p>
    <w:p>
      <w:pPr>
        <w:pStyle w:val="BodyText"/>
        <w:rPr>
          <w:rFonts w:ascii="Microsoft JhengHei"/>
          <w:b/>
        </w:rPr>
      </w:pPr>
    </w:p>
    <w:p>
      <w:pPr>
        <w:pStyle w:val="BodyText"/>
        <w:spacing w:before="2"/>
        <w:rPr>
          <w:rFonts w:ascii="Microsoft JhengHei"/>
          <w:b/>
          <w:sz w:val="13"/>
        </w:rPr>
      </w:pPr>
    </w:p>
    <w:p>
      <w:pPr>
        <w:spacing w:before="0"/>
        <w:ind w:left="524" w:right="763" w:firstLine="0"/>
        <w:jc w:val="center"/>
        <w:rPr>
          <w:sz w:val="36"/>
        </w:rPr>
      </w:pPr>
      <w:r>
        <w:rPr>
          <w:spacing w:val="-5"/>
          <w:sz w:val="36"/>
        </w:rPr>
        <w:t>目录</w:t>
      </w:r>
    </w:p>
    <w:p>
      <w:pPr>
        <w:spacing w:after="0"/>
        <w:jc w:val="center"/>
        <w:rPr>
          <w:sz w:val="36"/>
        </w:rPr>
        <w:sectPr>
          <w:footerReference w:type="default" r:id="rId4"/>
          <w:pgSz w:w="11910" w:h="16840"/>
          <w:pgMar w:top="1920" w:right="1440" w:bottom="1754" w:left="1680" w:header="0" w:footer="990"/>
          <w:pgNumType w:start="2"/>
          <w:cols w:space="708"/>
        </w:sectPr>
      </w:pPr>
    </w:p>
    <w:sdt>
      <w:sdtPr>
        <w:id w:val="2009224108"/>
        <w:docPartObj>
          <w:docPartGallery w:val="Table of Contents"/>
          <w:docPartUnique/>
        </w:docPartObj>
      </w:sdtPr>
      <w:sdtContent>
        <w:p>
          <w:pPr>
            <w:pStyle w:val="TOC1"/>
            <w:tabs>
              <w:tab w:val="right" w:leader="dot" w:pos="8419"/>
            </w:tabs>
            <w:spacing w:before="171"/>
            <w:ind w:left="116" w:firstLine="0"/>
            <w:rPr>
              <w:rFonts w:ascii="Arial" w:eastAsia="Arial"/>
            </w:rPr>
          </w:pPr>
          <w:r>
            <w:t>摘</w:t>
          </w:r>
          <w:r>
            <w:rPr>
              <w:spacing w:val="-10"/>
            </w:rPr>
            <w:t>要</w:t>
          </w:r>
          <w:r>
            <w:rPr>
              <w:rFonts w:ascii="Times New Roman" w:eastAsia="Times New Roman"/>
            </w:rPr>
            <w:tab/>
          </w:r>
          <w:r>
            <w:rPr>
              <w:rFonts w:ascii="Arial" w:eastAsia="Arial"/>
              <w:spacing w:val="-10"/>
            </w:rPr>
            <w:t>1</w:t>
          </w:r>
        </w:p>
        <w:p>
          <w:pPr>
            <w:pStyle w:val="TOC1"/>
            <w:tabs>
              <w:tab w:val="right" w:leader="dot" w:pos="8419"/>
            </w:tabs>
            <w:ind w:left="116" w:firstLine="0"/>
            <w:rPr>
              <w:rFonts w:ascii="Arial" w:eastAsia="Arial"/>
            </w:rPr>
          </w:pPr>
          <w:r>
            <w:t>关键</w:t>
          </w:r>
          <w:r>
            <w:rPr>
              <w:spacing w:val="-10"/>
            </w:rPr>
            <w:t>词</w:t>
          </w:r>
          <w:r>
            <w:rPr>
              <w:rFonts w:ascii="Times New Roman" w:eastAsia="Times New Roman"/>
            </w:rPr>
            <w:tab/>
          </w:r>
          <w:r>
            <w:rPr>
              <w:rFonts w:ascii="Arial" w:eastAsia="Arial"/>
              <w:spacing w:val="-10"/>
            </w:rPr>
            <w:t>1</w:t>
          </w:r>
        </w:p>
        <w:p>
          <w:pPr>
            <w:pStyle w:val="TOC1"/>
            <w:tabs>
              <w:tab w:val="right" w:leader="dot" w:pos="8419"/>
            </w:tabs>
            <w:spacing w:before="93"/>
            <w:ind w:left="116" w:firstLine="0"/>
            <w:rPr>
              <w:rFonts w:ascii="Arial" w:eastAsia="Arial"/>
            </w:rPr>
          </w:pPr>
          <w:hyperlink w:anchor="_TOC_250007" w:history="1">
            <w:r>
              <w:t>引</w:t>
            </w:r>
            <w:r>
              <w:rPr>
                <w:spacing w:val="-10"/>
              </w:rPr>
              <w:t>言</w:t>
            </w:r>
            <w:r>
              <w:rPr>
                <w:rFonts w:ascii="Times New Roman" w:eastAsia="Times New Roman"/>
              </w:rPr>
              <w:tab/>
            </w:r>
            <w:r>
              <w:rPr>
                <w:rFonts w:ascii="Arial" w:eastAsia="Arial"/>
                <w:spacing w:val="-10"/>
              </w:rPr>
              <w:t>1</w:t>
            </w:r>
          </w:hyperlink>
        </w:p>
        <w:p>
          <w:pPr>
            <w:pStyle w:val="TOC1"/>
            <w:numPr>
              <w:ilvl w:val="0"/>
              <w:numId w:val="8"/>
            </w:numPr>
            <w:tabs>
              <w:tab w:val="left" w:pos="311"/>
              <w:tab w:val="right" w:leader="dot" w:pos="8419"/>
            </w:tabs>
            <w:spacing w:before="92" w:after="0" w:line="240" w:lineRule="auto"/>
            <w:ind w:left="310" w:right="0" w:hanging="195"/>
            <w:jc w:val="left"/>
            <w:rPr>
              <w:rFonts w:ascii="Arial" w:eastAsia="Arial"/>
            </w:rPr>
          </w:pPr>
          <w:hyperlink w:anchor="_TOC_250006" w:history="1">
            <w:r>
              <w:t>油气回收技</w:t>
            </w:r>
            <w:r>
              <w:rPr>
                <w:spacing w:val="-10"/>
              </w:rPr>
              <w:t>术</w:t>
            </w:r>
            <w:r>
              <w:rPr>
                <w:rFonts w:ascii="Times New Roman" w:eastAsia="Times New Roman"/>
              </w:rPr>
              <w:tab/>
            </w:r>
            <w:r>
              <w:rPr>
                <w:rFonts w:ascii="Arial" w:eastAsia="Arial"/>
                <w:spacing w:val="-10"/>
              </w:rPr>
              <w:t>1</w:t>
            </w:r>
          </w:hyperlink>
        </w:p>
        <w:p>
          <w:pPr>
            <w:pStyle w:val="TOC1"/>
            <w:numPr>
              <w:ilvl w:val="1"/>
              <w:numId w:val="8"/>
            </w:numPr>
            <w:tabs>
              <w:tab w:val="left" w:pos="717"/>
              <w:tab w:val="right" w:leader="dot" w:pos="8418"/>
            </w:tabs>
            <w:spacing w:before="93" w:after="0" w:line="240" w:lineRule="auto"/>
            <w:ind w:left="717" w:right="0" w:hanging="601"/>
            <w:jc w:val="left"/>
            <w:rPr>
              <w:rFonts w:ascii="Times New Roman" w:eastAsia="Times New Roman"/>
            </w:rPr>
          </w:pPr>
          <w:r>
            <w:t>吸收法</w:t>
          </w:r>
          <w:r>
            <w:rPr>
              <w:spacing w:val="-5"/>
              <w:vertAlign w:val="superscript"/>
            </w:rPr>
            <w:t>[3]</w:t>
          </w:r>
          <w:r>
            <w:rPr>
              <w:position w:val="7"/>
              <w:sz w:val="16"/>
              <w:vertAlign w:val="baseline"/>
            </w:rPr>
            <w:tab/>
          </w:r>
          <w:r>
            <w:rPr>
              <w:rFonts w:ascii="Times New Roman" w:eastAsia="Times New Roman"/>
              <w:spacing w:val="-10"/>
              <w:w w:val="115"/>
              <w:vertAlign w:val="baseline"/>
            </w:rPr>
            <w:t>1</w:t>
          </w:r>
        </w:p>
        <w:p>
          <w:pPr>
            <w:pStyle w:val="TOC2"/>
            <w:numPr>
              <w:ilvl w:val="2"/>
              <w:numId w:val="8"/>
            </w:numPr>
            <w:tabs>
              <w:tab w:val="left" w:pos="1287"/>
              <w:tab w:val="right" w:leader="dot" w:pos="8418"/>
            </w:tabs>
            <w:spacing w:before="92" w:after="0" w:line="240" w:lineRule="auto"/>
            <w:ind w:left="1287" w:right="0" w:hanging="961"/>
            <w:jc w:val="left"/>
            <w:rPr>
              <w:rFonts w:ascii="Times New Roman" w:eastAsia="Times New Roman"/>
            </w:rPr>
          </w:pPr>
          <w:r>
            <w:t>常压常温吸收</w:t>
          </w:r>
          <w:r>
            <w:rPr>
              <w:spacing w:val="-10"/>
            </w:rPr>
            <w:t>法</w:t>
          </w:r>
          <w:r>
            <w:rPr>
              <w:rFonts w:ascii="Times New Roman" w:eastAsia="Times New Roman"/>
            </w:rPr>
            <w:tab/>
          </w:r>
          <w:r>
            <w:rPr>
              <w:rFonts w:ascii="Times New Roman" w:eastAsia="Times New Roman"/>
              <w:spacing w:val="-10"/>
            </w:rPr>
            <w:t>2</w:t>
          </w:r>
        </w:p>
        <w:p>
          <w:pPr>
            <w:pStyle w:val="TOC2"/>
            <w:numPr>
              <w:ilvl w:val="2"/>
              <w:numId w:val="8"/>
            </w:numPr>
            <w:tabs>
              <w:tab w:val="left" w:pos="1287"/>
              <w:tab w:val="right" w:leader="dot" w:pos="8418"/>
            </w:tabs>
            <w:spacing w:before="93" w:after="0" w:line="240" w:lineRule="auto"/>
            <w:ind w:left="1287" w:right="0" w:hanging="961"/>
            <w:jc w:val="left"/>
            <w:rPr>
              <w:rFonts w:ascii="Times New Roman" w:eastAsia="Times New Roman"/>
            </w:rPr>
          </w:pPr>
          <w:r>
            <w:t>常压低温吸收</w:t>
          </w:r>
          <w:r>
            <w:rPr>
              <w:spacing w:val="-10"/>
            </w:rPr>
            <w:t>法</w:t>
          </w:r>
          <w:r>
            <w:rPr>
              <w:rFonts w:ascii="Times New Roman" w:eastAsia="Times New Roman"/>
            </w:rPr>
            <w:tab/>
          </w:r>
          <w:r>
            <w:rPr>
              <w:rFonts w:ascii="Times New Roman" w:eastAsia="Times New Roman"/>
              <w:spacing w:val="-10"/>
            </w:rPr>
            <w:t>3</w:t>
          </w:r>
        </w:p>
        <w:p>
          <w:pPr>
            <w:pStyle w:val="TOC1"/>
            <w:numPr>
              <w:ilvl w:val="1"/>
              <w:numId w:val="8"/>
            </w:numPr>
            <w:tabs>
              <w:tab w:val="left" w:pos="717"/>
              <w:tab w:val="right" w:leader="dot" w:pos="8418"/>
            </w:tabs>
            <w:spacing w:before="92" w:after="0" w:line="240" w:lineRule="auto"/>
            <w:ind w:left="717" w:right="0" w:hanging="601"/>
            <w:jc w:val="left"/>
            <w:rPr>
              <w:rFonts w:ascii="Times New Roman" w:eastAsia="Times New Roman"/>
            </w:rPr>
          </w:pPr>
          <w:r>
            <w:t>吸附法</w:t>
          </w:r>
          <w:r>
            <w:rPr>
              <w:spacing w:val="-5"/>
              <w:vertAlign w:val="superscript"/>
            </w:rPr>
            <w:t>[7]</w:t>
          </w:r>
          <w:r>
            <w:rPr>
              <w:position w:val="7"/>
              <w:sz w:val="16"/>
              <w:vertAlign w:val="baseline"/>
            </w:rPr>
            <w:tab/>
          </w:r>
          <w:r>
            <w:rPr>
              <w:rFonts w:ascii="Times New Roman" w:eastAsia="Times New Roman"/>
              <w:spacing w:val="-10"/>
              <w:w w:val="115"/>
              <w:vertAlign w:val="baseline"/>
            </w:rPr>
            <w:t>3</w:t>
          </w:r>
        </w:p>
        <w:p>
          <w:pPr>
            <w:pStyle w:val="TOC1"/>
            <w:numPr>
              <w:ilvl w:val="1"/>
              <w:numId w:val="8"/>
            </w:numPr>
            <w:tabs>
              <w:tab w:val="left" w:pos="717"/>
              <w:tab w:val="right" w:leader="dot" w:pos="8418"/>
            </w:tabs>
            <w:spacing w:before="93" w:after="0" w:line="240" w:lineRule="auto"/>
            <w:ind w:left="717" w:right="0" w:hanging="601"/>
            <w:jc w:val="left"/>
            <w:rPr>
              <w:rFonts w:ascii="Times New Roman" w:eastAsia="Times New Roman"/>
            </w:rPr>
          </w:pPr>
          <w:r>
            <w:t>冷凝法</w:t>
          </w:r>
          <w:r>
            <w:rPr>
              <w:spacing w:val="-4"/>
              <w:vertAlign w:val="superscript"/>
            </w:rPr>
            <w:t>[10]</w:t>
          </w:r>
          <w:r>
            <w:rPr>
              <w:position w:val="7"/>
              <w:sz w:val="16"/>
              <w:vertAlign w:val="baseline"/>
            </w:rPr>
            <w:tab/>
          </w:r>
          <w:r>
            <w:rPr>
              <w:rFonts w:ascii="Times New Roman" w:eastAsia="Times New Roman"/>
              <w:spacing w:val="-10"/>
              <w:w w:val="115"/>
              <w:vertAlign w:val="baseline"/>
            </w:rPr>
            <w:t>4</w:t>
          </w:r>
        </w:p>
        <w:p>
          <w:pPr>
            <w:pStyle w:val="TOC1"/>
            <w:numPr>
              <w:ilvl w:val="1"/>
              <w:numId w:val="8"/>
            </w:numPr>
            <w:tabs>
              <w:tab w:val="left" w:pos="717"/>
              <w:tab w:val="right" w:leader="dot" w:pos="8418"/>
            </w:tabs>
            <w:spacing w:before="92" w:after="0" w:line="240" w:lineRule="auto"/>
            <w:ind w:left="717" w:right="0" w:hanging="601"/>
            <w:jc w:val="left"/>
            <w:rPr>
              <w:rFonts w:ascii="Times New Roman" w:eastAsia="Times New Roman"/>
            </w:rPr>
          </w:pPr>
          <w:r>
            <w:t>膜分离法</w:t>
          </w:r>
          <w:r>
            <w:rPr>
              <w:spacing w:val="-4"/>
              <w:vertAlign w:val="superscript"/>
            </w:rPr>
            <w:t>[11]</w:t>
          </w:r>
          <w:r>
            <w:rPr>
              <w:position w:val="7"/>
              <w:sz w:val="16"/>
              <w:vertAlign w:val="baseline"/>
            </w:rPr>
            <w:tab/>
          </w:r>
          <w:r>
            <w:rPr>
              <w:rFonts w:ascii="Times New Roman" w:eastAsia="Times New Roman"/>
              <w:spacing w:val="-10"/>
              <w:w w:val="115"/>
              <w:vertAlign w:val="baseline"/>
            </w:rPr>
            <w:t>5</w:t>
          </w:r>
        </w:p>
        <w:p>
          <w:pPr>
            <w:pStyle w:val="TOC2"/>
            <w:numPr>
              <w:ilvl w:val="2"/>
              <w:numId w:val="8"/>
            </w:numPr>
            <w:tabs>
              <w:tab w:val="left" w:pos="1287"/>
              <w:tab w:val="right" w:leader="dot" w:pos="8418"/>
            </w:tabs>
            <w:spacing w:before="93" w:after="0" w:line="240" w:lineRule="auto"/>
            <w:ind w:left="1287" w:right="0" w:hanging="961"/>
            <w:jc w:val="left"/>
            <w:rPr>
              <w:rFonts w:ascii="Times New Roman" w:eastAsia="Times New Roman"/>
            </w:rPr>
          </w:pPr>
          <w:r>
            <w:t>膜法油气回收系统的优</w:t>
          </w:r>
          <w:r>
            <w:rPr>
              <w:spacing w:val="-10"/>
            </w:rPr>
            <w:t>点</w:t>
          </w:r>
          <w:r>
            <w:rPr>
              <w:rFonts w:ascii="Times New Roman" w:eastAsia="Times New Roman"/>
            </w:rPr>
            <w:tab/>
          </w:r>
          <w:r>
            <w:rPr>
              <w:rFonts w:ascii="Times New Roman" w:eastAsia="Times New Roman"/>
              <w:spacing w:val="-10"/>
            </w:rPr>
            <w:t>6</w:t>
          </w:r>
        </w:p>
        <w:p>
          <w:pPr>
            <w:pStyle w:val="TOC2"/>
            <w:numPr>
              <w:ilvl w:val="2"/>
              <w:numId w:val="8"/>
            </w:numPr>
            <w:tabs>
              <w:tab w:val="left" w:pos="1287"/>
              <w:tab w:val="right" w:leader="dot" w:pos="8418"/>
            </w:tabs>
            <w:spacing w:before="92" w:after="0" w:line="240" w:lineRule="auto"/>
            <w:ind w:left="1287" w:right="0" w:hanging="961"/>
            <w:jc w:val="left"/>
            <w:rPr>
              <w:rFonts w:ascii="Times New Roman" w:eastAsia="Times New Roman"/>
            </w:rPr>
          </w:pPr>
          <w:r>
            <w:t>膜法油气回收系统施工和服务保</w:t>
          </w:r>
          <w:r>
            <w:rPr>
              <w:spacing w:val="-10"/>
            </w:rPr>
            <w:t>障</w:t>
          </w:r>
          <w:r>
            <w:rPr>
              <w:rFonts w:ascii="Times New Roman" w:eastAsia="Times New Roman"/>
            </w:rPr>
            <w:tab/>
          </w:r>
          <w:r>
            <w:rPr>
              <w:rFonts w:ascii="Times New Roman" w:eastAsia="Times New Roman"/>
              <w:spacing w:val="-10"/>
            </w:rPr>
            <w:t>7</w:t>
          </w:r>
        </w:p>
        <w:p>
          <w:pPr>
            <w:pStyle w:val="TOC2"/>
            <w:numPr>
              <w:ilvl w:val="2"/>
              <w:numId w:val="8"/>
            </w:numPr>
            <w:tabs>
              <w:tab w:val="left" w:pos="1287"/>
              <w:tab w:val="right" w:leader="dot" w:pos="8418"/>
            </w:tabs>
            <w:spacing w:before="93" w:after="0" w:line="240" w:lineRule="auto"/>
            <w:ind w:left="1287" w:right="0" w:hanging="961"/>
            <w:jc w:val="left"/>
            <w:rPr>
              <w:rFonts w:ascii="Times New Roman" w:eastAsia="Times New Roman"/>
            </w:rPr>
          </w:pPr>
          <w:r>
            <w:t>经济效益分</w:t>
          </w:r>
          <w:r>
            <w:rPr>
              <w:spacing w:val="-10"/>
            </w:rPr>
            <w:t>析</w:t>
          </w:r>
          <w:r>
            <w:rPr>
              <w:rFonts w:ascii="Times New Roman" w:eastAsia="Times New Roman"/>
            </w:rPr>
            <w:tab/>
          </w:r>
          <w:r>
            <w:rPr>
              <w:rFonts w:ascii="Times New Roman" w:eastAsia="Times New Roman"/>
              <w:spacing w:val="-10"/>
            </w:rPr>
            <w:t>7</w:t>
          </w:r>
        </w:p>
        <w:p>
          <w:pPr>
            <w:pStyle w:val="TOC1"/>
            <w:numPr>
              <w:ilvl w:val="0"/>
              <w:numId w:val="8"/>
            </w:numPr>
            <w:tabs>
              <w:tab w:val="left" w:pos="311"/>
              <w:tab w:val="right" w:leader="dot" w:pos="8419"/>
            </w:tabs>
            <w:spacing w:before="92" w:after="0" w:line="240" w:lineRule="auto"/>
            <w:ind w:left="310" w:right="0" w:hanging="195"/>
            <w:jc w:val="left"/>
            <w:rPr>
              <w:rFonts w:ascii="Arial" w:eastAsia="Arial"/>
            </w:rPr>
          </w:pPr>
          <w:hyperlink w:anchor="_TOC_250005" w:history="1">
            <w:r>
              <w:t>油气回收前后的数据对比</w:t>
            </w:r>
            <w:r>
              <w:rPr>
                <w:spacing w:val="-4"/>
                <w:vertAlign w:val="superscript"/>
              </w:rPr>
              <w:t>[13]</w:t>
            </w:r>
            <w:r>
              <w:rPr>
                <w:position w:val="7"/>
                <w:sz w:val="16"/>
                <w:vertAlign w:val="baseline"/>
              </w:rPr>
              <w:tab/>
            </w:r>
            <w:r>
              <w:rPr>
                <w:rFonts w:ascii="Arial" w:eastAsia="Arial"/>
                <w:spacing w:val="-10"/>
                <w:w w:val="115"/>
                <w:vertAlign w:val="baseline"/>
              </w:rPr>
              <w:t>7</w:t>
            </w:r>
          </w:hyperlink>
        </w:p>
        <w:p>
          <w:pPr>
            <w:pStyle w:val="TOC1"/>
            <w:numPr>
              <w:ilvl w:val="0"/>
              <w:numId w:val="8"/>
            </w:numPr>
            <w:tabs>
              <w:tab w:val="left" w:pos="371"/>
              <w:tab w:val="right" w:leader="dot" w:pos="8419"/>
            </w:tabs>
            <w:spacing w:before="93" w:after="0" w:line="240" w:lineRule="auto"/>
            <w:ind w:left="370" w:right="0" w:hanging="255"/>
            <w:jc w:val="left"/>
            <w:rPr>
              <w:rFonts w:ascii="Arial" w:eastAsia="Arial"/>
            </w:rPr>
          </w:pPr>
          <w:hyperlink w:anchor="_TOC_250004" w:history="1">
            <w:r>
              <w:t>环境问题</w:t>
            </w:r>
            <w:r>
              <w:rPr>
                <w:spacing w:val="-4"/>
                <w:vertAlign w:val="superscript"/>
              </w:rPr>
              <w:t>[14]</w:t>
            </w:r>
            <w:r>
              <w:rPr>
                <w:position w:val="7"/>
                <w:sz w:val="16"/>
                <w:vertAlign w:val="baseline"/>
              </w:rPr>
              <w:tab/>
            </w:r>
            <w:r>
              <w:rPr>
                <w:rFonts w:ascii="Arial" w:eastAsia="Arial"/>
                <w:spacing w:val="-10"/>
                <w:w w:val="115"/>
                <w:vertAlign w:val="baseline"/>
              </w:rPr>
              <w:t>8</w:t>
            </w:r>
          </w:hyperlink>
        </w:p>
        <w:p>
          <w:pPr>
            <w:pStyle w:val="TOC1"/>
            <w:numPr>
              <w:ilvl w:val="0"/>
              <w:numId w:val="8"/>
            </w:numPr>
            <w:tabs>
              <w:tab w:val="left" w:pos="311"/>
              <w:tab w:val="right" w:leader="dot" w:pos="8419"/>
            </w:tabs>
            <w:spacing w:before="92" w:after="0" w:line="240" w:lineRule="auto"/>
            <w:ind w:left="310" w:right="0" w:hanging="195"/>
            <w:jc w:val="left"/>
            <w:rPr>
              <w:rFonts w:ascii="Arial" w:eastAsia="Arial"/>
            </w:rPr>
          </w:pPr>
          <w:hyperlink w:anchor="_TOC_250003" w:history="1">
            <w:r>
              <w:t>油气回收技术（装置）综合评</w:t>
            </w:r>
            <w:r>
              <w:rPr>
                <w:spacing w:val="-10"/>
              </w:rPr>
              <w:t>价</w:t>
            </w:r>
            <w:r>
              <w:rPr>
                <w:rFonts w:ascii="Times New Roman" w:eastAsia="Times New Roman"/>
              </w:rPr>
              <w:tab/>
            </w:r>
            <w:r>
              <w:rPr>
                <w:rFonts w:ascii="Arial" w:eastAsia="Arial"/>
                <w:spacing w:val="-10"/>
              </w:rPr>
              <w:t>8</w:t>
            </w:r>
          </w:hyperlink>
        </w:p>
        <w:p>
          <w:pPr>
            <w:pStyle w:val="TOC1"/>
            <w:numPr>
              <w:ilvl w:val="0"/>
              <w:numId w:val="8"/>
            </w:numPr>
            <w:tabs>
              <w:tab w:val="left" w:pos="371"/>
              <w:tab w:val="right" w:leader="dot" w:pos="8418"/>
            </w:tabs>
            <w:spacing w:before="93" w:after="0" w:line="240" w:lineRule="auto"/>
            <w:ind w:left="370" w:right="0" w:hanging="255"/>
            <w:jc w:val="left"/>
            <w:rPr>
              <w:rFonts w:ascii="Arial" w:eastAsia="Arial"/>
            </w:rPr>
          </w:pPr>
          <w:hyperlink w:anchor="_TOC_250002" w:history="1">
            <w:r>
              <w:t>油气回收系统的维</w:t>
            </w:r>
            <w:r>
              <w:rPr>
                <w:spacing w:val="-10"/>
              </w:rPr>
              <w:t>护</w:t>
            </w:r>
            <w:r>
              <w:rPr>
                <w:rFonts w:ascii="Times New Roman" w:eastAsia="Times New Roman"/>
              </w:rPr>
              <w:tab/>
            </w:r>
            <w:r>
              <w:rPr>
                <w:rFonts w:ascii="Arial" w:eastAsia="Arial"/>
                <w:spacing w:val="-5"/>
              </w:rPr>
              <w:t>10</w:t>
            </w:r>
          </w:hyperlink>
        </w:p>
        <w:p>
          <w:pPr>
            <w:pStyle w:val="TOC1"/>
            <w:numPr>
              <w:ilvl w:val="1"/>
              <w:numId w:val="8"/>
            </w:numPr>
            <w:tabs>
              <w:tab w:val="left" w:pos="717"/>
              <w:tab w:val="right" w:leader="dot" w:pos="8418"/>
            </w:tabs>
            <w:spacing w:before="92" w:after="0" w:line="240" w:lineRule="auto"/>
            <w:ind w:left="717" w:right="0" w:hanging="601"/>
            <w:jc w:val="left"/>
            <w:rPr>
              <w:rFonts w:ascii="Times New Roman" w:eastAsia="Times New Roman"/>
            </w:rPr>
          </w:pPr>
          <w:r>
            <w:t>卸油油气回收设</w:t>
          </w:r>
          <w:r>
            <w:rPr>
              <w:spacing w:val="-10"/>
            </w:rPr>
            <w:t>备</w:t>
          </w:r>
          <w:r>
            <w:rPr>
              <w:rFonts w:ascii="Times New Roman" w:eastAsia="Times New Roman"/>
            </w:rPr>
            <w:tab/>
          </w:r>
          <w:r>
            <w:rPr>
              <w:rFonts w:ascii="Times New Roman" w:eastAsia="Times New Roman"/>
              <w:spacing w:val="-5"/>
            </w:rPr>
            <w:t>10</w:t>
          </w:r>
        </w:p>
        <w:p>
          <w:pPr>
            <w:pStyle w:val="TOC1"/>
            <w:numPr>
              <w:ilvl w:val="1"/>
              <w:numId w:val="8"/>
            </w:numPr>
            <w:tabs>
              <w:tab w:val="left" w:pos="717"/>
              <w:tab w:val="right" w:leader="dot" w:pos="8418"/>
            </w:tabs>
            <w:spacing w:before="93" w:after="0" w:line="240" w:lineRule="auto"/>
            <w:ind w:left="717" w:right="0" w:hanging="601"/>
            <w:jc w:val="left"/>
            <w:rPr>
              <w:rFonts w:ascii="Times New Roman" w:eastAsia="Times New Roman"/>
            </w:rPr>
          </w:pPr>
          <w:r>
            <w:t>加油枪油气回收设</w:t>
          </w:r>
          <w:r>
            <w:rPr>
              <w:spacing w:val="-10"/>
            </w:rPr>
            <w:t>备</w:t>
          </w:r>
          <w:r>
            <w:rPr>
              <w:rFonts w:ascii="Times New Roman" w:eastAsia="Times New Roman"/>
            </w:rPr>
            <w:tab/>
          </w:r>
          <w:r>
            <w:rPr>
              <w:rFonts w:ascii="Times New Roman" w:eastAsia="Times New Roman"/>
              <w:spacing w:val="-5"/>
            </w:rPr>
            <w:t>10</w:t>
          </w:r>
        </w:p>
        <w:p>
          <w:pPr>
            <w:pStyle w:val="TOC1"/>
            <w:numPr>
              <w:ilvl w:val="0"/>
              <w:numId w:val="8"/>
            </w:numPr>
            <w:tabs>
              <w:tab w:val="left" w:pos="311"/>
              <w:tab w:val="right" w:leader="dot" w:pos="8418"/>
            </w:tabs>
            <w:spacing w:before="92" w:after="0" w:line="240" w:lineRule="auto"/>
            <w:ind w:left="310" w:right="0" w:hanging="195"/>
            <w:jc w:val="left"/>
            <w:rPr>
              <w:rFonts w:ascii="Arial" w:eastAsia="Arial"/>
            </w:rPr>
          </w:pPr>
          <w:hyperlink w:anchor="_TOC_250001" w:history="1">
            <w:r>
              <w:t>油气回收系统的应用前</w:t>
            </w:r>
            <w:r>
              <w:rPr>
                <w:spacing w:val="-10"/>
              </w:rPr>
              <w:t>景</w:t>
            </w:r>
            <w:r>
              <w:rPr>
                <w:rFonts w:ascii="Times New Roman" w:eastAsia="Times New Roman"/>
              </w:rPr>
              <w:tab/>
            </w:r>
            <w:r>
              <w:rPr>
                <w:rFonts w:ascii="Arial" w:eastAsia="Arial"/>
                <w:spacing w:val="-5"/>
              </w:rPr>
              <w:t>12</w:t>
            </w:r>
          </w:hyperlink>
        </w:p>
        <w:p>
          <w:pPr>
            <w:pStyle w:val="TOC1"/>
            <w:numPr>
              <w:ilvl w:val="1"/>
              <w:numId w:val="8"/>
            </w:numPr>
            <w:tabs>
              <w:tab w:val="left" w:pos="717"/>
              <w:tab w:val="right" w:leader="dot" w:pos="8418"/>
            </w:tabs>
            <w:spacing w:before="93" w:after="0" w:line="240" w:lineRule="auto"/>
            <w:ind w:left="717" w:right="0" w:hanging="601"/>
            <w:jc w:val="left"/>
            <w:rPr>
              <w:rFonts w:ascii="Times New Roman" w:eastAsia="Times New Roman"/>
            </w:rPr>
          </w:pPr>
          <w:r>
            <w:t>应用现状和展</w:t>
          </w:r>
          <w:r>
            <w:rPr>
              <w:spacing w:val="-10"/>
            </w:rPr>
            <w:t>望</w:t>
          </w:r>
          <w:r>
            <w:rPr>
              <w:rFonts w:ascii="Times New Roman" w:eastAsia="Times New Roman"/>
            </w:rPr>
            <w:tab/>
          </w:r>
          <w:r>
            <w:rPr>
              <w:rFonts w:ascii="Times New Roman" w:eastAsia="Times New Roman"/>
              <w:spacing w:val="-5"/>
            </w:rPr>
            <w:t>12</w:t>
          </w:r>
        </w:p>
        <w:p>
          <w:pPr>
            <w:pStyle w:val="TOC1"/>
            <w:numPr>
              <w:ilvl w:val="1"/>
              <w:numId w:val="8"/>
            </w:numPr>
            <w:tabs>
              <w:tab w:val="left" w:pos="717"/>
              <w:tab w:val="right" w:leader="dot" w:pos="8418"/>
            </w:tabs>
            <w:spacing w:before="92" w:after="0" w:line="240" w:lineRule="auto"/>
            <w:ind w:left="717" w:right="0" w:hanging="601"/>
            <w:jc w:val="left"/>
            <w:rPr>
              <w:rFonts w:ascii="Times New Roman" w:eastAsia="Times New Roman"/>
            </w:rPr>
          </w:pPr>
          <w:r>
            <w:t>在设计和选型时，应该注意的问题</w:t>
          </w:r>
          <w:r>
            <w:rPr>
              <w:spacing w:val="-4"/>
              <w:w w:val="115"/>
              <w:vertAlign w:val="superscript"/>
            </w:rPr>
            <w:t>[17]</w:t>
          </w:r>
          <w:r>
            <w:rPr>
              <w:position w:val="7"/>
              <w:sz w:val="16"/>
              <w:vertAlign w:val="baseline"/>
            </w:rPr>
            <w:tab/>
          </w:r>
          <w:r>
            <w:rPr>
              <w:rFonts w:ascii="Times New Roman" w:eastAsia="Times New Roman"/>
              <w:spacing w:val="-5"/>
              <w:vertAlign w:val="baseline"/>
            </w:rPr>
            <w:t>12</w:t>
          </w:r>
        </w:p>
        <w:p>
          <w:pPr>
            <w:pStyle w:val="TOC1"/>
            <w:numPr>
              <w:ilvl w:val="1"/>
              <w:numId w:val="8"/>
            </w:numPr>
            <w:tabs>
              <w:tab w:val="left" w:pos="717"/>
              <w:tab w:val="right" w:leader="dot" w:pos="8418"/>
            </w:tabs>
            <w:spacing w:before="93" w:after="0" w:line="240" w:lineRule="auto"/>
            <w:ind w:left="717" w:right="0" w:hanging="601"/>
            <w:jc w:val="left"/>
            <w:rPr>
              <w:rFonts w:ascii="Times New Roman" w:eastAsia="Times New Roman"/>
            </w:rPr>
          </w:pPr>
          <w:r>
            <w:t>国家应该制定相应的激励政策和标准</w:t>
          </w:r>
          <w:r>
            <w:rPr>
              <w:spacing w:val="-4"/>
              <w:w w:val="115"/>
              <w:vertAlign w:val="superscript"/>
            </w:rPr>
            <w:t>[18]</w:t>
          </w:r>
          <w:r>
            <w:rPr>
              <w:position w:val="7"/>
              <w:sz w:val="16"/>
              <w:vertAlign w:val="baseline"/>
            </w:rPr>
            <w:tab/>
          </w:r>
          <w:r>
            <w:rPr>
              <w:rFonts w:ascii="Times New Roman" w:eastAsia="Times New Roman"/>
              <w:spacing w:val="-5"/>
              <w:vertAlign w:val="baseline"/>
            </w:rPr>
            <w:t>13</w:t>
          </w:r>
        </w:p>
        <w:p>
          <w:pPr>
            <w:pStyle w:val="TOC1"/>
            <w:numPr>
              <w:ilvl w:val="0"/>
              <w:numId w:val="8"/>
            </w:numPr>
            <w:tabs>
              <w:tab w:val="left" w:pos="311"/>
              <w:tab w:val="right" w:leader="dot" w:pos="8418"/>
            </w:tabs>
            <w:spacing w:before="92" w:after="0" w:line="240" w:lineRule="auto"/>
            <w:ind w:left="310" w:right="0" w:hanging="195"/>
            <w:jc w:val="left"/>
            <w:rPr>
              <w:rFonts w:ascii="Arial" w:eastAsia="Arial"/>
            </w:rPr>
          </w:pPr>
          <w:hyperlink w:anchor="_TOC_250000" w:history="1">
            <w:r>
              <w:t>结</w:t>
            </w:r>
            <w:r>
              <w:rPr>
                <w:spacing w:val="-10"/>
              </w:rPr>
              <w:t>论</w:t>
            </w:r>
            <w:r>
              <w:rPr>
                <w:rFonts w:ascii="Times New Roman" w:eastAsia="Times New Roman"/>
              </w:rPr>
              <w:tab/>
            </w:r>
            <w:r>
              <w:rPr>
                <w:rFonts w:ascii="Arial" w:eastAsia="Arial"/>
                <w:spacing w:val="-5"/>
              </w:rPr>
              <w:t>13</w:t>
            </w:r>
          </w:hyperlink>
        </w:p>
        <w:p>
          <w:pPr>
            <w:pStyle w:val="TOC1"/>
            <w:numPr>
              <w:ilvl w:val="0"/>
              <w:numId w:val="8"/>
            </w:numPr>
            <w:tabs>
              <w:tab w:val="left" w:pos="311"/>
              <w:tab w:val="right" w:leader="dot" w:pos="8418"/>
            </w:tabs>
            <w:spacing w:before="93" w:after="20" w:line="240" w:lineRule="auto"/>
            <w:ind w:left="310" w:right="0" w:hanging="195"/>
            <w:jc w:val="left"/>
            <w:rPr>
              <w:rFonts w:ascii="Arial" w:eastAsia="Arial"/>
            </w:rPr>
            <w:sectPr>
              <w:footerReference w:type="default" r:id="rId5"/>
              <w:type w:val="continuous"/>
              <w:pgSz w:w="11910" w:h="16840"/>
              <w:pgMar w:top="1480" w:right="1440" w:bottom="1754" w:left="1680" w:header="0" w:footer="990"/>
              <w:pgNumType w:start="3"/>
              <w:cols w:space="708"/>
            </w:sectPr>
          </w:pPr>
          <w:r>
            <w:t>致</w:t>
          </w:r>
          <w:r>
            <w:rPr>
              <w:spacing w:val="-10"/>
            </w:rPr>
            <w:t>谢</w:t>
          </w:r>
          <w:r>
            <w:rPr>
              <w:rFonts w:ascii="Times New Roman" w:eastAsia="Times New Roman"/>
            </w:rPr>
            <w:tab/>
          </w:r>
          <w:r>
            <w:rPr>
              <w:rFonts w:ascii="Arial" w:eastAsia="Arial"/>
              <w:spacing w:val="-5"/>
            </w:rPr>
            <w:t>14</w:t>
          </w:r>
        </w:p>
      </w:sdtContent>
    </w:sdt>
    <w:sdt>
      <w:sdtPr>
        <w:id w:val="1455567109"/>
        <w:docPartObj>
          <w:docPartGallery w:val="Table of Contents"/>
          <w:docPartUnique/>
        </w:docPartObj>
      </w:sdtPr>
      <w:sdtContent>
        <w:p>
          <w:pPr>
            <w:pStyle w:val="TOC1"/>
            <w:tabs>
              <w:tab w:val="right" w:leader="dot" w:pos="8418"/>
            </w:tabs>
            <w:spacing w:before="54"/>
            <w:ind w:left="116" w:firstLine="0"/>
            <w:rPr>
              <w:rFonts w:ascii="Arial" w:eastAsia="Arial"/>
            </w:rPr>
          </w:pPr>
          <w:r>
            <w:rPr>
              <w:rFonts w:ascii="Arial" w:eastAsia="Arial"/>
            </w:rPr>
            <w:t>[</w:t>
          </w:r>
          <w:r>
            <w:t>参考文献</w:t>
          </w:r>
          <w:r>
            <w:rPr>
              <w:rFonts w:ascii="Arial" w:eastAsia="Arial"/>
              <w:spacing w:val="-10"/>
            </w:rPr>
            <w:t>]</w:t>
          </w:r>
          <w:r>
            <w:rPr>
              <w:rFonts w:ascii="Arial" w:eastAsia="Arial"/>
            </w:rPr>
            <w:tab/>
          </w:r>
          <w:r>
            <w:rPr>
              <w:rFonts w:ascii="Arial" w:eastAsia="Arial"/>
              <w:spacing w:val="-5"/>
            </w:rPr>
            <w:t>14</w:t>
          </w:r>
        </w:p>
      </w:sdtContent>
    </w:sdt>
    <w:p>
      <w:pPr>
        <w:spacing w:after="0"/>
        <w:rPr>
          <w:rFonts w:ascii="Arial" w:eastAsia="Arial"/>
        </w:rPr>
        <w:sectPr>
          <w:footerReference w:type="default" r:id="rId6"/>
          <w:type w:val="nextPage"/>
          <w:pgSz w:w="11910" w:h="16840"/>
          <w:pgMar w:top="1480" w:right="1440" w:bottom="1754" w:left="1680" w:header="0" w:footer="990"/>
          <w:pgNumType w:start="4"/>
          <w:cols w:space="708"/>
          <w:titlePg w:val="0"/>
        </w:sectPr>
      </w:pPr>
    </w:p>
    <w:p>
      <w:pPr>
        <w:pStyle w:val="BodyText"/>
        <w:spacing w:before="4"/>
        <w:rPr>
          <w:rFonts w:ascii="Arial"/>
          <w:sz w:val="17"/>
        </w:rPr>
      </w:pPr>
    </w:p>
    <w:p>
      <w:pPr>
        <w:spacing w:after="0"/>
        <w:rPr>
          <w:rFonts w:ascii="Arial"/>
          <w:sz w:val="17"/>
        </w:rPr>
        <w:sectPr>
          <w:footerReference w:type="default" r:id="rId7"/>
          <w:pgSz w:w="11910" w:h="16840"/>
          <w:pgMar w:top="1920" w:right="1440" w:bottom="280" w:left="1680" w:header="0" w:footer="0"/>
          <w:pgNumType w:start="5"/>
          <w:cols w:space="708"/>
        </w:sectPr>
      </w:pPr>
    </w:p>
    <w:p>
      <w:pPr>
        <w:pStyle w:val="Heading1"/>
        <w:spacing w:before="15"/>
        <w:ind w:left="532"/>
      </w:pPr>
      <w:r>
        <w:rPr>
          <w:spacing w:val="-1"/>
        </w:rPr>
        <w:t>油气回收技术的研究现状及其应用前景</w:t>
      </w:r>
    </w:p>
    <w:p>
      <w:pPr>
        <w:pStyle w:val="BodyText"/>
        <w:spacing w:before="5"/>
        <w:rPr>
          <w:rFonts w:ascii="黑体"/>
          <w:sz w:val="51"/>
        </w:rPr>
      </w:pPr>
    </w:p>
    <w:p>
      <w:pPr>
        <w:spacing w:before="1"/>
        <w:ind w:left="116" w:right="0" w:firstLine="0"/>
        <w:jc w:val="left"/>
        <w:rPr>
          <w:rFonts w:ascii="楷体" w:eastAsia="楷体"/>
          <w:sz w:val="21"/>
        </w:rPr>
      </w:pPr>
      <w:r>
        <w:rPr>
          <w:rFonts w:ascii="黑体" w:eastAsia="黑体"/>
          <w:spacing w:val="-4"/>
          <w:sz w:val="28"/>
        </w:rPr>
        <w:t>摘要</w:t>
      </w:r>
      <w:r>
        <w:rPr>
          <w:rFonts w:ascii="楷体" w:eastAsia="楷体"/>
          <w:spacing w:val="-5"/>
          <w:sz w:val="21"/>
        </w:rPr>
        <w:t>：介绍了常用的油气回收方法：吸收法、吸附法、冷凝法和膜分离法，对其工艺原理、</w:t>
      </w:r>
    </w:p>
    <w:p>
      <w:pPr>
        <w:spacing w:before="71" w:line="321" w:lineRule="auto"/>
        <w:ind w:left="116" w:right="354" w:firstLine="0"/>
        <w:jc w:val="both"/>
        <w:rPr>
          <w:rFonts w:ascii="楷体" w:eastAsia="楷体"/>
          <w:sz w:val="21"/>
        </w:rPr>
      </w:pPr>
      <w:r>
        <w:rPr>
          <w:rFonts w:ascii="楷体" w:eastAsia="楷体"/>
          <w:spacing w:val="-4"/>
          <w:sz w:val="21"/>
        </w:rPr>
        <w:t>技术要点及应用进行了分析，综合比较了四种方法的优缺点，指出应将装置的联合应用作为</w:t>
      </w:r>
      <w:r>
        <w:rPr>
          <w:rFonts w:ascii="楷体" w:eastAsia="楷体"/>
          <w:spacing w:val="-4"/>
          <w:sz w:val="21"/>
        </w:rPr>
        <w:t>今后研究和推广的重点。并对油气回收技术在我国的应用前景进行了预测。油气回收技术是</w:t>
      </w:r>
      <w:r>
        <w:rPr>
          <w:rFonts w:ascii="楷体" w:eastAsia="楷体"/>
          <w:spacing w:val="-2"/>
          <w:sz w:val="21"/>
        </w:rPr>
        <w:t>一个系统工程，在设计和选型时，应该注意油气收集系统和油气回收装置的同等重要性。</w:t>
      </w:r>
    </w:p>
    <w:p>
      <w:pPr>
        <w:spacing w:before="0" w:line="287" w:lineRule="exact"/>
        <w:ind w:left="116" w:right="0" w:firstLine="0"/>
        <w:jc w:val="left"/>
        <w:rPr>
          <w:rFonts w:ascii="楷体" w:eastAsia="楷体"/>
          <w:sz w:val="21"/>
        </w:rPr>
      </w:pPr>
      <w:r>
        <w:rPr>
          <w:rFonts w:ascii="黑体" w:eastAsia="黑体"/>
          <w:sz w:val="28"/>
        </w:rPr>
        <w:t>关键词</w:t>
      </w:r>
      <w:r>
        <w:rPr>
          <w:rFonts w:ascii="楷体" w:eastAsia="楷体"/>
          <w:spacing w:val="-1"/>
          <w:sz w:val="21"/>
        </w:rPr>
        <w:t>：油气回收；蒸发损耗；回收率；应用前景</w:t>
      </w:r>
    </w:p>
    <w:p>
      <w:pPr>
        <w:pStyle w:val="BodyText"/>
        <w:spacing w:before="5"/>
        <w:rPr>
          <w:rFonts w:ascii="楷体"/>
          <w:sz w:val="29"/>
        </w:rPr>
      </w:pPr>
    </w:p>
    <w:p>
      <w:pPr>
        <w:pStyle w:val="Heading2"/>
        <w:ind w:left="116" w:firstLine="0"/>
      </w:pPr>
      <w:bookmarkStart w:id="0" w:name="_TOC_250007"/>
      <w:bookmarkEnd w:id="0"/>
      <w:r>
        <w:rPr>
          <w:spacing w:val="-5"/>
        </w:rPr>
        <w:t>引言</w:t>
      </w:r>
    </w:p>
    <w:p>
      <w:pPr>
        <w:pStyle w:val="BodyText"/>
        <w:spacing w:before="6"/>
        <w:rPr>
          <w:rFonts w:ascii="黑体"/>
          <w:sz w:val="35"/>
        </w:rPr>
      </w:pPr>
    </w:p>
    <w:p>
      <w:pPr>
        <w:spacing w:before="0" w:line="343" w:lineRule="auto"/>
        <w:ind w:left="116" w:right="355" w:firstLine="480"/>
        <w:jc w:val="both"/>
        <w:rPr>
          <w:i/>
          <w:sz w:val="24"/>
        </w:rPr>
      </w:pPr>
      <w:r>
        <w:rPr>
          <w:i/>
          <w:spacing w:val="-4"/>
          <w:sz w:val="24"/>
        </w:rPr>
        <w:t>在石油的开采、炼制、储运、销售及应用过程中，液态轻组分汽化，造成油</w:t>
      </w:r>
      <w:r>
        <w:rPr>
          <w:i/>
          <w:spacing w:val="-4"/>
          <w:sz w:val="24"/>
        </w:rPr>
        <w:t>品的蒸发损耗，进而带来了油品数量减少、经济损失、环境污染、影响人类健康</w:t>
      </w:r>
      <w:r>
        <w:rPr>
          <w:i/>
          <w:spacing w:val="-2"/>
          <w:sz w:val="24"/>
        </w:rPr>
        <w:t>和安全等一系列危害。据</w:t>
      </w:r>
      <w:r>
        <w:rPr>
          <w:spacing w:val="-2"/>
          <w:sz w:val="24"/>
        </w:rPr>
        <w:t>1995</w:t>
      </w:r>
      <w:r>
        <w:rPr>
          <w:i/>
          <w:spacing w:val="-2"/>
          <w:sz w:val="24"/>
        </w:rPr>
        <w:t>年第四届国际石油会议报道</w:t>
      </w:r>
      <w:r>
        <w:rPr>
          <w:spacing w:val="-2"/>
          <w:position w:val="9"/>
          <w:sz w:val="20"/>
        </w:rPr>
        <w:t>[1]</w:t>
      </w:r>
      <w:r>
        <w:rPr>
          <w:i/>
          <w:spacing w:val="-2"/>
          <w:sz w:val="24"/>
        </w:rPr>
        <w:t>，在英国，油品从</w:t>
      </w:r>
    </w:p>
    <w:p>
      <w:pPr>
        <w:spacing w:before="135" w:line="343" w:lineRule="auto"/>
        <w:ind w:left="116" w:right="268" w:firstLine="0"/>
        <w:jc w:val="left"/>
        <w:rPr>
          <w:i/>
          <w:sz w:val="24"/>
        </w:rPr>
      </w:pPr>
      <w:r>
        <w:rPr>
          <w:i/>
          <w:spacing w:val="-2"/>
          <w:sz w:val="24"/>
        </w:rPr>
        <w:t>井场经炼制加工到成品销售的全过程中，油品损耗的数量约占原油总产量的</w:t>
      </w:r>
      <w:r>
        <w:rPr>
          <w:spacing w:val="-2"/>
          <w:sz w:val="24"/>
        </w:rPr>
        <w:t>3%</w:t>
      </w:r>
      <w:r>
        <w:rPr>
          <w:i/>
          <w:spacing w:val="-2"/>
          <w:sz w:val="24"/>
        </w:rPr>
        <w:t>，</w:t>
      </w:r>
      <w:r>
        <w:rPr>
          <w:i/>
          <w:sz w:val="24"/>
        </w:rPr>
        <w:t>每年散发到大气中的油品数量约为</w:t>
      </w:r>
      <w:r>
        <w:rPr>
          <w:sz w:val="24"/>
        </w:rPr>
        <w:t>108</w:t>
      </w:r>
      <w:r>
        <w:rPr>
          <w:spacing w:val="-30"/>
          <w:sz w:val="24"/>
        </w:rPr>
        <w:t xml:space="preserve"> </w:t>
      </w:r>
      <w:r>
        <w:rPr>
          <w:i/>
          <w:sz w:val="24"/>
        </w:rPr>
        <w:t>吨，几乎相当于中国的原油年产量。从原</w:t>
      </w:r>
      <w:r>
        <w:rPr>
          <w:i/>
          <w:spacing w:val="-2"/>
          <w:sz w:val="24"/>
        </w:rPr>
        <w:t>理上看，防止</w:t>
      </w:r>
      <w:r>
        <w:rPr>
          <w:spacing w:val="-2"/>
          <w:sz w:val="24"/>
        </w:rPr>
        <w:t>(</w:t>
      </w:r>
      <w:r>
        <w:rPr>
          <w:i/>
          <w:spacing w:val="-2"/>
          <w:sz w:val="24"/>
        </w:rPr>
        <w:t>控制</w:t>
      </w:r>
      <w:r>
        <w:rPr>
          <w:spacing w:val="-2"/>
          <w:sz w:val="24"/>
        </w:rPr>
        <w:t>)</w:t>
      </w:r>
      <w:r>
        <w:rPr>
          <w:i/>
          <w:spacing w:val="-2"/>
          <w:sz w:val="24"/>
        </w:rPr>
        <w:t>油品蒸发损耗可采取以下三种方案</w:t>
      </w:r>
      <w:r>
        <w:rPr>
          <w:spacing w:val="-2"/>
          <w:position w:val="9"/>
          <w:sz w:val="20"/>
        </w:rPr>
        <w:t>[2]</w:t>
      </w:r>
      <w:r>
        <w:rPr>
          <w:i/>
          <w:spacing w:val="-2"/>
          <w:sz w:val="24"/>
        </w:rPr>
        <w:t>：</w:t>
      </w:r>
    </w:p>
    <w:p>
      <w:pPr>
        <w:spacing w:before="134" w:line="343" w:lineRule="auto"/>
        <w:ind w:left="116" w:right="268" w:firstLine="480"/>
        <w:jc w:val="left"/>
        <w:rPr>
          <w:i/>
          <w:sz w:val="24"/>
        </w:rPr>
      </w:pPr>
      <w:r>
        <w:rPr>
          <w:i/>
          <w:spacing w:val="-2"/>
          <w:sz w:val="24"/>
        </w:rPr>
        <w:t>一是抑制油品蒸发排放，如采用浮顶罐；二是焚烧油品蒸发排放气；三是油</w:t>
      </w:r>
      <w:r>
        <w:rPr>
          <w:i/>
          <w:spacing w:val="-2"/>
          <w:sz w:val="24"/>
        </w:rPr>
        <w:t>气回收。显然，第一种方法对大量车船装卸作业及固定顶罐的收发作业就很难有</w:t>
      </w:r>
      <w:r>
        <w:rPr>
          <w:i/>
          <w:spacing w:val="-2"/>
          <w:sz w:val="24"/>
        </w:rPr>
        <w:t>所作为；第二种方法虽可降低油气对大气环境的污染，但存在着能源浪费，是不</w:t>
      </w:r>
      <w:r>
        <w:rPr>
          <w:i/>
          <w:spacing w:val="-2"/>
          <w:sz w:val="24"/>
        </w:rPr>
        <w:t>经济的方法；而第三种方法被公认为是一种最经济、最有效的回收方法。可见，</w:t>
      </w:r>
      <w:r>
        <w:rPr>
          <w:i/>
          <w:spacing w:val="-2"/>
          <w:sz w:val="24"/>
        </w:rPr>
        <w:t>在能源日益紧张、油品收发作业</w:t>
      </w:r>
      <w:r>
        <w:rPr>
          <w:spacing w:val="-2"/>
          <w:sz w:val="24"/>
        </w:rPr>
        <w:t>(</w:t>
      </w:r>
      <w:r>
        <w:rPr>
          <w:i/>
          <w:spacing w:val="-2"/>
          <w:sz w:val="24"/>
        </w:rPr>
        <w:t>车、船、罐等日益频繁情况下，国家节能减排</w:t>
      </w:r>
      <w:r>
        <w:rPr>
          <w:i/>
          <w:sz w:val="24"/>
        </w:rPr>
        <w:t>政策和石油石化系统全面实施</w:t>
      </w:r>
      <w:r>
        <w:rPr>
          <w:sz w:val="24"/>
        </w:rPr>
        <w:t xml:space="preserve">HSE </w:t>
      </w:r>
      <w:r>
        <w:rPr>
          <w:i/>
          <w:spacing w:val="-9"/>
          <w:sz w:val="24"/>
        </w:rPr>
        <w:t>一体化管理引导下，大力开展蒸发油气回收技</w:t>
      </w:r>
      <w:r>
        <w:rPr>
          <w:i/>
          <w:spacing w:val="-2"/>
          <w:sz w:val="24"/>
        </w:rPr>
        <w:t>术意义重大。</w:t>
      </w:r>
    </w:p>
    <w:p>
      <w:pPr>
        <w:pStyle w:val="BodyText"/>
        <w:spacing w:before="10"/>
        <w:rPr>
          <w:i/>
          <w:sz w:val="19"/>
        </w:rPr>
      </w:pPr>
    </w:p>
    <w:p>
      <w:pPr>
        <w:pStyle w:val="Heading2"/>
        <w:numPr>
          <w:ilvl w:val="0"/>
          <w:numId w:val="7"/>
        </w:numPr>
        <w:tabs>
          <w:tab w:val="left" w:pos="327"/>
        </w:tabs>
        <w:spacing w:before="0" w:after="0" w:line="240" w:lineRule="auto"/>
        <w:ind w:left="327" w:right="0" w:hanging="211"/>
        <w:jc w:val="left"/>
      </w:pPr>
      <w:bookmarkStart w:id="1" w:name="_TOC_250006"/>
      <w:bookmarkEnd w:id="1"/>
      <w:r>
        <w:rPr>
          <w:spacing w:val="-2"/>
        </w:rPr>
        <w:t>油气回收技术</w:t>
      </w:r>
    </w:p>
    <w:p>
      <w:pPr>
        <w:pStyle w:val="BodyText"/>
        <w:spacing w:before="6"/>
        <w:rPr>
          <w:rFonts w:ascii="黑体"/>
          <w:sz w:val="35"/>
        </w:rPr>
      </w:pPr>
    </w:p>
    <w:p>
      <w:pPr>
        <w:spacing w:before="0"/>
        <w:ind w:left="596" w:right="0" w:firstLine="0"/>
        <w:jc w:val="left"/>
        <w:rPr>
          <w:i/>
          <w:sz w:val="24"/>
        </w:rPr>
      </w:pPr>
      <w:r>
        <w:rPr>
          <w:i/>
          <w:spacing w:val="-12"/>
          <w:sz w:val="24"/>
        </w:rPr>
        <w:t>目前常用的油气回收处理方法包括：吸收法、吸附法、冷凝法和膜分离方法。</w:t>
      </w:r>
    </w:p>
    <w:p>
      <w:pPr>
        <w:pStyle w:val="ListParagraph"/>
        <w:numPr>
          <w:ilvl w:val="1"/>
          <w:numId w:val="7"/>
        </w:numPr>
        <w:tabs>
          <w:tab w:val="left" w:pos="744"/>
        </w:tabs>
        <w:spacing w:before="132" w:after="0" w:line="240" w:lineRule="auto"/>
        <w:ind w:left="743" w:right="0" w:hanging="628"/>
        <w:jc w:val="left"/>
        <w:rPr>
          <w:sz w:val="20"/>
        </w:rPr>
      </w:pPr>
      <w:r>
        <w:rPr>
          <w:rFonts w:ascii="黑体" w:eastAsia="黑体"/>
          <w:sz w:val="24"/>
        </w:rPr>
        <w:t>吸收法</w:t>
      </w:r>
      <w:r>
        <w:rPr>
          <w:spacing w:val="-5"/>
          <w:position w:val="9"/>
          <w:sz w:val="20"/>
        </w:rPr>
        <w:t>[3]</w:t>
      </w:r>
    </w:p>
    <w:p>
      <w:pPr>
        <w:spacing w:before="266"/>
        <w:ind w:left="596" w:right="0" w:firstLine="0"/>
        <w:jc w:val="left"/>
        <w:rPr>
          <w:i/>
          <w:sz w:val="24"/>
        </w:rPr>
      </w:pPr>
      <w:r>
        <w:rPr>
          <w:i/>
          <w:sz w:val="24"/>
        </w:rPr>
        <w:t>吸收分离过程是通过混合气与适当的吸收剂接触</w:t>
      </w:r>
      <w:r>
        <w:rPr>
          <w:position w:val="9"/>
          <w:sz w:val="20"/>
        </w:rPr>
        <w:t>[4]</w:t>
      </w:r>
      <w:r>
        <w:rPr>
          <w:i/>
          <w:spacing w:val="-1"/>
          <w:sz w:val="24"/>
        </w:rPr>
        <w:t>，气体中的一种或几种</w:t>
      </w:r>
    </w:p>
    <w:p>
      <w:pPr>
        <w:spacing w:before="267" w:line="343" w:lineRule="auto"/>
        <w:ind w:left="116" w:right="355" w:firstLine="0"/>
        <w:jc w:val="left"/>
        <w:rPr>
          <w:i/>
          <w:sz w:val="24"/>
        </w:rPr>
      </w:pPr>
      <w:r>
        <w:rPr>
          <w:i/>
          <w:spacing w:val="-4"/>
          <w:sz w:val="24"/>
        </w:rPr>
        <w:t>组分便溶解于该液体内形成溶液，不能溶解的组分则保留在气相中，于是原混合</w:t>
      </w:r>
      <w:r>
        <w:rPr>
          <w:i/>
          <w:spacing w:val="-2"/>
          <w:sz w:val="24"/>
        </w:rPr>
        <w:t>气体中的各组分得以分离。工艺流程图见图</w:t>
      </w:r>
      <w:r>
        <w:rPr>
          <w:spacing w:val="-2"/>
          <w:sz w:val="24"/>
        </w:rPr>
        <w:t>1-1</w:t>
      </w:r>
      <w:r>
        <w:rPr>
          <w:i/>
          <w:spacing w:val="-2"/>
          <w:sz w:val="24"/>
        </w:rPr>
        <w:t>。</w:t>
      </w:r>
    </w:p>
    <w:p>
      <w:pPr>
        <w:spacing w:after="0" w:line="343" w:lineRule="auto"/>
        <w:jc w:val="left"/>
        <w:rPr>
          <w:sz w:val="24"/>
        </w:rPr>
        <w:sectPr>
          <w:footerReference w:type="default" r:id="rId8"/>
          <w:pgSz w:w="11910" w:h="16840"/>
          <w:pgMar w:top="1440" w:right="1440" w:bottom="1180" w:left="1680" w:header="0" w:footer="990"/>
          <w:pgNumType w:start="1"/>
          <w:cols w:space="708"/>
        </w:sectPr>
      </w:pPr>
    </w:p>
    <w:p>
      <w:pPr>
        <w:pStyle w:val="BodyText"/>
        <w:ind w:left="790"/>
        <w:rPr>
          <w:sz w:val="20"/>
        </w:rPr>
      </w:pPr>
      <w:r>
        <w:rPr>
          <w:sz w:val="20"/>
        </w:rPr>
        <w:drawing>
          <wp:inline distT="0" distB="0" distL="0" distR="0">
            <wp:extent cx="4502320" cy="2263711"/>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9" cstate="print"/>
                    <a:stretch>
                      <a:fillRect/>
                    </a:stretch>
                  </pic:blipFill>
                  <pic:spPr>
                    <a:xfrm>
                      <a:off x="0" y="0"/>
                      <a:ext cx="4502320" cy="2263711"/>
                    </a:xfrm>
                    <a:prstGeom prst="rect">
                      <a:avLst/>
                    </a:prstGeom>
                  </pic:spPr>
                </pic:pic>
              </a:graphicData>
            </a:graphic>
          </wp:inline>
        </w:drawing>
      </w:r>
    </w:p>
    <w:p>
      <w:pPr>
        <w:pStyle w:val="BodyText"/>
        <w:rPr>
          <w:i/>
          <w:sz w:val="19"/>
        </w:rPr>
      </w:pPr>
    </w:p>
    <w:p>
      <w:pPr>
        <w:spacing w:before="70"/>
        <w:ind w:left="2803" w:right="0" w:firstLine="0"/>
        <w:jc w:val="left"/>
        <w:rPr>
          <w:i/>
          <w:sz w:val="21"/>
        </w:rPr>
      </w:pPr>
      <w:r>
        <w:rPr>
          <w:i/>
          <w:sz w:val="21"/>
        </w:rPr>
        <w:t>图</w:t>
      </w:r>
      <w:r>
        <w:rPr>
          <w:sz w:val="21"/>
        </w:rPr>
        <w:t xml:space="preserve">1-1 </w:t>
      </w:r>
      <w:r>
        <w:rPr>
          <w:i/>
          <w:spacing w:val="-1"/>
          <w:sz w:val="21"/>
        </w:rPr>
        <w:t>吸收法油气回收工艺流程</w:t>
      </w:r>
    </w:p>
    <w:p>
      <w:pPr>
        <w:pStyle w:val="BodyText"/>
        <w:spacing w:before="5"/>
        <w:rPr>
          <w:i/>
          <w:sz w:val="16"/>
        </w:rPr>
      </w:pPr>
    </w:p>
    <w:p>
      <w:pPr>
        <w:spacing w:before="0" w:line="343" w:lineRule="auto"/>
        <w:ind w:left="116" w:right="235" w:firstLine="480"/>
        <w:jc w:val="left"/>
        <w:rPr>
          <w:i/>
          <w:sz w:val="24"/>
        </w:rPr>
      </w:pPr>
      <w:r>
        <w:rPr>
          <w:i/>
          <w:spacing w:val="-2"/>
          <w:sz w:val="24"/>
        </w:rPr>
        <w:t>油品装卸产生的油气进入吸收塔，</w:t>
      </w:r>
      <w:r>
        <w:rPr>
          <w:spacing w:val="-2"/>
          <w:sz w:val="24"/>
        </w:rPr>
        <w:t>80%</w:t>
      </w:r>
      <w:r>
        <w:rPr>
          <w:i/>
          <w:spacing w:val="-2"/>
          <w:sz w:val="24"/>
        </w:rPr>
        <w:t>～</w:t>
      </w:r>
      <w:r>
        <w:rPr>
          <w:spacing w:val="-2"/>
          <w:sz w:val="24"/>
        </w:rPr>
        <w:t>90%</w:t>
      </w:r>
      <w:r>
        <w:rPr>
          <w:i/>
          <w:spacing w:val="-2"/>
          <w:sz w:val="24"/>
        </w:rPr>
        <w:t>的油气被吸收，贫油空气由排放</w:t>
      </w:r>
      <w:r>
        <w:rPr>
          <w:i/>
          <w:spacing w:val="-16"/>
          <w:sz w:val="24"/>
        </w:rPr>
        <w:t>口排出；吸收液再经过解吸过程，解吸后的吸收液循环使用，解吸气进入回收塔，</w:t>
      </w:r>
      <w:r>
        <w:rPr>
          <w:i/>
          <w:spacing w:val="-2"/>
          <w:sz w:val="24"/>
        </w:rPr>
        <w:t>利用成品汽油进行回收，尾气再返回吸收塔重复上述吸收过程。油气回收装置主</w:t>
      </w:r>
      <w:r>
        <w:rPr>
          <w:i/>
          <w:spacing w:val="-2"/>
          <w:sz w:val="24"/>
        </w:rPr>
        <w:t>要用来回收商业销售油库、中转供应油库、炼油厂、加油站、油码头及真空泵辅</w:t>
      </w:r>
      <w:r>
        <w:rPr>
          <w:i/>
          <w:spacing w:val="-2"/>
          <w:sz w:val="24"/>
        </w:rPr>
        <w:t>助卸油等场所中固定顶轻油罐、装运设备等固定排放源蒸发排放的高浓度油气。</w:t>
      </w:r>
      <w:r>
        <w:rPr>
          <w:i/>
          <w:spacing w:val="-2"/>
          <w:sz w:val="24"/>
        </w:rPr>
        <w:t>目前有两种典型的油气吸收回收方法：常压常温吸收法和常压低温吸收法。</w:t>
      </w:r>
    </w:p>
    <w:p>
      <w:pPr>
        <w:pStyle w:val="ListParagraph"/>
        <w:numPr>
          <w:ilvl w:val="2"/>
          <w:numId w:val="7"/>
        </w:numPr>
        <w:tabs>
          <w:tab w:val="left" w:pos="1077"/>
        </w:tabs>
        <w:spacing w:before="2" w:after="0" w:line="240" w:lineRule="auto"/>
        <w:ind w:left="1077" w:right="0" w:hanging="961"/>
        <w:jc w:val="left"/>
        <w:rPr>
          <w:rFonts w:ascii="黑体" w:eastAsia="黑体"/>
          <w:sz w:val="24"/>
        </w:rPr>
      </w:pPr>
      <w:r>
        <w:rPr>
          <w:rFonts w:ascii="黑体" w:eastAsia="黑体"/>
          <w:spacing w:val="-2"/>
          <w:sz w:val="24"/>
        </w:rPr>
        <w:t>常压常温吸收法</w:t>
      </w:r>
    </w:p>
    <w:p>
      <w:pPr>
        <w:spacing w:before="132" w:line="343" w:lineRule="auto"/>
        <w:ind w:left="116" w:right="355" w:firstLine="480"/>
        <w:jc w:val="both"/>
        <w:rPr>
          <w:i/>
          <w:sz w:val="24"/>
        </w:rPr>
      </w:pPr>
      <w:r>
        <w:rPr>
          <w:i/>
          <w:spacing w:val="-8"/>
          <w:sz w:val="24"/>
        </w:rPr>
        <w:t>常压常温吸收法是在常压常温下，利用吸收剂使其与排放的气体接触以吸收</w:t>
      </w:r>
      <w:r>
        <w:rPr>
          <w:i/>
          <w:spacing w:val="-2"/>
          <w:sz w:val="24"/>
        </w:rPr>
        <w:t>油蒸气的一种方法。。吸收装置是利用填料塔使蒸气与从上部流下的吸收液</w:t>
      </w:r>
      <w:r>
        <w:rPr>
          <w:spacing w:val="-2"/>
          <w:sz w:val="24"/>
        </w:rPr>
        <w:t>(</w:t>
      </w:r>
      <w:r>
        <w:rPr>
          <w:i/>
          <w:spacing w:val="-2"/>
          <w:sz w:val="24"/>
        </w:rPr>
        <w:t>汽</w:t>
      </w:r>
      <w:r>
        <w:rPr>
          <w:i/>
          <w:spacing w:val="-2"/>
          <w:sz w:val="24"/>
        </w:rPr>
        <w:t>油、轻柴油、特制有机溶剂等</w:t>
      </w:r>
      <w:r>
        <w:rPr>
          <w:spacing w:val="-2"/>
          <w:sz w:val="24"/>
        </w:rPr>
        <w:t>)</w:t>
      </w:r>
      <w:r>
        <w:rPr>
          <w:i/>
          <w:spacing w:val="-2"/>
          <w:sz w:val="24"/>
        </w:rPr>
        <w:t>进行对流接触，或者使吸收液从垂直填充有金属</w:t>
      </w:r>
      <w:r>
        <w:rPr>
          <w:i/>
          <w:spacing w:val="-4"/>
          <w:sz w:val="24"/>
        </w:rPr>
        <w:t>网的箱子的上部喷雾，使蒸气从流下的液膜中穿过。这种方法主要要求气液接触</w:t>
      </w:r>
      <w:r>
        <w:rPr>
          <w:i/>
          <w:spacing w:val="-4"/>
          <w:sz w:val="24"/>
        </w:rPr>
        <w:t>吸收率高、压力损失小和在喷雾部分等处不产生静电及吸收液不发泡等。常压常</w:t>
      </w:r>
      <w:r>
        <w:rPr>
          <w:i/>
          <w:spacing w:val="-4"/>
          <w:sz w:val="24"/>
        </w:rPr>
        <w:t>温吸收法有两种回收类型，一种是富吸收液可以再生，装置可视为独立完整的一</w:t>
      </w:r>
      <w:r>
        <w:rPr>
          <w:i/>
          <w:spacing w:val="-2"/>
          <w:sz w:val="24"/>
        </w:rPr>
        <w:t>个系统，适用范围广，但吸收液性能要求严格，多采用专用的吸收液；</w:t>
      </w:r>
    </w:p>
    <w:p>
      <w:pPr>
        <w:spacing w:before="0" w:line="309" w:lineRule="exact"/>
        <w:ind w:left="596" w:right="0" w:firstLine="0"/>
        <w:jc w:val="left"/>
        <w:rPr>
          <w:i/>
          <w:sz w:val="24"/>
        </w:rPr>
      </w:pPr>
      <w:r>
        <w:rPr>
          <w:i/>
          <w:sz w:val="24"/>
        </w:rPr>
        <w:t>采用自主研发的油气回收专用吸收剂</w:t>
      </w:r>
      <w:r>
        <w:rPr>
          <w:sz w:val="24"/>
        </w:rPr>
        <w:t>AbsFOV-97</w:t>
      </w:r>
      <w:r>
        <w:rPr>
          <w:position w:val="9"/>
          <w:sz w:val="20"/>
        </w:rPr>
        <w:t>[5]</w:t>
      </w:r>
      <w:r>
        <w:rPr>
          <w:i/>
          <w:spacing w:val="-1"/>
          <w:sz w:val="24"/>
        </w:rPr>
        <w:t>，立足于国内常规设备，</w:t>
      </w:r>
    </w:p>
    <w:p>
      <w:pPr>
        <w:spacing w:before="0" w:line="440" w:lineRule="atLeast"/>
        <w:ind w:left="116" w:right="118" w:firstLine="0"/>
        <w:jc w:val="left"/>
        <w:rPr>
          <w:i/>
          <w:sz w:val="24"/>
        </w:rPr>
      </w:pPr>
      <w:r>
        <w:rPr>
          <w:i/>
          <w:spacing w:val="-2"/>
          <w:sz w:val="24"/>
        </w:rPr>
        <w:t>开发出常压常温吸收法油气回收工业化装置，已被成功应用，回收效果明显，效</w:t>
      </w:r>
      <w:r>
        <w:rPr>
          <w:i/>
          <w:spacing w:val="-2"/>
          <w:sz w:val="24"/>
        </w:rPr>
        <w:t xml:space="preserve"> </w:t>
      </w:r>
      <w:r>
        <w:rPr>
          <w:i/>
          <w:spacing w:val="-2"/>
          <w:sz w:val="24"/>
        </w:rPr>
        <w:t>益显著。另一种是将富吸收液送回炼油厂装置加工处理。由于富吸收液解吸较难</w:t>
      </w:r>
      <w:r>
        <w:rPr>
          <w:spacing w:val="-2"/>
          <w:sz w:val="24"/>
        </w:rPr>
        <w:t>,</w:t>
      </w:r>
      <w:r>
        <w:rPr>
          <w:i/>
          <w:spacing w:val="-2"/>
          <w:sz w:val="24"/>
        </w:rPr>
        <w:t>吸收液只能作为一次性使用产品，因此限制了其使用范围。这类回收装置尤其适</w:t>
      </w:r>
      <w:r>
        <w:rPr>
          <w:i/>
          <w:spacing w:val="-2"/>
          <w:sz w:val="24"/>
        </w:rPr>
        <w:t xml:space="preserve"> </w:t>
      </w:r>
      <w:r>
        <w:rPr>
          <w:i/>
          <w:spacing w:val="-12"/>
          <w:sz w:val="24"/>
        </w:rPr>
        <w:t>用于炼油厂内部回收油蒸气。中石化济南分公司建成了用直馏柴油作为吸收剂</w:t>
      </w:r>
      <w:r>
        <w:rPr>
          <w:spacing w:val="-2"/>
          <w:position w:val="9"/>
          <w:sz w:val="20"/>
        </w:rPr>
        <w:t>[6]</w:t>
      </w:r>
      <w:r>
        <w:rPr>
          <w:i/>
          <w:spacing w:val="-2"/>
          <w:sz w:val="24"/>
        </w:rPr>
        <w:t>，</w:t>
      </w:r>
      <w:r>
        <w:rPr>
          <w:i/>
          <w:spacing w:val="-2"/>
          <w:sz w:val="24"/>
        </w:rPr>
        <w:t>采用常压常温吸收法的油气回收装置。</w:t>
      </w:r>
    </w:p>
    <w:p>
      <w:pPr>
        <w:spacing w:after="0" w:line="440" w:lineRule="atLeast"/>
        <w:jc w:val="left"/>
        <w:rPr>
          <w:sz w:val="24"/>
        </w:rPr>
        <w:sectPr>
          <w:footerReference w:type="default" r:id="rId10"/>
          <w:pgSz w:w="11910" w:h="16840"/>
          <w:pgMar w:top="1700" w:right="1440" w:bottom="1180" w:left="1680" w:header="0" w:footer="990"/>
          <w:pgNumType w:start="2"/>
          <w:cols w:space="708"/>
        </w:sectPr>
      </w:pPr>
    </w:p>
    <w:p>
      <w:pPr>
        <w:pStyle w:val="ListParagraph"/>
        <w:numPr>
          <w:ilvl w:val="2"/>
          <w:numId w:val="7"/>
        </w:numPr>
        <w:tabs>
          <w:tab w:val="left" w:pos="1077"/>
        </w:tabs>
        <w:spacing w:before="54" w:after="0" w:line="240" w:lineRule="auto"/>
        <w:ind w:left="1077" w:right="0" w:hanging="961"/>
        <w:jc w:val="left"/>
        <w:rPr>
          <w:rFonts w:ascii="黑体" w:eastAsia="黑体"/>
          <w:sz w:val="24"/>
        </w:rPr>
      </w:pPr>
      <w:r>
        <w:rPr>
          <w:rFonts w:ascii="黑体" w:eastAsia="黑体"/>
          <w:spacing w:val="-2"/>
          <w:sz w:val="24"/>
        </w:rPr>
        <w:t>常压低温吸收法</w:t>
      </w:r>
    </w:p>
    <w:p>
      <w:pPr>
        <w:pStyle w:val="BodyText"/>
        <w:spacing w:before="132" w:line="343" w:lineRule="auto"/>
        <w:ind w:left="116" w:right="235" w:firstLine="480"/>
      </w:pPr>
      <w:r>
        <w:rPr>
          <w:spacing w:val="-6"/>
        </w:rPr>
        <w:t>常压低温吸收法是使用冷冻机将吸收液冷却到低温，然后送到吸收塔对混合</w:t>
      </w:r>
      <w:r>
        <w:rPr>
          <w:spacing w:val="-16"/>
        </w:rPr>
        <w:t>气进行喷淋吸收。吸收液一般用产品汽油来直接回收油气。为了达到较高回收率，</w:t>
      </w:r>
      <w:r>
        <w:rPr>
          <w:spacing w:val="-2"/>
        </w:rPr>
        <w:t>吸收液(汽油)的冷却温度要控制在约-30℃以下，此时，系统需要制冷系统、低</w:t>
      </w:r>
      <w:r>
        <w:rPr>
          <w:spacing w:val="-2"/>
        </w:rPr>
        <w:t>温钢材及保温处理，投资及运行</w:t>
      </w:r>
    </w:p>
    <w:p>
      <w:pPr>
        <w:pStyle w:val="BodyText"/>
        <w:spacing w:before="1" w:line="343" w:lineRule="auto"/>
        <w:ind w:left="116" w:right="355" w:firstLine="480"/>
      </w:pPr>
      <w:r>
        <w:rPr>
          <w:spacing w:val="-4"/>
        </w:rPr>
        <w:t>费用较高。该方法还应防止静电和装置冻结。如果使用其它高效吸收剂，可</w:t>
      </w:r>
      <w:r>
        <w:rPr>
          <w:spacing w:val="-2"/>
        </w:rPr>
        <w:t>适当提高操作温度，但要增加解吸、回收工艺，加上制冷环节，投资巨增。</w:t>
      </w:r>
    </w:p>
    <w:p>
      <w:pPr>
        <w:pStyle w:val="ListParagraph"/>
        <w:numPr>
          <w:ilvl w:val="1"/>
          <w:numId w:val="7"/>
        </w:numPr>
        <w:tabs>
          <w:tab w:val="left" w:pos="744"/>
        </w:tabs>
        <w:spacing w:before="0" w:after="0" w:line="308" w:lineRule="exact"/>
        <w:ind w:left="743" w:right="0" w:hanging="628"/>
        <w:jc w:val="left"/>
        <w:rPr>
          <w:sz w:val="20"/>
        </w:rPr>
      </w:pPr>
      <w:r>
        <w:rPr>
          <w:rFonts w:ascii="黑体" w:eastAsia="黑体"/>
          <w:sz w:val="24"/>
        </w:rPr>
        <w:t>吸附法</w:t>
      </w:r>
      <w:r>
        <w:rPr>
          <w:spacing w:val="-5"/>
          <w:position w:val="9"/>
          <w:sz w:val="20"/>
        </w:rPr>
        <w:t>[7]</w:t>
      </w:r>
    </w:p>
    <w:p>
      <w:pPr>
        <w:pStyle w:val="BodyText"/>
        <w:spacing w:before="133" w:line="343" w:lineRule="auto"/>
        <w:ind w:left="116" w:right="148" w:firstLine="480"/>
      </w:pPr>
      <w:r>
        <w:drawing>
          <wp:anchor distT="0" distB="0" distL="0" distR="0" simplePos="0" relativeHeight="251663360" behindDoc="0" locked="0" layoutInCell="1" allowOverlap="1">
            <wp:simplePos x="0" y="0"/>
            <wp:positionH relativeFrom="page">
              <wp:posOffset>1710728</wp:posOffset>
            </wp:positionH>
            <wp:positionV relativeFrom="paragraph">
              <wp:posOffset>1188390</wp:posOffset>
            </wp:positionV>
            <wp:extent cx="4160524" cy="2856893"/>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1" cstate="print"/>
                    <a:stretch>
                      <a:fillRect/>
                    </a:stretch>
                  </pic:blipFill>
                  <pic:spPr>
                    <a:xfrm>
                      <a:off x="0" y="0"/>
                      <a:ext cx="4160524" cy="2856893"/>
                    </a:xfrm>
                    <a:prstGeom prst="rect">
                      <a:avLst/>
                    </a:prstGeom>
                  </pic:spPr>
                </pic:pic>
              </a:graphicData>
            </a:graphic>
          </wp:anchor>
        </w:drawing>
      </w:r>
      <w:r>
        <w:rPr>
          <w:spacing w:val="-4"/>
        </w:rPr>
        <w:t>吸附法是利用混合物中各组分与吸附剂之间结合力强弱的差别，即在吸附剂</w:t>
      </w:r>
      <w:r>
        <w:rPr>
          <w:spacing w:val="-10"/>
        </w:rPr>
        <w:t>与流体相间分配不同的性质，使混合物中难吸附与易吸附组分实现分离。它的特</w:t>
      </w:r>
      <w:r>
        <w:rPr>
          <w:spacing w:val="-16"/>
        </w:rPr>
        <w:t>点是合适的吸附剂对各组分的吸附有很高的选择性。吸附法油气回收装置由吸附、</w:t>
      </w:r>
      <w:r>
        <w:t>脱附、干燥和冷却四个阶段组成。工艺流程图见图2。</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28"/>
        </w:rPr>
      </w:pPr>
    </w:p>
    <w:p>
      <w:pPr>
        <w:spacing w:before="0"/>
        <w:ind w:left="2803" w:right="0" w:firstLine="0"/>
        <w:jc w:val="left"/>
        <w:rPr>
          <w:sz w:val="21"/>
        </w:rPr>
      </w:pPr>
      <w:r>
        <w:rPr>
          <w:sz w:val="21"/>
        </w:rPr>
        <w:t>图1-2</w:t>
      </w:r>
      <w:r>
        <w:rPr>
          <w:spacing w:val="-1"/>
          <w:sz w:val="21"/>
        </w:rPr>
        <w:t xml:space="preserve"> 吸附法油气回收工艺流程</w:t>
      </w:r>
    </w:p>
    <w:p>
      <w:pPr>
        <w:pStyle w:val="BodyText"/>
        <w:spacing w:before="5"/>
        <w:rPr>
          <w:sz w:val="16"/>
        </w:rPr>
      </w:pPr>
    </w:p>
    <w:p>
      <w:pPr>
        <w:pStyle w:val="BodyText"/>
        <w:spacing w:line="343" w:lineRule="auto"/>
        <w:ind w:left="116" w:right="235" w:firstLine="480"/>
      </w:pPr>
      <w:r>
        <w:rPr>
          <w:spacing w:val="-2"/>
        </w:rPr>
        <w:t>油气首先进入吸附罐，99%以上的烃被吸附剂吸附，贫油空气由吸附罐上部</w:t>
      </w:r>
      <w:r>
        <w:rPr>
          <w:spacing w:val="-2"/>
        </w:rPr>
        <w:t>的排放口排出。通常采用真空解吸，使吸附于吸附剂的烃在真空状态下挥发，解</w:t>
      </w:r>
      <w:r>
        <w:rPr>
          <w:spacing w:val="-6"/>
        </w:rPr>
        <w:t>吸时所需的真空压力取决于装置允许的油气排放浓度。解吸产生的饱和油气通过</w:t>
      </w:r>
      <w:r>
        <w:rPr>
          <w:spacing w:val="-2"/>
        </w:rPr>
        <w:t>分离罐分离，分离后的油气进入汽油吸收塔与成品汽油传质后，约70%的油气被</w:t>
      </w:r>
      <w:r>
        <w:rPr>
          <w:spacing w:val="-2"/>
        </w:rPr>
        <w:t>汽油吸收，吸收后的尾气再进入吸附罐。吸附剂性能的好坏直接影响吸附操作是</w:t>
      </w:r>
      <w:r>
        <w:rPr>
          <w:spacing w:val="-2"/>
        </w:rPr>
        <w:t>否可行有效，用于油气分离的吸附剂应具备吸附率高、比热容及传热系数大、压</w:t>
      </w:r>
      <w:r>
        <w:rPr>
          <w:spacing w:val="-18"/>
        </w:rPr>
        <w:t>降小、劣化度小、使用寿命长、机械强度高等特点。从现有的常规吸附剂来分析，</w:t>
      </w:r>
      <w:r>
        <w:rPr>
          <w:spacing w:val="-2"/>
        </w:rPr>
        <w:t>活性炭及其改进型具有较为明显的特点且技术成熟、成本低廉，因此可作为首选</w:t>
      </w:r>
    </w:p>
    <w:p>
      <w:pPr>
        <w:spacing w:after="0" w:line="343" w:lineRule="auto"/>
        <w:sectPr>
          <w:footerReference w:type="default" r:id="rId12"/>
          <w:pgSz w:w="11910" w:h="16840"/>
          <w:pgMar w:top="1480" w:right="1440" w:bottom="1180" w:left="1680" w:header="0" w:footer="990"/>
          <w:pgNumType w:start="3"/>
          <w:cols w:space="708"/>
        </w:sectPr>
      </w:pPr>
    </w:p>
    <w:p>
      <w:pPr>
        <w:pStyle w:val="BodyText"/>
        <w:spacing w:before="44" w:line="304" w:lineRule="auto"/>
        <w:ind w:left="116" w:right="448"/>
      </w:pPr>
      <w:r>
        <w:rPr>
          <w:spacing w:val="-2"/>
        </w:rPr>
        <w:t>的对象来考察</w:t>
      </w:r>
      <w:r>
        <w:rPr>
          <w:spacing w:val="-2"/>
          <w:position w:val="9"/>
          <w:sz w:val="20"/>
        </w:rPr>
        <w:t>[8]</w:t>
      </w:r>
      <w:r>
        <w:rPr>
          <w:spacing w:val="-2"/>
        </w:rPr>
        <w:t>，经过两年努力，中石化青岛安全工程研究院自主开发了活性</w:t>
      </w:r>
      <w:r>
        <w:rPr>
          <w:spacing w:val="-2"/>
        </w:rPr>
        <w:t>炭吸附法油气回收装置</w:t>
      </w:r>
      <w:r>
        <w:rPr>
          <w:spacing w:val="-2"/>
          <w:position w:val="9"/>
          <w:sz w:val="20"/>
        </w:rPr>
        <w:t>[9]</w:t>
      </w:r>
      <w:r>
        <w:rPr>
          <w:spacing w:val="-2"/>
        </w:rPr>
        <w:t>，已成功应用于北京石油分公司沙河油库。</w:t>
      </w:r>
    </w:p>
    <w:p>
      <w:pPr>
        <w:pStyle w:val="BodyText"/>
        <w:spacing w:before="49" w:line="343" w:lineRule="auto"/>
        <w:ind w:left="116" w:right="148" w:firstLine="480"/>
      </w:pPr>
      <w:r>
        <w:rPr>
          <w:spacing w:val="-11"/>
        </w:rPr>
        <w:t>从现有的常规吸附剂来分析，活性炭及其改进型具有非极性的表面结构特点，</w:t>
      </w:r>
      <w:r>
        <w:rPr>
          <w:spacing w:val="-6"/>
        </w:rPr>
        <w:t>为疏水性和亲有机物质的吸附剂，因此特别适宜于气体或液体混合物中吸附回收</w:t>
      </w:r>
      <w:r>
        <w:rPr>
          <w:spacing w:val="-10"/>
        </w:rPr>
        <w:t>有机物，但活性炭存在寿命问题，而且在吸附油成分之后有较大的温度升高，易</w:t>
      </w:r>
      <w:r>
        <w:rPr>
          <w:spacing w:val="-13"/>
        </w:rPr>
        <w:t>形成过热面自燃，存在安全隐患。近几年来，国内外又不断有许多性能良好的活性炭改进型吸附剂开发问世。如活性炭纤维(ACF)，其外表面积和比表面积大， 细孔均匀整齐，吸附效率高，容量大，脱附容易、迅速，且阻力小，安全性好，</w:t>
      </w:r>
      <w:r>
        <w:rPr>
          <w:spacing w:val="-16"/>
        </w:rPr>
        <w:t>但由于活性炭纤维的机械强度低和制造费用大，因此限制了推广应用。凹凸棒石黏土(Attapulgite)是我国近年来发现的一种新型矿种，其对低浓度的甲苯和甲 醇蒸气有很好的吸附性，对控制低浓度有机气体污染物是很有前途的吸附剂。目</w:t>
      </w:r>
      <w:r>
        <w:rPr>
          <w:spacing w:val="-10"/>
        </w:rPr>
        <w:t>前，我国研究的重点应在于高性能吸附剂的筛选及改进型(国产化)、装置关键零部件的优化设计(筛选)、不同分离技术与吸附分离的集成效果试验论证及评价。</w:t>
      </w:r>
    </w:p>
    <w:p>
      <w:pPr>
        <w:pStyle w:val="ListParagraph"/>
        <w:numPr>
          <w:ilvl w:val="1"/>
          <w:numId w:val="7"/>
        </w:numPr>
        <w:tabs>
          <w:tab w:val="left" w:pos="744"/>
        </w:tabs>
        <w:spacing w:before="0" w:after="0" w:line="311" w:lineRule="exact"/>
        <w:ind w:left="743" w:right="0" w:hanging="628"/>
        <w:jc w:val="left"/>
        <w:rPr>
          <w:sz w:val="20"/>
        </w:rPr>
      </w:pPr>
      <w:r>
        <w:rPr>
          <w:rFonts w:ascii="黑体" w:eastAsia="黑体"/>
          <w:sz w:val="24"/>
        </w:rPr>
        <w:t>冷凝法</w:t>
      </w:r>
      <w:r>
        <w:rPr>
          <w:spacing w:val="-4"/>
          <w:position w:val="9"/>
          <w:sz w:val="20"/>
        </w:rPr>
        <w:t>[10]</w:t>
      </w:r>
    </w:p>
    <w:p>
      <w:pPr>
        <w:pStyle w:val="BodyText"/>
        <w:spacing w:before="132" w:line="343" w:lineRule="auto"/>
        <w:ind w:left="116" w:right="268" w:firstLine="480"/>
      </w:pPr>
      <w:r>
        <w:drawing>
          <wp:anchor distT="0" distB="0" distL="0" distR="0" simplePos="0" relativeHeight="251664384" behindDoc="1" locked="0" layoutInCell="1" allowOverlap="1">
            <wp:simplePos x="0" y="0"/>
            <wp:positionH relativeFrom="page">
              <wp:posOffset>1718832</wp:posOffset>
            </wp:positionH>
            <wp:positionV relativeFrom="paragraph">
              <wp:posOffset>1712569</wp:posOffset>
            </wp:positionV>
            <wp:extent cx="4093820" cy="1934260"/>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13" cstate="print"/>
                    <a:stretch>
                      <a:fillRect/>
                    </a:stretch>
                  </pic:blipFill>
                  <pic:spPr>
                    <a:xfrm>
                      <a:off x="0" y="0"/>
                      <a:ext cx="4093820" cy="1934260"/>
                    </a:xfrm>
                    <a:prstGeom prst="rect">
                      <a:avLst/>
                    </a:prstGeom>
                  </pic:spPr>
                </pic:pic>
              </a:graphicData>
            </a:graphic>
          </wp:anchor>
        </w:drawing>
      </w:r>
      <w:r>
        <w:rPr>
          <w:spacing w:val="-2"/>
        </w:rPr>
        <w:t>冷凝法油气回收方式是利用烃类物质在不同温度下的蒸气分压差异,通过机</w:t>
      </w:r>
      <w:r>
        <w:t>械制冷,降低油气温度,使烃类物质蒸气分压达到饱和状态, 而逐步冷凝成液态</w:t>
      </w:r>
      <w:r>
        <w:t xml:space="preserve"> </w:t>
      </w:r>
      <w:r>
        <w:rPr>
          <w:spacing w:val="-2"/>
        </w:rPr>
        <w:t>的一种油气回收方法。冷凝法油气回收装置, 一般采用预冷、机械制冷、液氮制</w:t>
      </w:r>
      <w:r>
        <w:rPr>
          <w:spacing w:val="-2"/>
        </w:rPr>
        <w:t>冷等步骤实现，具有安全性好、油气回收率高、符合环保要求、设备成套装配、</w:t>
      </w:r>
      <w:r>
        <w:rPr>
          <w:spacing w:val="-2"/>
        </w:rPr>
        <w:t>安装简单、运行过程自动化，使用维护简便、投资回收期短等特点。工艺流程图</w:t>
      </w:r>
      <w:r>
        <w:rPr>
          <w:spacing w:val="-2"/>
        </w:rPr>
        <w:t>见图1-3。</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26"/>
        </w:rPr>
      </w:pPr>
    </w:p>
    <w:p>
      <w:pPr>
        <w:spacing w:before="0"/>
        <w:ind w:left="2803" w:right="0" w:firstLine="0"/>
        <w:jc w:val="both"/>
        <w:rPr>
          <w:sz w:val="21"/>
        </w:rPr>
      </w:pPr>
      <w:r>
        <w:rPr>
          <w:sz w:val="21"/>
        </w:rPr>
        <w:t>图1-3</w:t>
      </w:r>
      <w:r>
        <w:rPr>
          <w:spacing w:val="-1"/>
          <w:sz w:val="21"/>
        </w:rPr>
        <w:t xml:space="preserve"> 冷凝法油气回收工艺流程</w:t>
      </w:r>
    </w:p>
    <w:p>
      <w:pPr>
        <w:pStyle w:val="BodyText"/>
        <w:spacing w:before="5"/>
        <w:rPr>
          <w:sz w:val="16"/>
        </w:rPr>
      </w:pPr>
    </w:p>
    <w:p>
      <w:pPr>
        <w:pStyle w:val="BodyText"/>
        <w:spacing w:line="343" w:lineRule="auto"/>
        <w:ind w:left="116" w:right="355" w:firstLine="480"/>
        <w:jc w:val="both"/>
      </w:pPr>
      <w:r>
        <w:rPr>
          <w:spacing w:val="-10"/>
        </w:rPr>
        <w:t>预冷器是一单级冷却装置，其运行(冷凝)温度在油气各种组分的冷凝温度以</w:t>
      </w:r>
      <w:r>
        <w:rPr>
          <w:spacing w:val="-2"/>
        </w:rPr>
        <w:t>上，使进入回收装置的油气温度从环境温度降到4℃左右，使油气中的大部分水</w:t>
      </w:r>
      <w:r>
        <w:rPr>
          <w:spacing w:val="-5"/>
        </w:rPr>
        <w:t>汽凝结为水而除去，从而使进入低温冷凝器的挥发气态状态标准化(一致)，可减</w:t>
      </w:r>
    </w:p>
    <w:p>
      <w:pPr>
        <w:spacing w:after="0" w:line="343" w:lineRule="auto"/>
        <w:jc w:val="both"/>
        <w:sectPr>
          <w:footerReference w:type="default" r:id="rId14"/>
          <w:pgSz w:w="11910" w:h="16840"/>
          <w:pgMar w:top="1440" w:right="1440" w:bottom="1180" w:left="1680" w:header="0" w:footer="990"/>
          <w:pgNumType w:start="4"/>
          <w:cols w:space="708"/>
        </w:sectPr>
      </w:pPr>
    </w:p>
    <w:p>
      <w:pPr>
        <w:pStyle w:val="BodyText"/>
        <w:spacing w:before="54" w:line="343" w:lineRule="auto"/>
        <w:ind w:left="116" w:right="175"/>
      </w:pPr>
      <w:r>
        <w:rPr>
          <w:spacing w:val="-2"/>
        </w:rPr>
        <w:t>少回收装置的运行能耗。油气离开预冷器后进入机械制冷级。机械制冷级可使大</w:t>
      </w:r>
      <w:r>
        <w:rPr>
          <w:spacing w:val="-2"/>
        </w:rPr>
        <w:t>部分油气冷凝为液体回收。若需要更低的冷却温度，就需在机械制冷之后连接液</w:t>
      </w:r>
      <w:r>
        <w:rPr>
          <w:spacing w:val="-2"/>
        </w:rPr>
        <w:t>氮制冷</w:t>
      </w:r>
      <w:r>
        <w:rPr>
          <w:spacing w:val="-20"/>
        </w:rPr>
        <w:t>，这时油气回收率可达</w:t>
      </w:r>
      <w:r>
        <w:rPr>
          <w:spacing w:val="-2"/>
        </w:rPr>
        <w:t>99%</w:t>
      </w:r>
      <w:r>
        <w:rPr>
          <w:spacing w:val="-16"/>
        </w:rPr>
        <w:t>。单级机械制冷装置的工作温度范围为-</w:t>
      </w:r>
      <w:r>
        <w:rPr>
          <w:spacing w:val="-2"/>
        </w:rPr>
        <w:t>35～10℃</w:t>
      </w:r>
      <w:r>
        <w:rPr>
          <w:spacing w:val="-2"/>
        </w:rPr>
        <w:t>，串联机械制冷装置压缩由浅冷(高温)级和深冷(低温)级组成，其工作温度为-73</w:t>
      </w:r>
    </w:p>
    <w:p>
      <w:pPr>
        <w:pStyle w:val="BodyText"/>
        <w:spacing w:before="1" w:line="343" w:lineRule="auto"/>
        <w:ind w:left="116" w:right="235"/>
      </w:pPr>
      <w:r>
        <w:rPr>
          <w:spacing w:val="-2"/>
        </w:rPr>
        <w:t>℃～-40℃，有液氮制冷的深冷装置工作温度可达到-184℃。冷凝法的最大优点</w:t>
      </w:r>
      <w:r>
        <w:rPr>
          <w:spacing w:val="-2"/>
        </w:rPr>
        <w:t>就是回收的烃类液体不含杂质(活性炭吸附法回收的烃含有炭，吸收法回收的烃</w:t>
      </w:r>
      <w:r>
        <w:rPr>
          <w:spacing w:val="-4"/>
        </w:rPr>
        <w:t>含有吸收剂)。缺点就是，必须在很低的温度下才能达到较高的回收率，能耗高。</w:t>
      </w:r>
      <w:r>
        <w:rPr>
          <w:spacing w:val="-2"/>
        </w:rPr>
        <w:t>冷凝法适用于高浓度烃蒸气的回收。</w:t>
      </w:r>
    </w:p>
    <w:p>
      <w:pPr>
        <w:pStyle w:val="ListParagraph"/>
        <w:numPr>
          <w:ilvl w:val="1"/>
          <w:numId w:val="7"/>
        </w:numPr>
        <w:tabs>
          <w:tab w:val="left" w:pos="744"/>
        </w:tabs>
        <w:spacing w:before="0" w:after="0" w:line="309" w:lineRule="exact"/>
        <w:ind w:left="743" w:right="0" w:hanging="628"/>
        <w:jc w:val="left"/>
        <w:rPr>
          <w:sz w:val="20"/>
        </w:rPr>
      </w:pPr>
      <w:r>
        <w:rPr>
          <w:rFonts w:ascii="黑体" w:eastAsia="黑体"/>
          <w:sz w:val="24"/>
        </w:rPr>
        <w:t>膜分离法</w:t>
      </w:r>
      <w:r>
        <w:rPr>
          <w:spacing w:val="-4"/>
          <w:position w:val="9"/>
          <w:sz w:val="20"/>
        </w:rPr>
        <w:t>[11]</w:t>
      </w:r>
    </w:p>
    <w:p>
      <w:pPr>
        <w:pStyle w:val="BodyText"/>
        <w:spacing w:before="132" w:line="343" w:lineRule="auto"/>
        <w:ind w:left="116" w:right="355" w:firstLine="480"/>
        <w:jc w:val="both"/>
      </w:pPr>
      <w:r>
        <w:rPr>
          <w:spacing w:val="-5"/>
        </w:rPr>
        <w:t>膜分离技术的基本原理是利用了高分子膜对油气的优先透过性的特点，让油</w:t>
      </w:r>
      <w:r>
        <w:rPr>
          <w:spacing w:val="-2"/>
        </w:rPr>
        <w:t>气/空气的混合气在一定的压差推动下经膜的“过滤作用”使混合气中的油气优</w:t>
      </w:r>
      <w:r>
        <w:rPr>
          <w:spacing w:val="-4"/>
        </w:rPr>
        <w:t>先透过膜得以“脱除”回收，而空气则被选择性的截留。膜片为复合结构，由三</w:t>
      </w:r>
      <w:r>
        <w:rPr>
          <w:spacing w:val="-7"/>
        </w:rPr>
        <w:t xml:space="preserve">层不同的材料构成。表层为致密的硅橡胶层，很薄，厚度小于 </w:t>
      </w:r>
      <w:r>
        <w:rPr>
          <w:spacing w:val="-6"/>
        </w:rPr>
        <w:t>1</w:t>
      </w:r>
      <w:r>
        <w:rPr>
          <w:spacing w:val="-9"/>
        </w:rPr>
        <w:t xml:space="preserve"> 微米，起分离作</w:t>
      </w:r>
      <w:r>
        <w:rPr>
          <w:spacing w:val="-4"/>
        </w:rPr>
        <w:t>用。中间层的材料为聚丙烯腈，最下层为无纺布，这两层结构疏松，主要起支撑</w:t>
      </w:r>
      <w:r>
        <w:rPr>
          <w:spacing w:val="-2"/>
        </w:rPr>
        <w:t>作用，以增强膜片的机械强度。</w:t>
      </w:r>
    </w:p>
    <w:p>
      <w:pPr>
        <w:pStyle w:val="BodyText"/>
        <w:spacing w:before="2" w:line="343" w:lineRule="auto"/>
        <w:ind w:left="116" w:right="355" w:firstLine="420"/>
      </w:pPr>
      <w:r>
        <w:rPr>
          <w:spacing w:val="-2"/>
        </w:rPr>
        <w:t xml:space="preserve">与传统的卷式和中空纤维式膜组件相比，德国 </w:t>
      </w:r>
      <w:r>
        <w:t>GKSS</w:t>
      </w:r>
      <w:r>
        <w:rPr>
          <w:spacing w:val="-6"/>
        </w:rPr>
        <w:t xml:space="preserve"> 的膜组件是专门为油气</w:t>
      </w:r>
      <w:r>
        <w:rPr>
          <w:spacing w:val="-4"/>
        </w:rPr>
        <w:t>回收过程而设计，更加安全可靠。其组件是由数十个近似圆环状的膜袋并排套封</w:t>
      </w:r>
      <w:r>
        <w:rPr>
          <w:spacing w:val="-4"/>
        </w:rPr>
        <w:t>在一个开孔的中心管上，然后装入桶状容器中而制成。膜袋是由两张膜片中间夹</w:t>
      </w:r>
      <w:r>
        <w:rPr>
          <w:spacing w:val="-4"/>
        </w:rPr>
        <w:t>上格网，然后在膜袋中间开孔，四周密封而制成。这样的设计使膜的渗透侧流道</w:t>
      </w:r>
      <w:r>
        <w:rPr>
          <w:spacing w:val="-4"/>
        </w:rPr>
        <w:t>变短，流速可调，一方面减少了压力损失，另一方面也可防止膜内产生静电，消</w:t>
      </w:r>
      <w:r>
        <w:rPr>
          <w:spacing w:val="-2"/>
        </w:rPr>
        <w:t>除了爆炸的可能性，从而使膜组件更加高效、安全。</w:t>
      </w:r>
    </w:p>
    <w:p>
      <w:pPr>
        <w:pStyle w:val="BodyText"/>
        <w:spacing w:before="2" w:line="343" w:lineRule="auto"/>
        <w:ind w:left="116" w:right="355"/>
        <w:jc w:val="both"/>
      </w:pPr>
      <w:r>
        <w:rPr>
          <w:spacing w:val="-4"/>
        </w:rPr>
        <w:t>组件工作时，进料气在膜片两侧的压差推动下，从膜袋外渗透入膜袋内侧，然后</w:t>
      </w:r>
      <w:r>
        <w:rPr>
          <w:spacing w:val="-4"/>
        </w:rPr>
        <w:t>由中心管收集排出，未渗透的气体则由组件的另一端排掉。由于油气通过膜片的</w:t>
      </w:r>
      <w:r>
        <w:rPr>
          <w:spacing w:val="-4"/>
        </w:rPr>
        <w:t>渗透速率远大于空气，从中心管流出的（膜的渗透气）为富集的油气。从尾气端</w:t>
      </w:r>
      <w:r>
        <w:rPr>
          <w:spacing w:val="-2"/>
        </w:rPr>
        <w:t>流出的（未渗透气）则是脱除了油气的净化空气。</w:t>
      </w:r>
    </w:p>
    <w:p>
      <w:pPr>
        <w:pStyle w:val="BodyText"/>
        <w:spacing w:before="1" w:line="343" w:lineRule="auto"/>
        <w:ind w:left="116" w:right="355" w:firstLine="480"/>
      </w:pPr>
      <w:r>
        <w:rPr>
          <w:spacing w:val="-2"/>
        </w:rPr>
        <w:t>其中膜法气体分离的基本原理就是利用了高分子膜对油气的优先透过性的</w:t>
      </w:r>
      <w:r>
        <w:rPr>
          <w:spacing w:val="-4"/>
        </w:rPr>
        <w:t>特点，让油气—空气混合气体在一定的压差推动下经膜的“过滤作用”使混合气</w:t>
      </w:r>
      <w:r>
        <w:rPr>
          <w:spacing w:val="-4"/>
        </w:rPr>
        <w:t>中的油气优先透过膜而得以“脱出”回收，而空气则被选择性地截留。膜分离法</w:t>
      </w:r>
      <w:r>
        <w:rPr>
          <w:spacing w:val="-2"/>
        </w:rPr>
        <w:t>是传统的压缩、冷凝法与选择性渗透膜技术的结合，其工艺流程图见图1-4。</w:t>
      </w:r>
    </w:p>
    <w:p>
      <w:pPr>
        <w:spacing w:after="0" w:line="343" w:lineRule="auto"/>
        <w:sectPr>
          <w:footerReference w:type="default" r:id="rId15"/>
          <w:pgSz w:w="11910" w:h="16840"/>
          <w:pgMar w:top="1480" w:right="1440" w:bottom="1180" w:left="1680" w:header="0" w:footer="990"/>
          <w:pgNumType w:start="5"/>
          <w:cols w:space="708"/>
        </w:sectPr>
      </w:pPr>
    </w:p>
    <w:p>
      <w:pPr>
        <w:pStyle w:val="BodyText"/>
        <w:ind w:left="536"/>
        <w:rPr>
          <w:sz w:val="20"/>
        </w:rPr>
      </w:pPr>
      <w:r>
        <w:rPr>
          <w:sz w:val="20"/>
        </w:rPr>
        <w:drawing>
          <wp:inline distT="0" distB="0" distL="0" distR="0">
            <wp:extent cx="4796154" cy="2426017"/>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16" cstate="print"/>
                    <a:stretch>
                      <a:fillRect/>
                    </a:stretch>
                  </pic:blipFill>
                  <pic:spPr>
                    <a:xfrm>
                      <a:off x="0" y="0"/>
                      <a:ext cx="4796154" cy="2426017"/>
                    </a:xfrm>
                    <a:prstGeom prst="rect">
                      <a:avLst/>
                    </a:prstGeom>
                  </pic:spPr>
                </pic:pic>
              </a:graphicData>
            </a:graphic>
          </wp:inline>
        </w:drawing>
      </w:r>
    </w:p>
    <w:p>
      <w:pPr>
        <w:pStyle w:val="BodyText"/>
        <w:spacing w:before="6"/>
        <w:rPr>
          <w:sz w:val="11"/>
        </w:rPr>
      </w:pPr>
    </w:p>
    <w:p>
      <w:pPr>
        <w:spacing w:before="71"/>
        <w:ind w:left="2698" w:right="0" w:firstLine="0"/>
        <w:jc w:val="left"/>
        <w:rPr>
          <w:sz w:val="21"/>
        </w:rPr>
      </w:pPr>
      <w:r>
        <w:rPr>
          <w:sz w:val="21"/>
        </w:rPr>
        <w:t>图1-4</w:t>
      </w:r>
      <w:r>
        <w:rPr>
          <w:spacing w:val="-1"/>
          <w:sz w:val="21"/>
        </w:rPr>
        <w:t xml:space="preserve"> 膜分离法油气回收工艺流程</w:t>
      </w:r>
    </w:p>
    <w:p>
      <w:pPr>
        <w:pStyle w:val="BodyText"/>
        <w:spacing w:before="5"/>
        <w:rPr>
          <w:sz w:val="16"/>
        </w:rPr>
      </w:pPr>
    </w:p>
    <w:p>
      <w:pPr>
        <w:pStyle w:val="BodyText"/>
        <w:spacing w:line="343" w:lineRule="auto"/>
        <w:ind w:left="116" w:right="268" w:firstLine="480"/>
      </w:pPr>
      <w:r>
        <w:rPr>
          <w:spacing w:val="-2"/>
        </w:rPr>
        <w:t>生产操作中产生的油气与空气混合气体，经过压缩机压缩至0.390～0.686 MPa，同时经过换热，然后混合油气进入吸收塔，进入吸收塔的油气温度在5℃～ 20℃之间，油气在吸收塔内与成品汽油传质，约70％的烃蒸气在这一过程中被回</w:t>
      </w:r>
      <w:r>
        <w:rPr>
          <w:spacing w:val="-2"/>
        </w:rPr>
        <w:t>收。吸收塔的尾气再经过薄膜将烃蒸气与空气分离，分离后的油气返回压缩机入</w:t>
      </w:r>
      <w:r>
        <w:rPr>
          <w:spacing w:val="-2"/>
        </w:rPr>
        <w:t>口与装卸产生的油气一起重复上述工艺过程，空气排入大气。膜分离法回收率可</w:t>
      </w:r>
      <w:r>
        <w:rPr>
          <w:spacing w:val="-2"/>
        </w:rPr>
        <w:t>以达到95％。同传统的化工分离技术相比，膜技术具有适用范围广、操作灵活简</w:t>
      </w:r>
      <w:r>
        <w:rPr>
          <w:spacing w:val="-2"/>
        </w:rPr>
        <w:t>便、占地面积小、运行费用低、易于维护、便于放大等诸多优点。但是能耗大、</w:t>
      </w:r>
      <w:r>
        <w:t>投资高。目前，上海灵广加油站和上中加油站采用了VA-CONOVENT 膜法油气回 收技术，排放气中的油气体积分数降至1.0%(约30 g/m3)以下，可以满足欧洲标</w:t>
      </w:r>
      <w:r>
        <w:rPr>
          <w:spacing w:val="-6"/>
        </w:rPr>
        <w:t>准。</w:t>
      </w:r>
    </w:p>
    <w:p>
      <w:pPr>
        <w:pStyle w:val="BodyText"/>
        <w:spacing w:line="310" w:lineRule="exact"/>
        <w:ind w:left="116"/>
      </w:pPr>
      <w:r>
        <w:t>作为一门新技术，今后的研究重点应该是</w:t>
      </w:r>
      <w:r>
        <w:rPr>
          <w:spacing w:val="-2"/>
          <w:position w:val="9"/>
          <w:sz w:val="20"/>
        </w:rPr>
        <w:t>[12]</w:t>
      </w:r>
      <w:r>
        <w:rPr>
          <w:spacing w:val="-2"/>
        </w:rPr>
        <w:t>：</w:t>
      </w:r>
    </w:p>
    <w:p>
      <w:pPr>
        <w:pStyle w:val="ListParagraph"/>
        <w:numPr>
          <w:ilvl w:val="0"/>
          <w:numId w:val="9"/>
        </w:numPr>
        <w:tabs>
          <w:tab w:val="left" w:pos="958"/>
        </w:tabs>
        <w:spacing w:before="132" w:after="0" w:line="343" w:lineRule="auto"/>
        <w:ind w:left="116" w:right="388" w:firstLine="480"/>
        <w:jc w:val="left"/>
        <w:rPr>
          <w:sz w:val="24"/>
        </w:rPr>
      </w:pPr>
      <w:r>
        <w:rPr>
          <w:spacing w:val="-2"/>
          <w:sz w:val="24"/>
        </w:rPr>
        <w:t>高分离性能的高分子膜材料和无机膜材料，尤其是不同功能材料的复合</w:t>
      </w:r>
      <w:r>
        <w:rPr>
          <w:spacing w:val="-2"/>
          <w:sz w:val="24"/>
        </w:rPr>
        <w:t>膜制作和应用。</w:t>
      </w:r>
    </w:p>
    <w:p>
      <w:pPr>
        <w:pStyle w:val="ListParagraph"/>
        <w:numPr>
          <w:ilvl w:val="0"/>
          <w:numId w:val="9"/>
        </w:numPr>
        <w:tabs>
          <w:tab w:val="left" w:pos="958"/>
        </w:tabs>
        <w:spacing w:before="1" w:after="0" w:line="343" w:lineRule="auto"/>
        <w:ind w:left="116" w:right="388" w:firstLine="480"/>
        <w:jc w:val="left"/>
        <w:rPr>
          <w:sz w:val="24"/>
        </w:rPr>
      </w:pPr>
      <w:r>
        <w:rPr>
          <w:spacing w:val="-2"/>
          <w:sz w:val="24"/>
        </w:rPr>
        <w:t>考虑国情，应尽可能改造现有的传统回收系统，如吸附无法满足排放要</w:t>
      </w:r>
      <w:r>
        <w:rPr>
          <w:spacing w:val="-2"/>
          <w:sz w:val="24"/>
        </w:rPr>
        <w:t>求，加入膜系统后，排放即可达到标准，同时可增加经济效益。</w:t>
      </w:r>
    </w:p>
    <w:p>
      <w:pPr>
        <w:pStyle w:val="ListParagraph"/>
        <w:numPr>
          <w:ilvl w:val="0"/>
          <w:numId w:val="9"/>
        </w:numPr>
        <w:tabs>
          <w:tab w:val="left" w:pos="958"/>
        </w:tabs>
        <w:spacing w:before="0" w:after="0" w:line="343" w:lineRule="auto"/>
        <w:ind w:left="116" w:right="268" w:firstLine="480"/>
        <w:jc w:val="left"/>
        <w:rPr>
          <w:sz w:val="24"/>
        </w:rPr>
      </w:pPr>
      <w:r>
        <w:rPr>
          <w:spacing w:val="-2"/>
          <w:sz w:val="24"/>
        </w:rPr>
        <w:t>膜分离新工艺的开发，应加大力度研究膜法和其它回收方法相耦合的组</w:t>
      </w:r>
      <w:r>
        <w:rPr>
          <w:spacing w:val="-2"/>
          <w:sz w:val="24"/>
        </w:rPr>
        <w:t>合工艺，如膜基吸收工艺、冷凝法和吸收法进行前置处理，再利用膜分离方法、</w:t>
      </w:r>
      <w:r>
        <w:rPr>
          <w:spacing w:val="-2"/>
          <w:sz w:val="24"/>
        </w:rPr>
        <w:t>多级分离优化等。</w:t>
      </w:r>
    </w:p>
    <w:p>
      <w:pPr>
        <w:pStyle w:val="ListParagraph"/>
        <w:numPr>
          <w:ilvl w:val="2"/>
          <w:numId w:val="7"/>
        </w:numPr>
        <w:tabs>
          <w:tab w:val="left" w:pos="1077"/>
        </w:tabs>
        <w:spacing w:before="1" w:after="0" w:line="240" w:lineRule="auto"/>
        <w:ind w:left="1077" w:right="0" w:hanging="961"/>
        <w:jc w:val="left"/>
        <w:rPr>
          <w:rFonts w:ascii="黑体" w:eastAsia="黑体"/>
          <w:sz w:val="24"/>
        </w:rPr>
      </w:pPr>
      <w:r>
        <w:rPr>
          <w:rFonts w:ascii="黑体" w:eastAsia="黑体"/>
          <w:spacing w:val="-1"/>
          <w:sz w:val="24"/>
        </w:rPr>
        <w:t>膜法油气回收系统的优点</w:t>
      </w:r>
    </w:p>
    <w:p>
      <w:pPr>
        <w:pStyle w:val="ListParagraph"/>
        <w:numPr>
          <w:ilvl w:val="3"/>
          <w:numId w:val="7"/>
        </w:numPr>
        <w:tabs>
          <w:tab w:val="left" w:pos="1198"/>
        </w:tabs>
        <w:spacing w:before="133" w:after="0" w:line="343" w:lineRule="auto"/>
        <w:ind w:left="116" w:right="388" w:firstLine="720"/>
        <w:jc w:val="left"/>
        <w:rPr>
          <w:sz w:val="24"/>
        </w:rPr>
      </w:pPr>
      <w:r>
        <w:rPr>
          <w:spacing w:val="-2"/>
          <w:sz w:val="24"/>
        </w:rPr>
        <w:t>广泛的适用性，适用于各种规模的加油站、油库、炼油厂的安装及改</w:t>
      </w:r>
      <w:r>
        <w:rPr>
          <w:spacing w:val="-2"/>
          <w:sz w:val="24"/>
        </w:rPr>
        <w:t>造，小型设备无须停产安装。</w:t>
      </w:r>
    </w:p>
    <w:p>
      <w:pPr>
        <w:spacing w:after="0" w:line="343" w:lineRule="auto"/>
        <w:jc w:val="left"/>
        <w:rPr>
          <w:sz w:val="24"/>
        </w:rPr>
        <w:sectPr>
          <w:footerReference w:type="default" r:id="rId17"/>
          <w:pgSz w:w="11910" w:h="16840"/>
          <w:pgMar w:top="1540" w:right="1440" w:bottom="1180" w:left="1680" w:header="0" w:footer="990"/>
          <w:pgNumType w:start="6"/>
          <w:cols w:space="708"/>
        </w:sectPr>
      </w:pPr>
    </w:p>
    <w:p>
      <w:pPr>
        <w:pStyle w:val="ListParagraph"/>
        <w:numPr>
          <w:ilvl w:val="3"/>
          <w:numId w:val="7"/>
        </w:numPr>
        <w:tabs>
          <w:tab w:val="left" w:pos="1198"/>
        </w:tabs>
        <w:spacing w:before="54" w:after="0" w:line="343" w:lineRule="auto"/>
        <w:ind w:left="116" w:right="355" w:firstLine="720"/>
        <w:jc w:val="left"/>
        <w:rPr>
          <w:sz w:val="24"/>
        </w:rPr>
      </w:pPr>
      <w:r>
        <w:rPr>
          <w:spacing w:val="-9"/>
          <w:sz w:val="24"/>
        </w:rPr>
        <w:t xml:space="preserve">较长的使用寿命，膜组件为 </w:t>
      </w:r>
      <w:r>
        <w:rPr>
          <w:spacing w:val="-4"/>
          <w:sz w:val="24"/>
        </w:rPr>
        <w:t>5~10</w:t>
      </w:r>
      <w:r>
        <w:rPr>
          <w:spacing w:val="-12"/>
          <w:sz w:val="24"/>
        </w:rPr>
        <w:t xml:space="preserve"> 年，主机如保养、维护得当使用寿命</w:t>
      </w:r>
      <w:r>
        <w:rPr>
          <w:spacing w:val="-4"/>
          <w:sz w:val="24"/>
        </w:rPr>
        <w:t>将更长</w:t>
      </w:r>
    </w:p>
    <w:p>
      <w:pPr>
        <w:pStyle w:val="ListParagraph"/>
        <w:numPr>
          <w:ilvl w:val="3"/>
          <w:numId w:val="7"/>
        </w:numPr>
        <w:tabs>
          <w:tab w:val="left" w:pos="1198"/>
        </w:tabs>
        <w:spacing w:before="0" w:after="0" w:line="343" w:lineRule="auto"/>
        <w:ind w:left="836" w:right="2548" w:firstLine="0"/>
        <w:jc w:val="left"/>
        <w:rPr>
          <w:sz w:val="24"/>
        </w:rPr>
      </w:pPr>
      <w:r>
        <w:rPr>
          <w:spacing w:val="-2"/>
          <w:sz w:val="24"/>
        </w:rPr>
        <w:t>占地面积小、安全性高、回收率高、运行费用低</w:t>
      </w:r>
      <w:r>
        <w:rPr>
          <w:spacing w:val="-2"/>
          <w:sz w:val="24"/>
        </w:rPr>
        <w:t xml:space="preserve"> (4)操作简单，无须专人维修保养</w:t>
      </w:r>
    </w:p>
    <w:p>
      <w:pPr>
        <w:pStyle w:val="BodyText"/>
        <w:spacing w:before="1"/>
        <w:ind w:left="836"/>
      </w:pPr>
      <w:r>
        <w:t>(5)</w:t>
      </w:r>
      <w:r>
        <w:rPr>
          <w:spacing w:val="-1"/>
        </w:rPr>
        <w:t>根据用户不同的处理量选择不同规格的膜组件</w:t>
      </w:r>
    </w:p>
    <w:p>
      <w:pPr>
        <w:pStyle w:val="ListParagraph"/>
        <w:numPr>
          <w:ilvl w:val="2"/>
          <w:numId w:val="7"/>
        </w:numPr>
        <w:tabs>
          <w:tab w:val="left" w:pos="1077"/>
        </w:tabs>
        <w:spacing w:before="132" w:after="0" w:line="240" w:lineRule="auto"/>
        <w:ind w:left="1077" w:right="0" w:hanging="961"/>
        <w:jc w:val="left"/>
        <w:rPr>
          <w:rFonts w:ascii="黑体" w:eastAsia="黑体"/>
          <w:sz w:val="24"/>
        </w:rPr>
      </w:pPr>
      <w:r>
        <w:rPr>
          <w:rFonts w:ascii="黑体" w:eastAsia="黑体"/>
          <w:spacing w:val="-1"/>
          <w:sz w:val="24"/>
        </w:rPr>
        <w:t>膜法油气回收系统施工和服务保障</w:t>
      </w:r>
    </w:p>
    <w:p>
      <w:pPr>
        <w:pStyle w:val="BodyText"/>
        <w:spacing w:before="133" w:line="343" w:lineRule="auto"/>
        <w:ind w:left="116" w:right="355" w:firstLine="480"/>
        <w:jc w:val="both"/>
      </w:pPr>
      <w:r>
        <w:rPr>
          <w:spacing w:val="-4"/>
        </w:rPr>
        <w:t>膜法油气回收系统的按照模块化设计，产品的集成度高，占地面积小，施工</w:t>
      </w:r>
      <w:r>
        <w:rPr>
          <w:spacing w:val="-4"/>
        </w:rPr>
        <w:t>难度较小。油库在施工前只需根据系统设计要求预留管道接口，设备到位后基本</w:t>
      </w:r>
      <w:r>
        <w:rPr>
          <w:spacing w:val="-6"/>
        </w:rPr>
        <w:t xml:space="preserve">可以在 </w:t>
      </w:r>
      <w:r>
        <w:t>15</w:t>
      </w:r>
      <w:r>
        <w:rPr>
          <w:spacing w:val="-5"/>
        </w:rPr>
        <w:t xml:space="preserve"> 天之内完成安装调试。</w:t>
      </w:r>
    </w:p>
    <w:p>
      <w:pPr>
        <w:pStyle w:val="BodyText"/>
        <w:spacing w:before="1" w:line="343" w:lineRule="auto"/>
        <w:ind w:left="116" w:right="268" w:firstLine="480"/>
      </w:pPr>
      <w:r>
        <w:rPr>
          <w:spacing w:val="-2"/>
        </w:rPr>
        <w:t>油库膜法油气回收系统的核心部件膜组件和主要控制部件采用德国原装件，</w:t>
      </w:r>
      <w:r>
        <w:rPr>
          <w:spacing w:val="-4"/>
        </w:rPr>
        <w:t xml:space="preserve">以保证系统的品质和稳定性。膜组件的寿命可达 </w:t>
      </w:r>
      <w:r>
        <w:rPr>
          <w:spacing w:val="-2"/>
        </w:rPr>
        <w:t>5—10</w:t>
      </w:r>
      <w:r>
        <w:rPr>
          <w:spacing w:val="-9"/>
        </w:rPr>
        <w:t xml:space="preserve"> 年，而且维护的工作量极</w:t>
      </w:r>
      <w:r>
        <w:rPr>
          <w:spacing w:val="-2"/>
        </w:rPr>
        <w:t>少。同时我们对外围设备也实现了国产化，以降低系统的总体造价，同时便于系</w:t>
      </w:r>
      <w:r>
        <w:rPr>
          <w:spacing w:val="-4"/>
        </w:rPr>
        <w:t>统维护。</w:t>
      </w:r>
    </w:p>
    <w:p>
      <w:pPr>
        <w:pStyle w:val="ListParagraph"/>
        <w:numPr>
          <w:ilvl w:val="2"/>
          <w:numId w:val="7"/>
        </w:numPr>
        <w:tabs>
          <w:tab w:val="left" w:pos="1077"/>
        </w:tabs>
        <w:spacing w:before="1" w:after="0" w:line="240" w:lineRule="auto"/>
        <w:ind w:left="1077" w:right="0" w:hanging="961"/>
        <w:jc w:val="left"/>
        <w:rPr>
          <w:rFonts w:ascii="黑体" w:eastAsia="黑体"/>
          <w:sz w:val="24"/>
        </w:rPr>
      </w:pPr>
      <w:r>
        <w:rPr>
          <w:rFonts w:ascii="黑体" w:eastAsia="黑体"/>
          <w:spacing w:val="-2"/>
          <w:sz w:val="24"/>
        </w:rPr>
        <w:t>经济效益分析</w:t>
      </w:r>
    </w:p>
    <w:p>
      <w:pPr>
        <w:pStyle w:val="BodyText"/>
        <w:spacing w:before="132"/>
        <w:ind w:left="596"/>
      </w:pPr>
      <w:r>
        <w:t>年销油量为30</w:t>
      </w:r>
      <w:r>
        <w:rPr>
          <w:spacing w:val="-1"/>
        </w:rPr>
        <w:t>万吨的油库，给槽车加注油时造成的油气年挥发总量：</w:t>
      </w:r>
    </w:p>
    <w:p>
      <w:pPr>
        <w:pStyle w:val="BodyText"/>
        <w:tabs>
          <w:tab w:val="left" w:pos="4332"/>
          <w:tab w:val="left" w:pos="4692"/>
        </w:tabs>
        <w:spacing w:before="133" w:line="343" w:lineRule="auto"/>
        <w:ind w:left="116" w:right="356"/>
      </w:pPr>
      <w:r>
        <w:t>30</w:t>
      </w:r>
      <w:r>
        <w:rPr>
          <w:spacing w:val="-39"/>
        </w:rPr>
        <w:t xml:space="preserve"> </w:t>
      </w:r>
      <w:r>
        <w:t>万吨/年 x 1.35 m</w:t>
      </w:r>
      <w:r>
        <w:rPr>
          <w:vertAlign w:val="superscript"/>
        </w:rPr>
        <w:t>3</w:t>
      </w:r>
      <w:r>
        <w:rPr>
          <w:vertAlign w:val="baseline"/>
        </w:rPr>
        <w:t>/吨 (汽油比重)</w:t>
        <w:tab/>
      </w:r>
      <w:r>
        <w:rPr>
          <w:spacing w:val="-10"/>
          <w:vertAlign w:val="baseline"/>
        </w:rPr>
        <w:t>x</w:t>
      </w:r>
      <w:r>
        <w:rPr>
          <w:vertAlign w:val="baseline"/>
        </w:rPr>
        <w:tab/>
        <w:t>0.00295</w:t>
      </w:r>
      <w:r>
        <w:rPr>
          <w:spacing w:val="-62"/>
          <w:vertAlign w:val="baseline"/>
        </w:rPr>
        <w:t xml:space="preserve"> </w:t>
      </w:r>
      <w:r>
        <w:rPr>
          <w:vertAlign w:val="baseline"/>
        </w:rPr>
        <w:t>吨/</w:t>
      </w:r>
      <w:r>
        <w:rPr>
          <w:spacing w:val="-17"/>
          <w:vertAlign w:val="baseline"/>
        </w:rPr>
        <w:t xml:space="preserve"> </w:t>
      </w:r>
      <w:r>
        <w:rPr>
          <w:vertAlign w:val="baseline"/>
        </w:rPr>
        <w:t>m</w:t>
      </w:r>
      <w:r>
        <w:rPr>
          <w:vertAlign w:val="superscript"/>
        </w:rPr>
        <w:t>3</w:t>
      </w:r>
      <w:r>
        <w:rPr>
          <w:vertAlign w:val="baseline"/>
        </w:rPr>
        <w:t>（100%饱和油气的</w:t>
      </w:r>
      <w:r>
        <w:rPr>
          <w:vertAlign w:val="baseline"/>
        </w:rPr>
        <w:t>比</w:t>
      </w:r>
      <w:r>
        <w:rPr>
          <w:vertAlign w:val="baseline"/>
        </w:rPr>
        <w:t>重）x 40%(实测槽车口油气饱和度) =477.9</w:t>
      </w:r>
      <w:r>
        <w:rPr>
          <w:spacing w:val="-29"/>
          <w:vertAlign w:val="baseline"/>
        </w:rPr>
        <w:t xml:space="preserve"> </w:t>
      </w:r>
      <w:r>
        <w:rPr>
          <w:vertAlign w:val="baseline"/>
        </w:rPr>
        <w:t>吨/年</w:t>
      </w:r>
    </w:p>
    <w:p>
      <w:pPr>
        <w:pStyle w:val="BodyText"/>
        <w:ind w:left="596"/>
      </w:pPr>
      <w:r>
        <w:rPr>
          <w:spacing w:val="-1"/>
        </w:rPr>
        <w:t>经过膜法回收系统的回收汽油总收入:</w:t>
      </w:r>
    </w:p>
    <w:p>
      <w:pPr>
        <w:pStyle w:val="BodyText"/>
        <w:spacing w:before="133" w:line="343" w:lineRule="auto"/>
        <w:ind w:left="116" w:right="1468"/>
      </w:pPr>
      <w:r>
        <w:t>477.9</w:t>
      </w:r>
      <w:r>
        <w:rPr>
          <w:spacing w:val="-24"/>
        </w:rPr>
        <w:t xml:space="preserve"> 吨/年 </w:t>
      </w:r>
      <w:r>
        <w:t>x</w:t>
      </w:r>
      <w:r>
        <w:rPr>
          <w:spacing w:val="-21"/>
        </w:rPr>
        <w:t xml:space="preserve"> </w:t>
      </w:r>
      <w:r>
        <w:t>99%(</w:t>
      </w:r>
      <w:r>
        <w:rPr>
          <w:spacing w:val="-2"/>
        </w:rPr>
        <w:t xml:space="preserve">回收率) </w:t>
      </w:r>
      <w:r>
        <w:t>x</w:t>
      </w:r>
      <w:r>
        <w:rPr>
          <w:spacing w:val="-7"/>
        </w:rPr>
        <w:t xml:space="preserve"> </w:t>
      </w:r>
      <w:r>
        <w:t>4700</w:t>
      </w:r>
      <w:r>
        <w:rPr>
          <w:spacing w:val="-15"/>
        </w:rPr>
        <w:t xml:space="preserve"> 元/吨</w:t>
      </w:r>
      <w:r>
        <w:t>（汽油单价）=222</w:t>
      </w:r>
      <w:r>
        <w:rPr>
          <w:spacing w:val="-12"/>
        </w:rPr>
        <w:t xml:space="preserve"> 万元/年</w:t>
      </w:r>
      <w:r>
        <w:rPr>
          <w:spacing w:val="-3"/>
        </w:rPr>
        <w:t xml:space="preserve">年运行费用不超过 </w:t>
      </w:r>
      <w:r>
        <w:t>20</w:t>
      </w:r>
      <w:r>
        <w:rPr>
          <w:spacing w:val="-5"/>
        </w:rPr>
        <w:t xml:space="preserve"> 万，约两年半左右即可收回投资。</w:t>
      </w:r>
    </w:p>
    <w:p>
      <w:pPr>
        <w:pStyle w:val="BodyText"/>
        <w:spacing w:before="3"/>
        <w:rPr>
          <w:sz w:val="21"/>
        </w:rPr>
      </w:pPr>
    </w:p>
    <w:p>
      <w:pPr>
        <w:pStyle w:val="Heading2"/>
        <w:numPr>
          <w:ilvl w:val="0"/>
          <w:numId w:val="7"/>
        </w:numPr>
        <w:tabs>
          <w:tab w:val="left" w:pos="327"/>
        </w:tabs>
        <w:spacing w:before="0" w:after="0" w:line="240" w:lineRule="auto"/>
        <w:ind w:left="327" w:right="0" w:hanging="211"/>
        <w:jc w:val="left"/>
        <w:rPr>
          <w:rFonts w:ascii="宋体" w:eastAsia="宋体" w:hint="eastAsia"/>
        </w:rPr>
      </w:pPr>
      <w:bookmarkStart w:id="2" w:name="_TOC_250005"/>
      <w:r>
        <w:t>油气回收前后的数据对比</w:t>
      </w:r>
      <w:bookmarkEnd w:id="2"/>
      <w:r>
        <w:rPr>
          <w:rFonts w:ascii="宋体" w:eastAsia="宋体" w:hint="eastAsia"/>
          <w:spacing w:val="-4"/>
          <w:vertAlign w:val="superscript"/>
        </w:rPr>
        <w:t>[13]</w:t>
      </w:r>
    </w:p>
    <w:p>
      <w:pPr>
        <w:pStyle w:val="BodyText"/>
        <w:spacing w:before="11"/>
        <w:rPr>
          <w:sz w:val="33"/>
        </w:rPr>
      </w:pPr>
    </w:p>
    <w:p>
      <w:pPr>
        <w:pStyle w:val="BodyText"/>
        <w:spacing w:line="343" w:lineRule="auto"/>
        <w:ind w:left="116" w:right="355" w:firstLine="480"/>
      </w:pPr>
      <w:r>
        <w:rPr>
          <w:spacing w:val="-5"/>
        </w:rPr>
        <w:t xml:space="preserve">气源为加油过程排放出的汽油蒸汽，浓度为 </w:t>
      </w:r>
      <w:r>
        <w:rPr>
          <w:spacing w:val="-2"/>
        </w:rPr>
        <w:t>40 Vol%，原料气经本套装置回</w:t>
      </w:r>
      <w:r>
        <w:rPr>
          <w:spacing w:val="-2"/>
        </w:rPr>
        <w:t xml:space="preserve">收后，可使尾气排放浓度降至 </w:t>
      </w:r>
      <w:r>
        <w:t>1.4 Vol%，</w:t>
      </w:r>
      <w:r>
        <w:rPr>
          <w:spacing w:val="-3"/>
        </w:rPr>
        <w:t xml:space="preserve">前后数据对比见表 </w:t>
      </w:r>
      <w:r>
        <w:rPr>
          <w:rFonts w:ascii="Times New Roman" w:eastAsia="Times New Roman"/>
        </w:rPr>
        <w:t>2-1</w:t>
      </w:r>
      <w:r>
        <w:t>：</w:t>
      </w:r>
    </w:p>
    <w:p>
      <w:pPr>
        <w:spacing w:before="145"/>
        <w:ind w:left="524" w:right="763" w:firstLine="0"/>
        <w:jc w:val="center"/>
        <w:rPr>
          <w:sz w:val="21"/>
        </w:rPr>
      </w:pPr>
      <w:r>
        <w:rPr>
          <w:spacing w:val="-27"/>
          <w:sz w:val="21"/>
        </w:rPr>
        <w:t xml:space="preserve">表 </w:t>
      </w:r>
      <w:r>
        <w:rPr>
          <w:sz w:val="21"/>
        </w:rPr>
        <w:t>2-1</w:t>
      </w:r>
      <w:r>
        <w:rPr>
          <w:spacing w:val="-9"/>
          <w:sz w:val="21"/>
        </w:rPr>
        <w:t xml:space="preserve"> 油气回收前后的数据对比</w:t>
      </w:r>
    </w:p>
    <w:p>
      <w:pPr>
        <w:pStyle w:val="BodyText"/>
        <w:spacing w:before="11"/>
        <w:rPr>
          <w:sz w:val="19"/>
        </w:rPr>
      </w:pPr>
    </w:p>
    <w:tbl>
      <w:tblPr>
        <w:tblStyle w:val="TableNormal0"/>
        <w:tblW w:w="0" w:type="auto"/>
        <w:jc w:val="left"/>
        <w:tblInd w:w="1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46"/>
        <w:gridCol w:w="1985"/>
        <w:gridCol w:w="1973"/>
      </w:tblGrid>
      <w:tr>
        <w:tblPrEx>
          <w:tblW w:w="0" w:type="auto"/>
          <w:jc w:val="left"/>
          <w:tblInd w:w="1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17"/>
          <w:jc w:val="left"/>
        </w:trPr>
        <w:tc>
          <w:tcPr>
            <w:tcW w:w="1446" w:type="dxa"/>
          </w:tcPr>
          <w:p>
            <w:pPr>
              <w:pStyle w:val="TableParagraph"/>
              <w:spacing w:before="82"/>
              <w:ind w:left="314" w:right="134"/>
              <w:jc w:val="center"/>
              <w:rPr>
                <w:sz w:val="24"/>
              </w:rPr>
            </w:pPr>
            <w:r>
              <w:rPr>
                <w:spacing w:val="-3"/>
                <w:sz w:val="24"/>
              </w:rPr>
              <w:t>工艺参数</w:t>
            </w:r>
          </w:p>
        </w:tc>
        <w:tc>
          <w:tcPr>
            <w:tcW w:w="1985" w:type="dxa"/>
          </w:tcPr>
          <w:p>
            <w:pPr>
              <w:pStyle w:val="TableParagraph"/>
              <w:spacing w:before="82"/>
              <w:ind w:left="342" w:right="162"/>
              <w:jc w:val="center"/>
              <w:rPr>
                <w:sz w:val="24"/>
              </w:rPr>
            </w:pPr>
            <w:r>
              <w:rPr>
                <w:spacing w:val="-2"/>
                <w:sz w:val="24"/>
              </w:rPr>
              <w:t>回收前数据</w:t>
            </w:r>
          </w:p>
        </w:tc>
        <w:tc>
          <w:tcPr>
            <w:tcW w:w="1973" w:type="dxa"/>
          </w:tcPr>
          <w:p>
            <w:pPr>
              <w:pStyle w:val="TableParagraph"/>
              <w:spacing w:before="82"/>
              <w:ind w:left="336" w:right="156"/>
              <w:jc w:val="center"/>
              <w:rPr>
                <w:sz w:val="24"/>
              </w:rPr>
            </w:pPr>
            <w:r>
              <w:rPr>
                <w:spacing w:val="-2"/>
                <w:sz w:val="24"/>
              </w:rPr>
              <w:t>排放物流数据</w:t>
            </w:r>
          </w:p>
        </w:tc>
      </w:tr>
      <w:tr>
        <w:tblPrEx>
          <w:tblW w:w="0" w:type="auto"/>
          <w:jc w:val="left"/>
          <w:tblInd w:w="1575" w:type="dxa"/>
          <w:tblLayout w:type="fixed"/>
          <w:tblCellMar>
            <w:top w:w="0" w:type="dxa"/>
            <w:left w:w="0" w:type="dxa"/>
            <w:bottom w:w="0" w:type="dxa"/>
            <w:right w:w="0" w:type="dxa"/>
          </w:tblCellMar>
          <w:tblLook w:val="01E0"/>
        </w:tblPrEx>
        <w:trPr>
          <w:trHeight w:val="617"/>
          <w:jc w:val="left"/>
        </w:trPr>
        <w:tc>
          <w:tcPr>
            <w:tcW w:w="1446" w:type="dxa"/>
          </w:tcPr>
          <w:p>
            <w:pPr>
              <w:pStyle w:val="TableParagraph"/>
              <w:spacing w:before="82"/>
              <w:ind w:left="314" w:right="134"/>
              <w:jc w:val="center"/>
              <w:rPr>
                <w:sz w:val="24"/>
              </w:rPr>
            </w:pPr>
            <w:r>
              <w:rPr>
                <w:spacing w:val="-3"/>
                <w:sz w:val="24"/>
              </w:rPr>
              <w:t>压力参数</w:t>
            </w:r>
          </w:p>
        </w:tc>
        <w:tc>
          <w:tcPr>
            <w:tcW w:w="1985" w:type="dxa"/>
          </w:tcPr>
          <w:p>
            <w:pPr>
              <w:pStyle w:val="TableParagraph"/>
              <w:spacing w:before="82"/>
              <w:ind w:left="342" w:right="162"/>
              <w:jc w:val="center"/>
              <w:rPr>
                <w:sz w:val="24"/>
              </w:rPr>
            </w:pPr>
            <w:r>
              <w:rPr>
                <w:sz w:val="24"/>
              </w:rPr>
              <w:t xml:space="preserve">0.1MPa </w:t>
            </w:r>
            <w:r>
              <w:rPr>
                <w:spacing w:val="-2"/>
                <w:sz w:val="24"/>
              </w:rPr>
              <w:t>(abs)</w:t>
            </w:r>
          </w:p>
        </w:tc>
        <w:tc>
          <w:tcPr>
            <w:tcW w:w="1973" w:type="dxa"/>
          </w:tcPr>
          <w:p>
            <w:pPr>
              <w:pStyle w:val="TableParagraph"/>
              <w:spacing w:before="82"/>
              <w:ind w:left="336" w:right="156"/>
              <w:jc w:val="center"/>
              <w:rPr>
                <w:sz w:val="24"/>
              </w:rPr>
            </w:pPr>
            <w:r>
              <w:rPr>
                <w:sz w:val="24"/>
              </w:rPr>
              <w:t xml:space="preserve">0.1MPa </w:t>
            </w:r>
            <w:r>
              <w:rPr>
                <w:spacing w:val="-2"/>
                <w:sz w:val="24"/>
              </w:rPr>
              <w:t>(abs)</w:t>
            </w:r>
          </w:p>
        </w:tc>
      </w:tr>
      <w:tr>
        <w:tblPrEx>
          <w:tblW w:w="0" w:type="auto"/>
          <w:jc w:val="left"/>
          <w:tblInd w:w="1575" w:type="dxa"/>
          <w:tblLayout w:type="fixed"/>
          <w:tblCellMar>
            <w:top w:w="0" w:type="dxa"/>
            <w:left w:w="0" w:type="dxa"/>
            <w:bottom w:w="0" w:type="dxa"/>
            <w:right w:w="0" w:type="dxa"/>
          </w:tblCellMar>
          <w:tblLook w:val="01E0"/>
        </w:tblPrEx>
        <w:trPr>
          <w:trHeight w:val="617"/>
          <w:jc w:val="left"/>
        </w:trPr>
        <w:tc>
          <w:tcPr>
            <w:tcW w:w="1446" w:type="dxa"/>
          </w:tcPr>
          <w:p>
            <w:pPr>
              <w:pStyle w:val="TableParagraph"/>
              <w:spacing w:before="82"/>
              <w:ind w:left="314" w:right="134"/>
              <w:jc w:val="center"/>
              <w:rPr>
                <w:sz w:val="24"/>
              </w:rPr>
            </w:pPr>
            <w:r>
              <w:rPr>
                <w:spacing w:val="-5"/>
                <w:sz w:val="24"/>
              </w:rPr>
              <w:t>温度</w:t>
            </w:r>
          </w:p>
        </w:tc>
        <w:tc>
          <w:tcPr>
            <w:tcW w:w="1985" w:type="dxa"/>
          </w:tcPr>
          <w:p>
            <w:pPr>
              <w:pStyle w:val="TableParagraph"/>
              <w:spacing w:before="82"/>
              <w:ind w:left="342" w:right="162"/>
              <w:jc w:val="center"/>
              <w:rPr>
                <w:sz w:val="24"/>
              </w:rPr>
            </w:pPr>
            <w:r>
              <w:rPr>
                <w:spacing w:val="-5"/>
                <w:sz w:val="24"/>
              </w:rPr>
              <w:t>30℃</w:t>
            </w:r>
          </w:p>
        </w:tc>
        <w:tc>
          <w:tcPr>
            <w:tcW w:w="1973" w:type="dxa"/>
          </w:tcPr>
          <w:p>
            <w:pPr>
              <w:pStyle w:val="TableParagraph"/>
              <w:spacing w:before="82"/>
              <w:ind w:left="336" w:right="156"/>
              <w:jc w:val="center"/>
              <w:rPr>
                <w:sz w:val="24"/>
              </w:rPr>
            </w:pPr>
            <w:r>
              <w:rPr>
                <w:spacing w:val="-5"/>
                <w:sz w:val="24"/>
              </w:rPr>
              <w:t>30℃</w:t>
            </w:r>
          </w:p>
        </w:tc>
      </w:tr>
    </w:tbl>
    <w:p>
      <w:pPr>
        <w:spacing w:after="0"/>
        <w:jc w:val="center"/>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https://d.book118.com/387123111032006050</w:t>
        </w:r>
      </w:hyperlink>
    </w:p>
    <w:p>
      <w:pPr>
        <w:spacing w:after="0"/>
        <w:jc w:val="center"/>
        <w:rPr>
          <w:sz w:val="24"/>
        </w:rPr>
      </w:pPr>
    </w:p>
    <w:sectPr>
      <w:footerReference w:type="default" r:id="rId19"/>
      <w:pgSz w:w="11910" w:h="16840"/>
      <w:pgMar w:top="1480" w:right="1440" w:bottom="1180" w:left="1680" w:header="0" w:footer="990"/>
      <w:pgNumType w:start="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pt;height:12pt;margin-top:781.38pt;margin-left:290.15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 ROMAN </w:instrText>
                </w:r>
                <w:r>
                  <w:rPr>
                    <w:rFonts w:ascii="Times New Roman"/>
                    <w:spacing w:val="-5"/>
                    <w:sz w:val="18"/>
                  </w:rPr>
                  <w:fldChar w:fldCharType="separate"/>
                </w:r>
                <w:r>
                  <w:rPr>
                    <w:rFonts w:ascii="Times New Roman"/>
                    <w:spacing w:val="-5"/>
                    <w:sz w:val="18"/>
                  </w:rPr>
                  <w:t>II</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pt;height:12pt;margin-top:781.38pt;margin-left:290.15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 ROMAN </w:instrText>
                </w:r>
                <w:r>
                  <w:rPr>
                    <w:rFonts w:ascii="Times New Roman"/>
                    <w:spacing w:val="-5"/>
                    <w:sz w:val="18"/>
                  </w:rPr>
                  <w:fldChar w:fldCharType="separate"/>
                </w:r>
                <w:r>
                  <w:rPr>
                    <w:rFonts w:ascii="Times New Roman"/>
                    <w:spacing w:val="-5"/>
                    <w:sz w:val="18"/>
                  </w:rPr>
                  <w:t>III</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pt;height:12pt;margin-top:781.38pt;margin-left:290.15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 ROMAN </w:instrText>
                </w:r>
                <w:r>
                  <w:rPr>
                    <w:rFonts w:ascii="Times New Roman"/>
                    <w:spacing w:val="-5"/>
                    <w:sz w:val="18"/>
                  </w:rPr>
                  <w:fldChar w:fldCharType="separate"/>
                </w:r>
                <w:r>
                  <w:rPr>
                    <w:rFonts w:ascii="Times New Roman"/>
                    <w:spacing w:val="-5"/>
                    <w:sz w:val="18"/>
                  </w:rPr>
                  <w:t>IV</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1.5pt;height:12pt;margin-top:781.38pt;margin-left:292.4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1.5pt;height:12pt;margin-top:781.38pt;margin-left:292.4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1.5pt;height:12pt;margin-top:781.38pt;margin-left:292.4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1.5pt;height:12pt;margin-top:781.38pt;margin-left:292.4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1.5pt;height:12pt;margin-top:781.38pt;margin-left:292.4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1.5pt;height:12pt;margin-top:781.38pt;margin-left:292.4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6</w:t>
                </w:r>
                <w:r>
                  <w:rPr>
                    <w:rFonts w:ascii="Times New Roman"/>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1.5pt;height:12pt;margin-top:781.38pt;margin-left:292.4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w:t>
                </w:r>
                <w:r>
                  <w:rPr>
                    <w:rFonts w:ascii="Times New Roman"/>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26C435"/>
    <w:multiLevelType w:val="hybridMultilevel"/>
    <w:tmpl w:val="00000000"/>
    <w:lvl w:ilvl="0">
      <w:start w:val="1"/>
      <w:numFmt w:val="decimal"/>
      <w:lvlText w:val="(%1)"/>
      <w:lvlJc w:val="left"/>
      <w:pPr>
        <w:ind w:left="117"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986" w:hanging="361"/>
      </w:pPr>
      <w:rPr>
        <w:rFonts w:hint="default"/>
        <w:lang w:val="en-US" w:eastAsia="zh-CN" w:bidi="ar-SA"/>
      </w:rPr>
    </w:lvl>
    <w:lvl w:ilvl="2">
      <w:start w:val="0"/>
      <w:numFmt w:val="bullet"/>
      <w:lvlText w:val="•"/>
      <w:lvlJc w:val="left"/>
      <w:pPr>
        <w:ind w:left="1853" w:hanging="361"/>
      </w:pPr>
      <w:rPr>
        <w:rFonts w:hint="default"/>
        <w:lang w:val="en-US" w:eastAsia="zh-CN" w:bidi="ar-SA"/>
      </w:rPr>
    </w:lvl>
    <w:lvl w:ilvl="3">
      <w:start w:val="0"/>
      <w:numFmt w:val="bullet"/>
      <w:lvlText w:val="•"/>
      <w:lvlJc w:val="left"/>
      <w:pPr>
        <w:ind w:left="2719" w:hanging="361"/>
      </w:pPr>
      <w:rPr>
        <w:rFonts w:hint="default"/>
        <w:lang w:val="en-US" w:eastAsia="zh-CN" w:bidi="ar-SA"/>
      </w:rPr>
    </w:lvl>
    <w:lvl w:ilvl="4">
      <w:start w:val="0"/>
      <w:numFmt w:val="bullet"/>
      <w:lvlText w:val="•"/>
      <w:lvlJc w:val="left"/>
      <w:pPr>
        <w:ind w:left="3586" w:hanging="361"/>
      </w:pPr>
      <w:rPr>
        <w:rFonts w:hint="default"/>
        <w:lang w:val="en-US" w:eastAsia="zh-CN" w:bidi="ar-SA"/>
      </w:rPr>
    </w:lvl>
    <w:lvl w:ilvl="5">
      <w:start w:val="0"/>
      <w:numFmt w:val="bullet"/>
      <w:lvlText w:val="•"/>
      <w:lvlJc w:val="left"/>
      <w:pPr>
        <w:ind w:left="4453" w:hanging="361"/>
      </w:pPr>
      <w:rPr>
        <w:rFonts w:hint="default"/>
        <w:lang w:val="en-US" w:eastAsia="zh-CN" w:bidi="ar-SA"/>
      </w:rPr>
    </w:lvl>
    <w:lvl w:ilvl="6">
      <w:start w:val="0"/>
      <w:numFmt w:val="bullet"/>
      <w:lvlText w:val="•"/>
      <w:lvlJc w:val="left"/>
      <w:pPr>
        <w:ind w:left="5319" w:hanging="361"/>
      </w:pPr>
      <w:rPr>
        <w:rFonts w:hint="default"/>
        <w:lang w:val="en-US" w:eastAsia="zh-CN" w:bidi="ar-SA"/>
      </w:rPr>
    </w:lvl>
    <w:lvl w:ilvl="7">
      <w:start w:val="0"/>
      <w:numFmt w:val="bullet"/>
      <w:lvlText w:val="•"/>
      <w:lvlJc w:val="left"/>
      <w:pPr>
        <w:ind w:left="6186" w:hanging="361"/>
      </w:pPr>
      <w:rPr>
        <w:rFonts w:hint="default"/>
        <w:lang w:val="en-US" w:eastAsia="zh-CN" w:bidi="ar-SA"/>
      </w:rPr>
    </w:lvl>
    <w:lvl w:ilvl="8">
      <w:start w:val="0"/>
      <w:numFmt w:val="bullet"/>
      <w:lvlText w:val="•"/>
      <w:lvlJc w:val="left"/>
      <w:pPr>
        <w:ind w:left="7052" w:hanging="361"/>
      </w:pPr>
      <w:rPr>
        <w:rFonts w:hint="default"/>
        <w:lang w:val="en-US" w:eastAsia="zh-CN" w:bidi="ar-SA"/>
      </w:rPr>
    </w:lvl>
  </w:abstractNum>
  <w:abstractNum w:abstractNumId="1">
    <w:nsid w:val="09231BC6"/>
    <w:multiLevelType w:val="hybridMultilevel"/>
    <w:tmpl w:val="00000000"/>
    <w:lvl w:ilvl="0">
      <w:start w:val="1"/>
      <w:numFmt w:val="decimal"/>
      <w:lvlText w:val="%1"/>
      <w:lvlJc w:val="left"/>
      <w:pPr>
        <w:ind w:left="310" w:hanging="194"/>
        <w:jc w:val="left"/>
      </w:pPr>
      <w:rPr>
        <w:rFonts w:ascii="Arial" w:eastAsia="Arial" w:hAnsi="Arial" w:cs="Arial" w:hint="default"/>
        <w:b w:val="0"/>
        <w:bCs w:val="0"/>
        <w:i w:val="0"/>
        <w:iCs w:val="0"/>
        <w:w w:val="100"/>
        <w:sz w:val="24"/>
        <w:szCs w:val="24"/>
        <w:lang w:val="en-US" w:eastAsia="zh-CN" w:bidi="ar-SA"/>
      </w:rPr>
    </w:lvl>
    <w:lvl w:ilvl="1">
      <w:start w:val="1"/>
      <w:numFmt w:val="decimal"/>
      <w:lvlText w:val="%1.%2"/>
      <w:lvlJc w:val="left"/>
      <w:pPr>
        <w:ind w:left="717"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287"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2218" w:hanging="960"/>
      </w:pPr>
      <w:rPr>
        <w:rFonts w:hint="default"/>
        <w:lang w:val="en-US" w:eastAsia="zh-CN" w:bidi="ar-SA"/>
      </w:rPr>
    </w:lvl>
    <w:lvl w:ilvl="4">
      <w:start w:val="0"/>
      <w:numFmt w:val="bullet"/>
      <w:lvlText w:val="•"/>
      <w:lvlJc w:val="left"/>
      <w:pPr>
        <w:ind w:left="3156" w:hanging="960"/>
      </w:pPr>
      <w:rPr>
        <w:rFonts w:hint="default"/>
        <w:lang w:val="en-US" w:eastAsia="zh-CN" w:bidi="ar-SA"/>
      </w:rPr>
    </w:lvl>
    <w:lvl w:ilvl="5">
      <w:start w:val="0"/>
      <w:numFmt w:val="bullet"/>
      <w:lvlText w:val="•"/>
      <w:lvlJc w:val="left"/>
      <w:pPr>
        <w:ind w:left="4094" w:hanging="960"/>
      </w:pPr>
      <w:rPr>
        <w:rFonts w:hint="default"/>
        <w:lang w:val="en-US" w:eastAsia="zh-CN" w:bidi="ar-SA"/>
      </w:rPr>
    </w:lvl>
    <w:lvl w:ilvl="6">
      <w:start w:val="0"/>
      <w:numFmt w:val="bullet"/>
      <w:lvlText w:val="•"/>
      <w:lvlJc w:val="left"/>
      <w:pPr>
        <w:ind w:left="5033" w:hanging="960"/>
      </w:pPr>
      <w:rPr>
        <w:rFonts w:hint="default"/>
        <w:lang w:val="en-US" w:eastAsia="zh-CN" w:bidi="ar-SA"/>
      </w:rPr>
    </w:lvl>
    <w:lvl w:ilvl="7">
      <w:start w:val="0"/>
      <w:numFmt w:val="bullet"/>
      <w:lvlText w:val="•"/>
      <w:lvlJc w:val="left"/>
      <w:pPr>
        <w:ind w:left="5971" w:hanging="960"/>
      </w:pPr>
      <w:rPr>
        <w:rFonts w:hint="default"/>
        <w:lang w:val="en-US" w:eastAsia="zh-CN" w:bidi="ar-SA"/>
      </w:rPr>
    </w:lvl>
    <w:lvl w:ilvl="8">
      <w:start w:val="0"/>
      <w:numFmt w:val="bullet"/>
      <w:lvlText w:val="•"/>
      <w:lvlJc w:val="left"/>
      <w:pPr>
        <w:ind w:left="6909" w:hanging="960"/>
      </w:pPr>
      <w:rPr>
        <w:rFonts w:hint="default"/>
        <w:lang w:val="en-US" w:eastAsia="zh-CN" w:bidi="ar-SA"/>
      </w:rPr>
    </w:lvl>
  </w:abstractNum>
  <w:abstractNum w:abstractNumId="2">
    <w:nsid w:val="0DFD05F3"/>
    <w:multiLevelType w:val="hybridMultilevel"/>
    <w:tmpl w:val="00000000"/>
    <w:lvl w:ilvl="0">
      <w:start w:val="1"/>
      <w:numFmt w:val="decimal"/>
      <w:lvlText w:val="%1."/>
      <w:lvlJc w:val="left"/>
      <w:pPr>
        <w:ind w:left="520" w:hanging="17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346" w:hanging="174"/>
      </w:pPr>
      <w:rPr>
        <w:rFonts w:hint="default"/>
        <w:lang w:val="en-US" w:eastAsia="zh-CN" w:bidi="ar-SA"/>
      </w:rPr>
    </w:lvl>
    <w:lvl w:ilvl="2">
      <w:start w:val="0"/>
      <w:numFmt w:val="bullet"/>
      <w:lvlText w:val="•"/>
      <w:lvlJc w:val="left"/>
      <w:pPr>
        <w:ind w:left="2173" w:hanging="174"/>
      </w:pPr>
      <w:rPr>
        <w:rFonts w:hint="default"/>
        <w:lang w:val="en-US" w:eastAsia="zh-CN" w:bidi="ar-SA"/>
      </w:rPr>
    </w:lvl>
    <w:lvl w:ilvl="3">
      <w:start w:val="0"/>
      <w:numFmt w:val="bullet"/>
      <w:lvlText w:val="•"/>
      <w:lvlJc w:val="left"/>
      <w:pPr>
        <w:ind w:left="2999" w:hanging="174"/>
      </w:pPr>
      <w:rPr>
        <w:rFonts w:hint="default"/>
        <w:lang w:val="en-US" w:eastAsia="zh-CN" w:bidi="ar-SA"/>
      </w:rPr>
    </w:lvl>
    <w:lvl w:ilvl="4">
      <w:start w:val="0"/>
      <w:numFmt w:val="bullet"/>
      <w:lvlText w:val="•"/>
      <w:lvlJc w:val="left"/>
      <w:pPr>
        <w:ind w:left="3826" w:hanging="174"/>
      </w:pPr>
      <w:rPr>
        <w:rFonts w:hint="default"/>
        <w:lang w:val="en-US" w:eastAsia="zh-CN" w:bidi="ar-SA"/>
      </w:rPr>
    </w:lvl>
    <w:lvl w:ilvl="5">
      <w:start w:val="0"/>
      <w:numFmt w:val="bullet"/>
      <w:lvlText w:val="•"/>
      <w:lvlJc w:val="left"/>
      <w:pPr>
        <w:ind w:left="4653" w:hanging="174"/>
      </w:pPr>
      <w:rPr>
        <w:rFonts w:hint="default"/>
        <w:lang w:val="en-US" w:eastAsia="zh-CN" w:bidi="ar-SA"/>
      </w:rPr>
    </w:lvl>
    <w:lvl w:ilvl="6">
      <w:start w:val="0"/>
      <w:numFmt w:val="bullet"/>
      <w:lvlText w:val="•"/>
      <w:lvlJc w:val="left"/>
      <w:pPr>
        <w:ind w:left="5479" w:hanging="174"/>
      </w:pPr>
      <w:rPr>
        <w:rFonts w:hint="default"/>
        <w:lang w:val="en-US" w:eastAsia="zh-CN" w:bidi="ar-SA"/>
      </w:rPr>
    </w:lvl>
    <w:lvl w:ilvl="7">
      <w:start w:val="0"/>
      <w:numFmt w:val="bullet"/>
      <w:lvlText w:val="•"/>
      <w:lvlJc w:val="left"/>
      <w:pPr>
        <w:ind w:left="6306" w:hanging="174"/>
      </w:pPr>
      <w:rPr>
        <w:rFonts w:hint="default"/>
        <w:lang w:val="en-US" w:eastAsia="zh-CN" w:bidi="ar-SA"/>
      </w:rPr>
    </w:lvl>
    <w:lvl w:ilvl="8">
      <w:start w:val="0"/>
      <w:numFmt w:val="bullet"/>
      <w:lvlText w:val="•"/>
      <w:lvlJc w:val="left"/>
      <w:pPr>
        <w:ind w:left="7132" w:hanging="174"/>
      </w:pPr>
      <w:rPr>
        <w:rFonts w:hint="default"/>
        <w:lang w:val="en-US" w:eastAsia="zh-CN" w:bidi="ar-SA"/>
      </w:rPr>
    </w:lvl>
  </w:abstractNum>
  <w:abstractNum w:abstractNumId="3">
    <w:nsid w:val="0FD37317"/>
    <w:multiLevelType w:val="hybridMultilevel"/>
    <w:tmpl w:val="00000000"/>
    <w:lvl w:ilvl="0">
      <w:start w:val="1"/>
      <w:numFmt w:val="decimal"/>
      <w:lvlText w:val="%1"/>
      <w:lvlJc w:val="left"/>
      <w:pPr>
        <w:ind w:left="327" w:hanging="210"/>
        <w:jc w:val="left"/>
      </w:pPr>
      <w:rPr>
        <w:rFonts w:ascii="Times New Roman" w:eastAsia="Times New Roman" w:hAnsi="Times New Roman" w:cs="Times New Roman" w:hint="default"/>
        <w:b w:val="0"/>
        <w:bCs w:val="0"/>
        <w:i w:val="0"/>
        <w:iCs w:val="0"/>
        <w:w w:val="100"/>
        <w:sz w:val="28"/>
        <w:szCs w:val="28"/>
        <w:lang w:val="en-US" w:eastAsia="zh-CN" w:bidi="ar-SA"/>
      </w:rPr>
    </w:lvl>
    <w:lvl w:ilvl="1">
      <w:start w:val="1"/>
      <w:numFmt w:val="decimal"/>
      <w:lvlText w:val="%1.%2"/>
      <w:lvlJc w:val="left"/>
      <w:pPr>
        <w:ind w:left="743" w:hanging="627"/>
        <w:jc w:val="left"/>
      </w:pPr>
      <w:rPr>
        <w:rFonts w:ascii="Arial" w:eastAsia="Arial" w:hAnsi="Arial" w:cs="Arial" w:hint="default"/>
        <w:b w:val="0"/>
        <w:bCs w:val="0"/>
        <w:i w:val="0"/>
        <w:iCs w:val="0"/>
        <w:spacing w:val="-1"/>
        <w:w w:val="100"/>
        <w:sz w:val="24"/>
        <w:szCs w:val="24"/>
        <w:lang w:val="en-US" w:eastAsia="zh-CN" w:bidi="ar-SA"/>
      </w:rPr>
    </w:lvl>
    <w:lvl w:ilvl="2">
      <w:start w:val="1"/>
      <w:numFmt w:val="decimal"/>
      <w:lvlText w:val="%1.%2.%3"/>
      <w:lvlJc w:val="left"/>
      <w:pPr>
        <w:ind w:left="1077"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117" w:hanging="361"/>
        <w:jc w:val="left"/>
      </w:pPr>
      <w:rPr>
        <w:rFonts w:ascii="宋体" w:eastAsia="宋体" w:hAnsi="宋体" w:cs="宋体" w:hint="default"/>
        <w:b w:val="0"/>
        <w:bCs w:val="0"/>
        <w:i w:val="0"/>
        <w:iCs w:val="0"/>
        <w:w w:val="100"/>
        <w:sz w:val="22"/>
        <w:szCs w:val="22"/>
        <w:lang w:val="en-US" w:eastAsia="zh-CN" w:bidi="ar-SA"/>
      </w:rPr>
    </w:lvl>
    <w:lvl w:ilvl="4">
      <w:start w:val="0"/>
      <w:numFmt w:val="bullet"/>
      <w:lvlText w:val="•"/>
      <w:lvlJc w:val="left"/>
      <w:pPr>
        <w:ind w:left="2180" w:hanging="361"/>
      </w:pPr>
      <w:rPr>
        <w:rFonts w:hint="default"/>
        <w:lang w:val="en-US" w:eastAsia="zh-CN" w:bidi="ar-SA"/>
      </w:rPr>
    </w:lvl>
    <w:lvl w:ilvl="5">
      <w:start w:val="0"/>
      <w:numFmt w:val="bullet"/>
      <w:lvlText w:val="•"/>
      <w:lvlJc w:val="left"/>
      <w:pPr>
        <w:ind w:left="3281" w:hanging="361"/>
      </w:pPr>
      <w:rPr>
        <w:rFonts w:hint="default"/>
        <w:lang w:val="en-US" w:eastAsia="zh-CN" w:bidi="ar-SA"/>
      </w:rPr>
    </w:lvl>
    <w:lvl w:ilvl="6">
      <w:start w:val="0"/>
      <w:numFmt w:val="bullet"/>
      <w:lvlText w:val="•"/>
      <w:lvlJc w:val="left"/>
      <w:pPr>
        <w:ind w:left="4382" w:hanging="361"/>
      </w:pPr>
      <w:rPr>
        <w:rFonts w:hint="default"/>
        <w:lang w:val="en-US" w:eastAsia="zh-CN" w:bidi="ar-SA"/>
      </w:rPr>
    </w:lvl>
    <w:lvl w:ilvl="7">
      <w:start w:val="0"/>
      <w:numFmt w:val="bullet"/>
      <w:lvlText w:val="•"/>
      <w:lvlJc w:val="left"/>
      <w:pPr>
        <w:ind w:left="5483" w:hanging="361"/>
      </w:pPr>
      <w:rPr>
        <w:rFonts w:hint="default"/>
        <w:lang w:val="en-US" w:eastAsia="zh-CN" w:bidi="ar-SA"/>
      </w:rPr>
    </w:lvl>
    <w:lvl w:ilvl="8">
      <w:start w:val="0"/>
      <w:numFmt w:val="bullet"/>
      <w:lvlText w:val="•"/>
      <w:lvlJc w:val="left"/>
      <w:pPr>
        <w:ind w:left="6584" w:hanging="361"/>
      </w:pPr>
      <w:rPr>
        <w:rFonts w:hint="default"/>
        <w:lang w:val="en-US" w:eastAsia="zh-CN" w:bidi="ar-SA"/>
      </w:rPr>
    </w:lvl>
  </w:abstractNum>
  <w:abstractNum w:abstractNumId="4">
    <w:nsid w:val="1DA8AD42"/>
    <w:multiLevelType w:val="hybridMultilevel"/>
    <w:tmpl w:val="00000000"/>
    <w:lvl w:ilvl="0">
      <w:start w:val="1"/>
      <w:numFmt w:val="decimal"/>
      <w:lvlText w:val="(%1)"/>
      <w:lvlJc w:val="left"/>
      <w:pPr>
        <w:ind w:left="117"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986" w:hanging="361"/>
      </w:pPr>
      <w:rPr>
        <w:rFonts w:hint="default"/>
        <w:lang w:val="en-US" w:eastAsia="zh-CN" w:bidi="ar-SA"/>
      </w:rPr>
    </w:lvl>
    <w:lvl w:ilvl="2">
      <w:start w:val="0"/>
      <w:numFmt w:val="bullet"/>
      <w:lvlText w:val="•"/>
      <w:lvlJc w:val="left"/>
      <w:pPr>
        <w:ind w:left="1853" w:hanging="361"/>
      </w:pPr>
      <w:rPr>
        <w:rFonts w:hint="default"/>
        <w:lang w:val="en-US" w:eastAsia="zh-CN" w:bidi="ar-SA"/>
      </w:rPr>
    </w:lvl>
    <w:lvl w:ilvl="3">
      <w:start w:val="0"/>
      <w:numFmt w:val="bullet"/>
      <w:lvlText w:val="•"/>
      <w:lvlJc w:val="left"/>
      <w:pPr>
        <w:ind w:left="2719" w:hanging="361"/>
      </w:pPr>
      <w:rPr>
        <w:rFonts w:hint="default"/>
        <w:lang w:val="en-US" w:eastAsia="zh-CN" w:bidi="ar-SA"/>
      </w:rPr>
    </w:lvl>
    <w:lvl w:ilvl="4">
      <w:start w:val="0"/>
      <w:numFmt w:val="bullet"/>
      <w:lvlText w:val="•"/>
      <w:lvlJc w:val="left"/>
      <w:pPr>
        <w:ind w:left="3586" w:hanging="361"/>
      </w:pPr>
      <w:rPr>
        <w:rFonts w:hint="default"/>
        <w:lang w:val="en-US" w:eastAsia="zh-CN" w:bidi="ar-SA"/>
      </w:rPr>
    </w:lvl>
    <w:lvl w:ilvl="5">
      <w:start w:val="0"/>
      <w:numFmt w:val="bullet"/>
      <w:lvlText w:val="•"/>
      <w:lvlJc w:val="left"/>
      <w:pPr>
        <w:ind w:left="4453" w:hanging="361"/>
      </w:pPr>
      <w:rPr>
        <w:rFonts w:hint="default"/>
        <w:lang w:val="en-US" w:eastAsia="zh-CN" w:bidi="ar-SA"/>
      </w:rPr>
    </w:lvl>
    <w:lvl w:ilvl="6">
      <w:start w:val="0"/>
      <w:numFmt w:val="bullet"/>
      <w:lvlText w:val="•"/>
      <w:lvlJc w:val="left"/>
      <w:pPr>
        <w:ind w:left="5319" w:hanging="361"/>
      </w:pPr>
      <w:rPr>
        <w:rFonts w:hint="default"/>
        <w:lang w:val="en-US" w:eastAsia="zh-CN" w:bidi="ar-SA"/>
      </w:rPr>
    </w:lvl>
    <w:lvl w:ilvl="7">
      <w:start w:val="0"/>
      <w:numFmt w:val="bullet"/>
      <w:lvlText w:val="•"/>
      <w:lvlJc w:val="left"/>
      <w:pPr>
        <w:ind w:left="6186" w:hanging="361"/>
      </w:pPr>
      <w:rPr>
        <w:rFonts w:hint="default"/>
        <w:lang w:val="en-US" w:eastAsia="zh-CN" w:bidi="ar-SA"/>
      </w:rPr>
    </w:lvl>
    <w:lvl w:ilvl="8">
      <w:start w:val="0"/>
      <w:numFmt w:val="bullet"/>
      <w:lvlText w:val="•"/>
      <w:lvlJc w:val="left"/>
      <w:pPr>
        <w:ind w:left="7052" w:hanging="361"/>
      </w:pPr>
      <w:rPr>
        <w:rFonts w:hint="default"/>
        <w:lang w:val="en-US" w:eastAsia="zh-CN" w:bidi="ar-SA"/>
      </w:rPr>
    </w:lvl>
  </w:abstractNum>
  <w:abstractNum w:abstractNumId="5">
    <w:nsid w:val="24E2BD7B"/>
    <w:multiLevelType w:val="hybridMultilevel"/>
    <w:tmpl w:val="00000000"/>
    <w:lvl w:ilvl="0">
      <w:start w:val="1"/>
      <w:numFmt w:val="decimal"/>
      <w:lvlText w:val="(%1)"/>
      <w:lvlJc w:val="left"/>
      <w:pPr>
        <w:ind w:left="117"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986" w:hanging="361"/>
      </w:pPr>
      <w:rPr>
        <w:rFonts w:hint="default"/>
        <w:lang w:val="en-US" w:eastAsia="zh-CN" w:bidi="ar-SA"/>
      </w:rPr>
    </w:lvl>
    <w:lvl w:ilvl="2">
      <w:start w:val="0"/>
      <w:numFmt w:val="bullet"/>
      <w:lvlText w:val="•"/>
      <w:lvlJc w:val="left"/>
      <w:pPr>
        <w:ind w:left="1853" w:hanging="361"/>
      </w:pPr>
      <w:rPr>
        <w:rFonts w:hint="default"/>
        <w:lang w:val="en-US" w:eastAsia="zh-CN" w:bidi="ar-SA"/>
      </w:rPr>
    </w:lvl>
    <w:lvl w:ilvl="3">
      <w:start w:val="0"/>
      <w:numFmt w:val="bullet"/>
      <w:lvlText w:val="•"/>
      <w:lvlJc w:val="left"/>
      <w:pPr>
        <w:ind w:left="2719" w:hanging="361"/>
      </w:pPr>
      <w:rPr>
        <w:rFonts w:hint="default"/>
        <w:lang w:val="en-US" w:eastAsia="zh-CN" w:bidi="ar-SA"/>
      </w:rPr>
    </w:lvl>
    <w:lvl w:ilvl="4">
      <w:start w:val="0"/>
      <w:numFmt w:val="bullet"/>
      <w:lvlText w:val="•"/>
      <w:lvlJc w:val="left"/>
      <w:pPr>
        <w:ind w:left="3586" w:hanging="361"/>
      </w:pPr>
      <w:rPr>
        <w:rFonts w:hint="default"/>
        <w:lang w:val="en-US" w:eastAsia="zh-CN" w:bidi="ar-SA"/>
      </w:rPr>
    </w:lvl>
    <w:lvl w:ilvl="5">
      <w:start w:val="0"/>
      <w:numFmt w:val="bullet"/>
      <w:lvlText w:val="•"/>
      <w:lvlJc w:val="left"/>
      <w:pPr>
        <w:ind w:left="4453" w:hanging="361"/>
      </w:pPr>
      <w:rPr>
        <w:rFonts w:hint="default"/>
        <w:lang w:val="en-US" w:eastAsia="zh-CN" w:bidi="ar-SA"/>
      </w:rPr>
    </w:lvl>
    <w:lvl w:ilvl="6">
      <w:start w:val="0"/>
      <w:numFmt w:val="bullet"/>
      <w:lvlText w:val="•"/>
      <w:lvlJc w:val="left"/>
      <w:pPr>
        <w:ind w:left="5319" w:hanging="361"/>
      </w:pPr>
      <w:rPr>
        <w:rFonts w:hint="default"/>
        <w:lang w:val="en-US" w:eastAsia="zh-CN" w:bidi="ar-SA"/>
      </w:rPr>
    </w:lvl>
    <w:lvl w:ilvl="7">
      <w:start w:val="0"/>
      <w:numFmt w:val="bullet"/>
      <w:lvlText w:val="•"/>
      <w:lvlJc w:val="left"/>
      <w:pPr>
        <w:ind w:left="6186" w:hanging="361"/>
      </w:pPr>
      <w:rPr>
        <w:rFonts w:hint="default"/>
        <w:lang w:val="en-US" w:eastAsia="zh-CN" w:bidi="ar-SA"/>
      </w:rPr>
    </w:lvl>
    <w:lvl w:ilvl="8">
      <w:start w:val="0"/>
      <w:numFmt w:val="bullet"/>
      <w:lvlText w:val="•"/>
      <w:lvlJc w:val="left"/>
      <w:pPr>
        <w:ind w:left="7052" w:hanging="361"/>
      </w:pPr>
      <w:rPr>
        <w:rFonts w:hint="default"/>
        <w:lang w:val="en-US" w:eastAsia="zh-CN" w:bidi="ar-SA"/>
      </w:rPr>
    </w:lvl>
  </w:abstractNum>
  <w:abstractNum w:abstractNumId="6">
    <w:nsid w:val="252E75EB"/>
    <w:multiLevelType w:val="hybridMultilevel"/>
    <w:tmpl w:val="00000000"/>
    <w:lvl w:ilvl="0">
      <w:start w:val="1"/>
      <w:numFmt w:val="decimal"/>
      <w:lvlText w:val="(%1)"/>
      <w:lvlJc w:val="left"/>
      <w:pPr>
        <w:ind w:left="878" w:hanging="361"/>
        <w:jc w:val="righ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670" w:hanging="361"/>
      </w:pPr>
      <w:rPr>
        <w:rFonts w:hint="default"/>
        <w:lang w:val="en-US" w:eastAsia="zh-CN" w:bidi="ar-SA"/>
      </w:rPr>
    </w:lvl>
    <w:lvl w:ilvl="2">
      <w:start w:val="0"/>
      <w:numFmt w:val="bullet"/>
      <w:lvlText w:val="•"/>
      <w:lvlJc w:val="left"/>
      <w:pPr>
        <w:ind w:left="2461" w:hanging="361"/>
      </w:pPr>
      <w:rPr>
        <w:rFonts w:hint="default"/>
        <w:lang w:val="en-US" w:eastAsia="zh-CN" w:bidi="ar-SA"/>
      </w:rPr>
    </w:lvl>
    <w:lvl w:ilvl="3">
      <w:start w:val="0"/>
      <w:numFmt w:val="bullet"/>
      <w:lvlText w:val="•"/>
      <w:lvlJc w:val="left"/>
      <w:pPr>
        <w:ind w:left="3251" w:hanging="361"/>
      </w:pPr>
      <w:rPr>
        <w:rFonts w:hint="default"/>
        <w:lang w:val="en-US" w:eastAsia="zh-CN" w:bidi="ar-SA"/>
      </w:rPr>
    </w:lvl>
    <w:lvl w:ilvl="4">
      <w:start w:val="0"/>
      <w:numFmt w:val="bullet"/>
      <w:lvlText w:val="•"/>
      <w:lvlJc w:val="left"/>
      <w:pPr>
        <w:ind w:left="4042" w:hanging="361"/>
      </w:pPr>
      <w:rPr>
        <w:rFonts w:hint="default"/>
        <w:lang w:val="en-US" w:eastAsia="zh-CN" w:bidi="ar-SA"/>
      </w:rPr>
    </w:lvl>
    <w:lvl w:ilvl="5">
      <w:start w:val="0"/>
      <w:numFmt w:val="bullet"/>
      <w:lvlText w:val="•"/>
      <w:lvlJc w:val="left"/>
      <w:pPr>
        <w:ind w:left="4833" w:hanging="361"/>
      </w:pPr>
      <w:rPr>
        <w:rFonts w:hint="default"/>
        <w:lang w:val="en-US" w:eastAsia="zh-CN" w:bidi="ar-SA"/>
      </w:rPr>
    </w:lvl>
    <w:lvl w:ilvl="6">
      <w:start w:val="0"/>
      <w:numFmt w:val="bullet"/>
      <w:lvlText w:val="•"/>
      <w:lvlJc w:val="left"/>
      <w:pPr>
        <w:ind w:left="5623" w:hanging="361"/>
      </w:pPr>
      <w:rPr>
        <w:rFonts w:hint="default"/>
        <w:lang w:val="en-US" w:eastAsia="zh-CN" w:bidi="ar-SA"/>
      </w:rPr>
    </w:lvl>
    <w:lvl w:ilvl="7">
      <w:start w:val="0"/>
      <w:numFmt w:val="bullet"/>
      <w:lvlText w:val="•"/>
      <w:lvlJc w:val="left"/>
      <w:pPr>
        <w:ind w:left="6414" w:hanging="361"/>
      </w:pPr>
      <w:rPr>
        <w:rFonts w:hint="default"/>
        <w:lang w:val="en-US" w:eastAsia="zh-CN" w:bidi="ar-SA"/>
      </w:rPr>
    </w:lvl>
    <w:lvl w:ilvl="8">
      <w:start w:val="0"/>
      <w:numFmt w:val="bullet"/>
      <w:lvlText w:val="•"/>
      <w:lvlJc w:val="left"/>
      <w:pPr>
        <w:ind w:left="7204" w:hanging="361"/>
      </w:pPr>
      <w:rPr>
        <w:rFonts w:hint="default"/>
        <w:lang w:val="en-US" w:eastAsia="zh-CN" w:bidi="ar-SA"/>
      </w:rPr>
    </w:lvl>
  </w:abstractNum>
  <w:abstractNum w:abstractNumId="7">
    <w:nsid w:val="37E4D9FB"/>
    <w:multiLevelType w:val="hybridMultilevel"/>
    <w:tmpl w:val="00000000"/>
    <w:lvl w:ilvl="0">
      <w:start w:val="1"/>
      <w:numFmt w:val="decimal"/>
      <w:lvlText w:val="(%1)"/>
      <w:lvlJc w:val="left"/>
      <w:pPr>
        <w:ind w:left="117"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986" w:hanging="361"/>
      </w:pPr>
      <w:rPr>
        <w:rFonts w:hint="default"/>
        <w:lang w:val="en-US" w:eastAsia="zh-CN" w:bidi="ar-SA"/>
      </w:rPr>
    </w:lvl>
    <w:lvl w:ilvl="2">
      <w:start w:val="0"/>
      <w:numFmt w:val="bullet"/>
      <w:lvlText w:val="•"/>
      <w:lvlJc w:val="left"/>
      <w:pPr>
        <w:ind w:left="1853" w:hanging="361"/>
      </w:pPr>
      <w:rPr>
        <w:rFonts w:hint="default"/>
        <w:lang w:val="en-US" w:eastAsia="zh-CN" w:bidi="ar-SA"/>
      </w:rPr>
    </w:lvl>
    <w:lvl w:ilvl="3">
      <w:start w:val="0"/>
      <w:numFmt w:val="bullet"/>
      <w:lvlText w:val="•"/>
      <w:lvlJc w:val="left"/>
      <w:pPr>
        <w:ind w:left="2719" w:hanging="361"/>
      </w:pPr>
      <w:rPr>
        <w:rFonts w:hint="default"/>
        <w:lang w:val="en-US" w:eastAsia="zh-CN" w:bidi="ar-SA"/>
      </w:rPr>
    </w:lvl>
    <w:lvl w:ilvl="4">
      <w:start w:val="0"/>
      <w:numFmt w:val="bullet"/>
      <w:lvlText w:val="•"/>
      <w:lvlJc w:val="left"/>
      <w:pPr>
        <w:ind w:left="3586" w:hanging="361"/>
      </w:pPr>
      <w:rPr>
        <w:rFonts w:hint="default"/>
        <w:lang w:val="en-US" w:eastAsia="zh-CN" w:bidi="ar-SA"/>
      </w:rPr>
    </w:lvl>
    <w:lvl w:ilvl="5">
      <w:start w:val="0"/>
      <w:numFmt w:val="bullet"/>
      <w:lvlText w:val="•"/>
      <w:lvlJc w:val="left"/>
      <w:pPr>
        <w:ind w:left="4453" w:hanging="361"/>
      </w:pPr>
      <w:rPr>
        <w:rFonts w:hint="default"/>
        <w:lang w:val="en-US" w:eastAsia="zh-CN" w:bidi="ar-SA"/>
      </w:rPr>
    </w:lvl>
    <w:lvl w:ilvl="6">
      <w:start w:val="0"/>
      <w:numFmt w:val="bullet"/>
      <w:lvlText w:val="•"/>
      <w:lvlJc w:val="left"/>
      <w:pPr>
        <w:ind w:left="5319" w:hanging="361"/>
      </w:pPr>
      <w:rPr>
        <w:rFonts w:hint="default"/>
        <w:lang w:val="en-US" w:eastAsia="zh-CN" w:bidi="ar-SA"/>
      </w:rPr>
    </w:lvl>
    <w:lvl w:ilvl="7">
      <w:start w:val="0"/>
      <w:numFmt w:val="bullet"/>
      <w:lvlText w:val="•"/>
      <w:lvlJc w:val="left"/>
      <w:pPr>
        <w:ind w:left="6186" w:hanging="361"/>
      </w:pPr>
      <w:rPr>
        <w:rFonts w:hint="default"/>
        <w:lang w:val="en-US" w:eastAsia="zh-CN" w:bidi="ar-SA"/>
      </w:rPr>
    </w:lvl>
    <w:lvl w:ilvl="8">
      <w:start w:val="0"/>
      <w:numFmt w:val="bullet"/>
      <w:lvlText w:val="•"/>
      <w:lvlJc w:val="left"/>
      <w:pPr>
        <w:ind w:left="7052" w:hanging="361"/>
      </w:pPr>
      <w:rPr>
        <w:rFonts w:hint="default"/>
        <w:lang w:val="en-US" w:eastAsia="zh-CN" w:bidi="ar-SA"/>
      </w:rPr>
    </w:lvl>
  </w:abstractNum>
  <w:abstractNum w:abstractNumId="8">
    <w:nsid w:val="5A20C687"/>
    <w:multiLevelType w:val="hybridMultilevel"/>
    <w:tmpl w:val="00000000"/>
    <w:lvl w:ilvl="0">
      <w:start w:val="1"/>
      <w:numFmt w:val="decimal"/>
      <w:lvlText w:val="%1."/>
      <w:lvlJc w:val="left"/>
      <w:pPr>
        <w:ind w:left="117" w:hanging="17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986" w:hanging="174"/>
      </w:pPr>
      <w:rPr>
        <w:rFonts w:hint="default"/>
        <w:lang w:val="en-US" w:eastAsia="zh-CN" w:bidi="ar-SA"/>
      </w:rPr>
    </w:lvl>
    <w:lvl w:ilvl="2">
      <w:start w:val="0"/>
      <w:numFmt w:val="bullet"/>
      <w:lvlText w:val="•"/>
      <w:lvlJc w:val="left"/>
      <w:pPr>
        <w:ind w:left="1853" w:hanging="174"/>
      </w:pPr>
      <w:rPr>
        <w:rFonts w:hint="default"/>
        <w:lang w:val="en-US" w:eastAsia="zh-CN" w:bidi="ar-SA"/>
      </w:rPr>
    </w:lvl>
    <w:lvl w:ilvl="3">
      <w:start w:val="0"/>
      <w:numFmt w:val="bullet"/>
      <w:lvlText w:val="•"/>
      <w:lvlJc w:val="left"/>
      <w:pPr>
        <w:ind w:left="2719" w:hanging="174"/>
      </w:pPr>
      <w:rPr>
        <w:rFonts w:hint="default"/>
        <w:lang w:val="en-US" w:eastAsia="zh-CN" w:bidi="ar-SA"/>
      </w:rPr>
    </w:lvl>
    <w:lvl w:ilvl="4">
      <w:start w:val="0"/>
      <w:numFmt w:val="bullet"/>
      <w:lvlText w:val="•"/>
      <w:lvlJc w:val="left"/>
      <w:pPr>
        <w:ind w:left="3586" w:hanging="174"/>
      </w:pPr>
      <w:rPr>
        <w:rFonts w:hint="default"/>
        <w:lang w:val="en-US" w:eastAsia="zh-CN" w:bidi="ar-SA"/>
      </w:rPr>
    </w:lvl>
    <w:lvl w:ilvl="5">
      <w:start w:val="0"/>
      <w:numFmt w:val="bullet"/>
      <w:lvlText w:val="•"/>
      <w:lvlJc w:val="left"/>
      <w:pPr>
        <w:ind w:left="4453" w:hanging="174"/>
      </w:pPr>
      <w:rPr>
        <w:rFonts w:hint="default"/>
        <w:lang w:val="en-US" w:eastAsia="zh-CN" w:bidi="ar-SA"/>
      </w:rPr>
    </w:lvl>
    <w:lvl w:ilvl="6">
      <w:start w:val="0"/>
      <w:numFmt w:val="bullet"/>
      <w:lvlText w:val="•"/>
      <w:lvlJc w:val="left"/>
      <w:pPr>
        <w:ind w:left="5319" w:hanging="174"/>
      </w:pPr>
      <w:rPr>
        <w:rFonts w:hint="default"/>
        <w:lang w:val="en-US" w:eastAsia="zh-CN" w:bidi="ar-SA"/>
      </w:rPr>
    </w:lvl>
    <w:lvl w:ilvl="7">
      <w:start w:val="0"/>
      <w:numFmt w:val="bullet"/>
      <w:lvlText w:val="•"/>
      <w:lvlJc w:val="left"/>
      <w:pPr>
        <w:ind w:left="6186" w:hanging="174"/>
      </w:pPr>
      <w:rPr>
        <w:rFonts w:hint="default"/>
        <w:lang w:val="en-US" w:eastAsia="zh-CN" w:bidi="ar-SA"/>
      </w:rPr>
    </w:lvl>
    <w:lvl w:ilvl="8">
      <w:start w:val="0"/>
      <w:numFmt w:val="bullet"/>
      <w:lvlText w:val="•"/>
      <w:lvlJc w:val="left"/>
      <w:pPr>
        <w:ind w:left="7052" w:hanging="174"/>
      </w:pPr>
      <w:rPr>
        <w:rFonts w:hint="default"/>
        <w:lang w:val="en-US" w:eastAsia="zh-CN" w:bidi="ar-SA"/>
      </w:rPr>
    </w:lvl>
  </w:abstractNum>
  <w:num w:numId="1">
    <w:abstractNumId w:val="8"/>
  </w:num>
  <w:num w:numId="2">
    <w:abstractNumId w:val="2"/>
  </w:num>
  <w:num w:numId="3">
    <w:abstractNumId w:val="7"/>
  </w:num>
  <w:num w:numId="4">
    <w:abstractNumId w:val="0"/>
  </w:num>
  <w:num w:numId="5">
    <w:abstractNumId w:val="6"/>
  </w:num>
  <w:num w:numId="6">
    <w:abstractNumId w:val="5"/>
  </w:num>
  <w:num w:numId="7">
    <w:abstractNumId w:val="3"/>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524"/>
      <w:outlineLvl w:val="0"/>
    </w:pPr>
    <w:rPr>
      <w:rFonts w:ascii="黑体" w:eastAsia="黑体" w:hAnsi="黑体" w:cs="黑体"/>
      <w:sz w:val="44"/>
      <w:szCs w:val="44"/>
      <w:lang w:val="en-US" w:eastAsia="zh-CN" w:bidi="ar-SA"/>
    </w:rPr>
  </w:style>
  <w:style w:type="paragraph" w:styleId="Heading2">
    <w:name w:val="heading 2"/>
    <w:basedOn w:val="Normal"/>
    <w:uiPriority w:val="1"/>
    <w:qFormat/>
    <w:pPr>
      <w:ind w:left="327" w:hanging="211"/>
      <w:outlineLvl w:val="1"/>
    </w:pPr>
    <w:rPr>
      <w:rFonts w:ascii="黑体" w:eastAsia="黑体" w:hAnsi="黑体" w:cs="黑体"/>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92"/>
      <w:ind w:left="717" w:hanging="601"/>
    </w:pPr>
    <w:rPr>
      <w:rFonts w:ascii="宋体" w:eastAsia="宋体" w:hAnsi="宋体" w:cs="宋体"/>
      <w:sz w:val="24"/>
      <w:szCs w:val="24"/>
      <w:lang w:val="en-US" w:eastAsia="zh-CN" w:bidi="ar-SA"/>
    </w:rPr>
  </w:style>
  <w:style w:type="paragraph" w:styleId="TOC2">
    <w:name w:val="toc 2"/>
    <w:basedOn w:val="Normal"/>
    <w:uiPriority w:val="1"/>
    <w:qFormat/>
    <w:pPr>
      <w:spacing w:before="93"/>
      <w:ind w:left="1287" w:hanging="961"/>
    </w:pPr>
    <w:rPr>
      <w:rFonts w:ascii="宋体" w:eastAsia="宋体" w:hAnsi="宋体" w:cs="宋体"/>
      <w:sz w:val="24"/>
      <w:szCs w:val="24"/>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ind w:left="524" w:right="741"/>
      <w:jc w:val="center"/>
    </w:pPr>
    <w:rPr>
      <w:rFonts w:ascii="Microsoft JhengHei" w:eastAsia="Microsoft JhengHei" w:hAnsi="Microsoft JhengHei" w:cs="Microsoft JhengHei"/>
      <w:b/>
      <w:bCs/>
      <w:sz w:val="72"/>
      <w:szCs w:val="72"/>
      <w:lang w:val="en-US" w:eastAsia="zh-CN" w:bidi="ar-SA"/>
    </w:rPr>
  </w:style>
  <w:style w:type="paragraph" w:styleId="ListParagraph">
    <w:name w:val="List Paragraph"/>
    <w:basedOn w:val="Normal"/>
    <w:uiPriority w:val="1"/>
    <w:qFormat/>
    <w:pPr>
      <w:ind w:left="116" w:hanging="961"/>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2.jpeg" /><Relationship Id="rId12" Type="http://schemas.openxmlformats.org/officeDocument/2006/relationships/footer" Target="footer7.xml" /><Relationship Id="rId13" Type="http://schemas.openxmlformats.org/officeDocument/2006/relationships/image" Target="media/image3.jpeg"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image" Target="media/image4.jpeg" /><Relationship Id="rId17" Type="http://schemas.openxmlformats.org/officeDocument/2006/relationships/footer" Target="footer10.xml" /><Relationship Id="rId18" Type="http://schemas.openxmlformats.org/officeDocument/2006/relationships/hyperlink" Target="https://d.book118.com/387123111032006050" TargetMode="Externa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2024-03-04T12:40:17Z</dcterms:created>
  <dcterms:modified xsi:type="dcterms:W3CDTF">2024-03-04T12:40:17Z</dcterms:modified>
</cp:coreProperties>
</file>