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right="105"/>
        <w:rPr>
          <w:rFonts w:eastAsia="仿宋_GB2312" w:hint="eastAsia"/>
          <w:b/>
          <w:bCs/>
          <w:color w:val="auto"/>
          <w:sz w:val="48"/>
          <w:szCs w:val="48"/>
          <w:highlight w:val="none"/>
        </w:rPr>
      </w:pPr>
      <w:r>
        <w:rPr>
          <w:rFonts w:eastAsia="仿宋_GB2312" w:hint="eastAsia"/>
          <w:b/>
          <w:bCs/>
          <w:color w:val="auto"/>
          <w:sz w:val="48"/>
          <w:szCs w:val="48"/>
          <w:highlight w:val="none"/>
          <w:lang w:val="en-US" w:eastAsia="zh-CN"/>
        </w:rPr>
        <w:t xml:space="preserve"> </w:t>
      </w:r>
    </w:p>
    <w:p>
      <w:pPr>
        <w:ind w:right="105"/>
        <w:jc w:val="center"/>
        <w:rPr>
          <w:rFonts w:eastAsia="仿宋_GB2312" w:hint="eastAsia"/>
          <w:b/>
          <w:bCs/>
          <w:color w:val="auto"/>
          <w:sz w:val="56"/>
          <w:szCs w:val="56"/>
          <w:highlight w:val="none"/>
        </w:rPr>
      </w:pPr>
    </w:p>
    <w:p>
      <w:pPr>
        <w:ind w:right="105"/>
        <w:jc w:val="center"/>
        <w:rPr>
          <w:rFonts w:eastAsia="仿宋_GB2312" w:hint="eastAsia"/>
          <w:b/>
          <w:bCs/>
          <w:color w:val="auto"/>
          <w:sz w:val="72"/>
          <w:szCs w:val="72"/>
          <w:highlight w:val="none"/>
        </w:rPr>
      </w:pPr>
      <w:r>
        <w:rPr>
          <w:rFonts w:eastAsia="仿宋_GB2312" w:hint="eastAsia"/>
          <w:b/>
          <w:bCs/>
          <w:color w:val="auto"/>
          <w:sz w:val="72"/>
          <w:szCs w:val="72"/>
          <w:highlight w:val="none"/>
          <w:lang w:eastAsia="zh-CN"/>
        </w:rPr>
        <w:t>天津市静海区第四小学</w:t>
      </w:r>
    </w:p>
    <w:p>
      <w:pPr>
        <w:ind w:right="105"/>
        <w:jc w:val="center"/>
        <w:rPr>
          <w:rFonts w:eastAsia="仿宋_GB2312" w:hint="eastAsia"/>
          <w:b/>
          <w:bCs/>
          <w:color w:val="auto"/>
          <w:sz w:val="72"/>
          <w:szCs w:val="72"/>
          <w:highlight w:val="none"/>
        </w:rPr>
      </w:pPr>
      <w:r>
        <w:rPr>
          <w:rFonts w:eastAsia="仿宋_GB2312" w:hint="eastAsia"/>
          <w:b/>
          <w:bCs/>
          <w:color w:val="auto"/>
          <w:sz w:val="72"/>
          <w:szCs w:val="72"/>
          <w:highlight w:val="none"/>
          <w:lang w:eastAsia="zh-CN"/>
        </w:rPr>
        <w:t>操场改造工程</w:t>
      </w:r>
    </w:p>
    <w:p>
      <w:pPr>
        <w:ind w:right="105"/>
        <w:rPr>
          <w:rFonts w:eastAsia="仿宋_GB2312" w:hint="eastAsia"/>
          <w:b/>
          <w:bCs/>
          <w:color w:val="auto"/>
          <w:sz w:val="48"/>
          <w:szCs w:val="48"/>
          <w:highlight w:val="none"/>
        </w:rPr>
      </w:pPr>
    </w:p>
    <w:p>
      <w:pPr>
        <w:ind w:right="105"/>
        <w:rPr>
          <w:rFonts w:eastAsia="仿宋_GB2312" w:hint="eastAsia"/>
          <w:b/>
          <w:bCs/>
          <w:color w:val="auto"/>
          <w:sz w:val="48"/>
          <w:szCs w:val="48"/>
          <w:highlight w:val="none"/>
        </w:rPr>
      </w:pPr>
    </w:p>
    <w:p>
      <w:pPr>
        <w:pStyle w:val="BodyText"/>
        <w:rPr>
          <w:rFonts w:eastAsia="仿宋_GB2312" w:hint="eastAsia"/>
          <w:b/>
          <w:bCs/>
          <w:color w:val="auto"/>
          <w:sz w:val="48"/>
          <w:szCs w:val="48"/>
          <w:highlight w:val="none"/>
        </w:rPr>
      </w:pPr>
    </w:p>
    <w:p>
      <w:pPr>
        <w:pStyle w:val="BodyText"/>
        <w:rPr>
          <w:rFonts w:eastAsia="仿宋_GB2312" w:hint="eastAsia"/>
          <w:b/>
          <w:bCs/>
          <w:color w:val="auto"/>
          <w:sz w:val="48"/>
          <w:szCs w:val="48"/>
          <w:highlight w:val="none"/>
        </w:rPr>
      </w:pPr>
    </w:p>
    <w:p>
      <w:pPr>
        <w:ind w:right="105"/>
        <w:jc w:val="center"/>
        <w:rPr>
          <w:rFonts w:ascii="宋体" w:hAnsi="宋体" w:cs="宋体" w:hint="eastAsia"/>
          <w:b/>
          <w:color w:val="auto"/>
          <w:spacing w:val="40"/>
          <w:w w:val="66"/>
          <w:sz w:val="52"/>
          <w:szCs w:val="52"/>
          <w:highlight w:val="none"/>
        </w:rPr>
      </w:pPr>
      <w:r>
        <w:rPr>
          <w:rFonts w:hint="eastAsia"/>
          <w:b/>
          <w:bCs/>
          <w:color w:val="auto"/>
          <w:sz w:val="56"/>
          <w:szCs w:val="18"/>
          <w:highlight w:val="none"/>
        </w:rPr>
        <w:t>竞争性磋商文件</w:t>
      </w:r>
    </w:p>
    <w:p>
      <w:pPr>
        <w:jc w:val="center"/>
        <w:rPr>
          <w:rFonts w:ascii="宋体" w:hAnsi="宋体" w:cs="宋体" w:hint="eastAsia"/>
          <w:b/>
          <w:color w:val="auto"/>
          <w:spacing w:val="40"/>
          <w:w w:val="66"/>
          <w:sz w:val="15"/>
          <w:szCs w:val="15"/>
          <w:highlight w:val="none"/>
        </w:rPr>
      </w:pPr>
      <w:r>
        <w:rPr>
          <w:rFonts w:ascii="宋体" w:hAnsi="宋体" w:cs="宋体" w:hint="eastAsia"/>
          <w:b/>
          <w:color w:val="auto"/>
          <w:spacing w:val="40"/>
          <w:w w:val="66"/>
          <w:sz w:val="56"/>
          <w:szCs w:val="56"/>
          <w:highlight w:val="none"/>
        </w:rPr>
        <w:t xml:space="preserve">            </w:t>
      </w:r>
    </w:p>
    <w:p>
      <w:pPr>
        <w:jc w:val="center"/>
        <w:rPr>
          <w:rFonts w:ascii="宋体" w:hAnsi="宋体" w:cs="宋体" w:hint="eastAsia"/>
          <w:b/>
          <w:bCs/>
          <w:color w:val="auto"/>
          <w:sz w:val="36"/>
          <w:szCs w:val="22"/>
          <w:highlight w:val="none"/>
        </w:rPr>
      </w:pPr>
      <w:r>
        <w:rPr>
          <w:rFonts w:ascii="宋体" w:hAnsi="宋体" w:cs="宋体" w:hint="eastAsia"/>
          <w:b/>
          <w:bCs/>
          <w:color w:val="auto"/>
          <w:sz w:val="36"/>
          <w:szCs w:val="22"/>
          <w:highlight w:val="none"/>
        </w:rPr>
        <w:t>（项目编号：</w:t>
      </w:r>
      <w:r>
        <w:rPr>
          <w:rFonts w:ascii="宋体" w:hAnsi="宋体" w:cs="宋体" w:hint="eastAsia"/>
          <w:b/>
          <w:bCs/>
          <w:color w:val="auto"/>
          <w:sz w:val="36"/>
          <w:szCs w:val="22"/>
          <w:highlight w:val="none"/>
          <w:lang w:eastAsia="zh-CN"/>
        </w:rPr>
        <w:t>RSGS-JH--</w:t>
      </w:r>
      <w:r>
        <w:rPr>
          <w:rFonts w:ascii="宋体" w:hAnsi="宋体" w:cs="宋体" w:hint="eastAsia"/>
          <w:b/>
          <w:bCs/>
          <w:color w:val="auto"/>
          <w:sz w:val="36"/>
          <w:szCs w:val="22"/>
          <w:highlight w:val="none"/>
        </w:rPr>
        <w:t>）</w:t>
      </w:r>
    </w:p>
    <w:p>
      <w:pPr>
        <w:rPr>
          <w:rFonts w:ascii="宋体" w:hAnsi="宋体" w:cs="宋体" w:hint="eastAsia"/>
          <w:color w:val="auto"/>
          <w:sz w:val="40"/>
          <w:highlight w:val="none"/>
        </w:rPr>
      </w:pPr>
    </w:p>
    <w:p>
      <w:pPr>
        <w:rPr>
          <w:rFonts w:ascii="宋体" w:hAnsi="宋体" w:cs="宋体" w:hint="eastAsia"/>
          <w:color w:val="auto"/>
          <w:sz w:val="36"/>
          <w:highlight w:val="none"/>
        </w:rPr>
      </w:pPr>
    </w:p>
    <w:p>
      <w:pPr>
        <w:jc w:val="center"/>
        <w:rPr>
          <w:rFonts w:ascii="宋体" w:hAnsi="宋体" w:cs="宋体" w:hint="eastAsia"/>
          <w:color w:val="auto"/>
          <w:sz w:val="36"/>
          <w:highlight w:val="none"/>
        </w:rPr>
      </w:pPr>
    </w:p>
    <w:p>
      <w:pPr>
        <w:jc w:val="center"/>
        <w:rPr>
          <w:rFonts w:ascii="宋体" w:hAnsi="宋体" w:cs="宋体" w:hint="eastAsia"/>
          <w:color w:val="auto"/>
          <w:sz w:val="36"/>
          <w:highlight w:val="none"/>
        </w:rPr>
      </w:pPr>
    </w:p>
    <w:p>
      <w:pPr>
        <w:rPr>
          <w:rFonts w:ascii="宋体" w:hAnsi="宋体" w:cs="宋体" w:hint="eastAsia"/>
          <w:color w:val="auto"/>
          <w:sz w:val="36"/>
          <w:highlight w:val="none"/>
        </w:rPr>
      </w:pPr>
    </w:p>
    <w:p>
      <w:pPr>
        <w:rPr>
          <w:rFonts w:ascii="宋体" w:hAnsi="宋体" w:cs="宋体" w:hint="eastAsia"/>
          <w:color w:val="auto"/>
          <w:sz w:val="36"/>
          <w:highlight w:val="none"/>
        </w:rPr>
      </w:pPr>
    </w:p>
    <w:p>
      <w:pPr>
        <w:rPr>
          <w:rFonts w:ascii="宋体" w:hAnsi="宋体" w:cs="宋体" w:hint="eastAsia"/>
          <w:color w:val="auto"/>
          <w:sz w:val="36"/>
          <w:highlight w:val="none"/>
        </w:rPr>
      </w:pPr>
    </w:p>
    <w:p>
      <w:pPr>
        <w:jc w:val="center"/>
        <w:rPr>
          <w:rFonts w:eastAsia="仿宋_GB2312"/>
          <w:b/>
          <w:bCs/>
          <w:color w:val="auto"/>
          <w:kern w:val="0"/>
          <w:sz w:val="44"/>
          <w:szCs w:val="44"/>
          <w:highlight w:val="none"/>
        </w:rPr>
      </w:pPr>
      <w:r>
        <w:rPr>
          <w:rFonts w:ascii="宋体" w:hAnsi="宋体" w:cs="宋体" w:hint="eastAsia"/>
          <w:b/>
          <w:bCs/>
          <w:color w:val="auto"/>
          <w:sz w:val="44"/>
          <w:szCs w:val="44"/>
          <w:highlight w:val="none"/>
        </w:rPr>
        <w:t>采购代理机构：天津融尚招标代理有限公司</w:t>
      </w:r>
      <w:r>
        <w:rPr>
          <w:rFonts w:ascii="宋体" w:hAnsi="宋体" w:cs="宋体" w:hint="eastAsia"/>
          <w:b/>
          <w:bCs/>
          <w:color w:val="auto"/>
          <w:sz w:val="32"/>
          <w:szCs w:val="32"/>
          <w:highlight w:val="none"/>
        </w:rPr>
        <w:t xml:space="preserve"> </w:t>
      </w:r>
    </w:p>
    <w:p>
      <w:pPr>
        <w:tabs>
          <w:tab w:val="left" w:pos="3281"/>
          <w:tab w:val="center" w:pos="4711"/>
        </w:tabs>
        <w:jc w:val="center"/>
        <w:rPr>
          <w:rFonts w:eastAsia="仿宋_GB2312"/>
          <w:b/>
          <w:bCs/>
          <w:color w:val="auto"/>
          <w:spacing w:val="20"/>
          <w:w w:val="66"/>
          <w:sz w:val="44"/>
          <w:szCs w:val="44"/>
          <w:highlight w:val="none"/>
        </w:rPr>
        <w:sectPr>
          <w:headerReference w:type="default" r:id="rId4"/>
          <w:footerReference w:type="default" r:id="rId5"/>
          <w:pgSz w:w="11906" w:h="16838"/>
          <w:pgMar w:top="1440" w:right="1797" w:bottom="1440" w:left="1797" w:header="851" w:footer="992" w:gutter="0"/>
          <w:cols w:space="708"/>
          <w:docGrid w:type="linesAndChars" w:linePitch="285" w:charSpace="-3449"/>
        </w:sectPr>
      </w:pPr>
    </w:p>
    <w:p>
      <w:pPr>
        <w:tabs>
          <w:tab w:val="left" w:pos="3281"/>
          <w:tab w:val="center" w:pos="4711"/>
        </w:tabs>
        <w:jc w:val="center"/>
        <w:rPr>
          <w:b/>
          <w:bCs/>
          <w:color w:val="auto"/>
          <w:spacing w:val="20"/>
          <w:w w:val="66"/>
          <w:sz w:val="36"/>
          <w:szCs w:val="32"/>
          <w:highlight w:val="none"/>
        </w:rPr>
      </w:pPr>
      <w:r>
        <w:rPr>
          <w:b/>
          <w:bCs/>
          <w:color w:val="auto"/>
          <w:spacing w:val="20"/>
          <w:w w:val="66"/>
          <w:sz w:val="36"/>
          <w:szCs w:val="32"/>
          <w:highlight w:val="none"/>
        </w:rPr>
        <w:t>目  录</w:t>
      </w:r>
    </w:p>
    <w:p>
      <w:pPr>
        <w:tabs>
          <w:tab w:val="left" w:pos="3281"/>
          <w:tab w:val="center" w:pos="4711"/>
        </w:tabs>
        <w:spacing w:line="360" w:lineRule="auto"/>
        <w:jc w:val="center"/>
        <w:rPr>
          <w:rFonts w:eastAsia="仿宋_GB2312"/>
          <w:b/>
          <w:bCs/>
          <w:color w:val="auto"/>
          <w:spacing w:val="20"/>
          <w:w w:val="66"/>
          <w:sz w:val="28"/>
          <w:szCs w:val="28"/>
          <w:highlight w:val="none"/>
        </w:rPr>
      </w:pPr>
    </w:p>
    <w:p>
      <w:pPr>
        <w:pStyle w:val="TOC1"/>
        <w:tabs>
          <w:tab w:val="right" w:leader="middleDot" w:pos="8302"/>
        </w:tabs>
        <w:rPr>
          <w:rStyle w:val="Hyperlink"/>
          <w:rFonts w:ascii="宋体" w:hAnsi="宋体" w:cs="宋体"/>
          <w:color w:val="auto"/>
          <w:highlight w:val="none"/>
        </w:rPr>
      </w:pPr>
      <w:r>
        <w:rPr>
          <w:rStyle w:val="Hyperlink"/>
          <w:rFonts w:ascii="宋体" w:hAnsi="宋体" w:cs="宋体" w:hint="eastAsia"/>
          <w:color w:val="auto"/>
          <w:highlight w:val="none"/>
        </w:rPr>
        <w:t xml:space="preserve">第一部分  </w:t>
      </w:r>
      <w:r>
        <w:rPr>
          <w:rFonts w:ascii="宋体" w:hAnsi="宋体" w:cs="宋体"/>
          <w:color w:val="auto"/>
          <w:highlight w:val="none"/>
        </w:rPr>
        <w:fldChar w:fldCharType="begin" w:dirty="1"/>
      </w:r>
      <w:r>
        <w:rPr>
          <w:rStyle w:val="Hyperlink"/>
          <w:rFonts w:ascii="宋体" w:hAnsi="宋体" w:cs="宋体"/>
          <w:color w:val="auto"/>
          <w:highlight w:val="none"/>
        </w:rPr>
        <w:instrText xml:space="preserve"> TOC \h \z \u \t "标题 3,1" </w:instrText>
      </w:r>
      <w:r>
        <w:rPr>
          <w:rFonts w:ascii="宋体" w:hAnsi="宋体" w:cs="宋体"/>
          <w:color w:val="auto"/>
          <w:highlight w:val="none"/>
        </w:rPr>
        <w:fldChar w:fldCharType="separate"/>
      </w:r>
      <w:hyperlink w:anchor="_Toc450552216" w:history="1">
        <w:r>
          <w:rPr>
            <w:rStyle w:val="Hyperlink"/>
            <w:rFonts w:ascii="宋体" w:hAnsi="宋体" w:cs="宋体"/>
            <w:color w:val="auto"/>
            <w:highlight w:val="none"/>
          </w:rPr>
          <w:t>磋商</w:t>
        </w:r>
        <w:r>
          <w:rPr>
            <w:rStyle w:val="Hyperlink"/>
            <w:rFonts w:ascii="宋体" w:hAnsi="宋体" w:cs="宋体" w:hint="eastAsia"/>
            <w:color w:val="auto"/>
            <w:highlight w:val="none"/>
          </w:rPr>
          <w:t>公告</w:t>
        </w:r>
        <w:r>
          <w:rPr>
            <w:rStyle w:val="Hyperlink"/>
            <w:rFonts w:ascii="宋体" w:hAnsi="宋体" w:cs="宋体"/>
            <w:color w:val="auto"/>
            <w:highlight w:val="none"/>
          </w:rPr>
          <w:tab/>
        </w:r>
      </w:hyperlink>
    </w:p>
    <w:p>
      <w:pPr>
        <w:pStyle w:val="TOC1"/>
        <w:tabs>
          <w:tab w:val="right" w:leader="middleDot" w:pos="8302"/>
        </w:tabs>
        <w:rPr>
          <w:rStyle w:val="Hyperlink"/>
          <w:rFonts w:ascii="宋体" w:hAnsi="宋体" w:cs="宋体"/>
          <w:color w:val="auto"/>
          <w:highlight w:val="none"/>
        </w:rPr>
      </w:pPr>
      <w:hyperlink w:anchor="_Toc450552217" w:history="1">
        <w:r>
          <w:rPr>
            <w:rStyle w:val="Hyperlink"/>
            <w:rFonts w:ascii="宋体" w:hAnsi="宋体" w:cs="宋体" w:hint="eastAsia"/>
            <w:color w:val="auto"/>
            <w:highlight w:val="none"/>
          </w:rPr>
          <w:t>第二部分</w:t>
        </w:r>
        <w:r>
          <w:rPr>
            <w:rStyle w:val="Hyperlink"/>
            <w:rFonts w:ascii="宋体" w:hAnsi="宋体" w:cs="宋体"/>
            <w:color w:val="auto"/>
            <w:highlight w:val="none"/>
          </w:rPr>
          <w:t xml:space="preserve">  </w:t>
        </w:r>
        <w:r>
          <w:rPr>
            <w:rStyle w:val="Hyperlink"/>
            <w:rFonts w:ascii="宋体" w:hAnsi="宋体" w:cs="宋体" w:hint="eastAsia"/>
            <w:color w:val="auto"/>
            <w:highlight w:val="none"/>
          </w:rPr>
          <w:t>磋商项目要求</w:t>
        </w:r>
        <w:r>
          <w:rPr>
            <w:rStyle w:val="Hyperlink"/>
            <w:rFonts w:ascii="宋体" w:hAnsi="宋体" w:cs="宋体"/>
            <w:color w:val="auto"/>
            <w:highlight w:val="none"/>
          </w:rPr>
          <w:tab/>
        </w:r>
      </w:hyperlink>
    </w:p>
    <w:p>
      <w:pPr>
        <w:pStyle w:val="TOC1"/>
        <w:tabs>
          <w:tab w:val="right" w:leader="middleDot" w:pos="8302"/>
        </w:tabs>
        <w:rPr>
          <w:rStyle w:val="Hyperlink"/>
          <w:rFonts w:ascii="宋体" w:hAnsi="宋体" w:cs="宋体"/>
          <w:color w:val="auto"/>
          <w:highlight w:val="none"/>
          <w:lang w:val="en-US"/>
        </w:rPr>
      </w:pPr>
      <w:r>
        <w:rPr>
          <w:rStyle w:val="Hyperlink"/>
          <w:rFonts w:ascii="宋体" w:hAnsi="宋体" w:cs="宋体" w:hint="eastAsia"/>
          <w:color w:val="auto"/>
          <w:highlight w:val="none"/>
        </w:rPr>
        <w:t xml:space="preserve">第三部分 </w:t>
      </w:r>
      <w:r>
        <w:rPr>
          <w:rStyle w:val="Hyperlink"/>
          <w:rFonts w:ascii="宋体" w:hAnsi="宋体" w:cs="宋体" w:hint="eastAsia"/>
          <w:color w:val="auto"/>
          <w:highlight w:val="none"/>
          <w:lang w:val="en-US" w:eastAsia="zh-CN"/>
        </w:rPr>
        <w:t xml:space="preserve"> </w:t>
      </w:r>
      <w:hyperlink w:anchor="_Toc450552218" w:history="1">
        <w:r>
          <w:rPr>
            <w:rStyle w:val="Hyperlink"/>
            <w:rFonts w:ascii="宋体" w:hAnsi="宋体" w:cs="宋体" w:hint="eastAsia"/>
            <w:color w:val="auto"/>
            <w:highlight w:val="none"/>
          </w:rPr>
          <w:t>供应商须知</w:t>
        </w:r>
        <w:r>
          <w:rPr>
            <w:rStyle w:val="Hyperlink"/>
            <w:rFonts w:ascii="宋体" w:hAnsi="宋体" w:cs="宋体"/>
            <w:color w:val="auto"/>
            <w:highlight w:val="none"/>
          </w:rPr>
          <w:tab/>
        </w:r>
      </w:hyperlink>
    </w:p>
    <w:p>
      <w:pPr>
        <w:pStyle w:val="TOC1"/>
        <w:tabs>
          <w:tab w:val="right" w:leader="middleDot" w:pos="8302"/>
        </w:tabs>
        <w:rPr>
          <w:rStyle w:val="Hyperlink"/>
          <w:rFonts w:ascii="宋体" w:hAnsi="宋体" w:cs="宋体"/>
          <w:color w:val="auto"/>
          <w:highlight w:val="none"/>
          <w:lang w:val="en-US"/>
        </w:rPr>
      </w:pPr>
      <w:hyperlink w:anchor="_Toc450552219" w:history="1">
        <w:r>
          <w:rPr>
            <w:rStyle w:val="Hyperlink"/>
            <w:rFonts w:ascii="宋体" w:hAnsi="宋体" w:cs="宋体" w:hint="eastAsia"/>
            <w:color w:val="auto"/>
            <w:highlight w:val="none"/>
          </w:rPr>
          <w:t>第四部分</w:t>
        </w:r>
        <w:r>
          <w:rPr>
            <w:rStyle w:val="Hyperlink"/>
            <w:rFonts w:ascii="宋体" w:hAnsi="宋体" w:cs="宋体"/>
            <w:color w:val="auto"/>
            <w:highlight w:val="none"/>
          </w:rPr>
          <w:t xml:space="preserve">  </w:t>
        </w:r>
        <w:r>
          <w:rPr>
            <w:rStyle w:val="Hyperlink"/>
            <w:rFonts w:ascii="宋体" w:hAnsi="宋体" w:cs="宋体" w:hint="eastAsia"/>
            <w:color w:val="auto"/>
            <w:highlight w:val="none"/>
          </w:rPr>
          <w:t>合同草案</w:t>
        </w:r>
        <w:r>
          <w:rPr>
            <w:rStyle w:val="Hyperlink"/>
            <w:rFonts w:ascii="宋体" w:hAnsi="宋体" w:cs="宋体"/>
            <w:color w:val="auto"/>
            <w:highlight w:val="none"/>
          </w:rPr>
          <w:tab/>
        </w:r>
      </w:hyperlink>
    </w:p>
    <w:p>
      <w:pPr>
        <w:pStyle w:val="TOC1"/>
        <w:tabs>
          <w:tab w:val="right" w:leader="middleDot" w:pos="8302"/>
        </w:tabs>
        <w:rPr>
          <w:rStyle w:val="Hyperlink"/>
          <w:rFonts w:ascii="宋体" w:hAnsi="宋体" w:cs="宋体"/>
          <w:color w:val="auto"/>
          <w:highlight w:val="none"/>
          <w:lang w:val="en-US"/>
        </w:rPr>
      </w:pPr>
      <w:hyperlink w:anchor="_Toc450552220" w:history="1">
        <w:r>
          <w:rPr>
            <w:rStyle w:val="Hyperlink"/>
            <w:rFonts w:ascii="宋体" w:hAnsi="宋体" w:cs="宋体" w:hint="eastAsia"/>
            <w:color w:val="auto"/>
            <w:highlight w:val="none"/>
          </w:rPr>
          <w:t>第五部分</w:t>
        </w:r>
        <w:r>
          <w:rPr>
            <w:rStyle w:val="Hyperlink"/>
            <w:rFonts w:ascii="宋体" w:hAnsi="宋体" w:cs="宋体"/>
            <w:color w:val="auto"/>
            <w:highlight w:val="none"/>
          </w:rPr>
          <w:t xml:space="preserve">  </w:t>
        </w:r>
        <w:r>
          <w:rPr>
            <w:rStyle w:val="Hyperlink"/>
            <w:rFonts w:ascii="宋体" w:hAnsi="宋体" w:cs="宋体" w:hint="eastAsia"/>
            <w:color w:val="auto"/>
            <w:highlight w:val="none"/>
          </w:rPr>
          <w:t>响应文件格式</w:t>
        </w:r>
        <w:r>
          <w:rPr>
            <w:rStyle w:val="Hyperlink"/>
            <w:rFonts w:ascii="宋体" w:hAnsi="宋体" w:cs="宋体"/>
            <w:color w:val="auto"/>
            <w:highlight w:val="none"/>
          </w:rPr>
          <w:tab/>
        </w:r>
      </w:hyperlink>
    </w:p>
    <w:p>
      <w:pPr>
        <w:pStyle w:val="TOC1"/>
        <w:tabs>
          <w:tab w:val="right" w:leader="middleDot" w:pos="8302"/>
        </w:tabs>
        <w:rPr>
          <w:rFonts w:eastAsia="仿宋_GB2312"/>
          <w:b/>
          <w:bCs/>
          <w:color w:val="auto"/>
          <w:spacing w:val="20"/>
          <w:w w:val="66"/>
          <w:sz w:val="28"/>
          <w:szCs w:val="28"/>
          <w:highlight w:val="none"/>
        </w:rPr>
      </w:pPr>
      <w:r>
        <w:rPr>
          <w:rFonts w:ascii="宋体" w:hAnsi="宋体" w:cs="宋体"/>
          <w:color w:val="auto"/>
          <w:highlight w:val="none"/>
        </w:rPr>
        <w:fldChar w:fldCharType="end"/>
      </w:r>
    </w:p>
    <w:p>
      <w:pPr>
        <w:tabs>
          <w:tab w:val="left" w:pos="3281"/>
          <w:tab w:val="center" w:pos="4711"/>
        </w:tabs>
        <w:jc w:val="center"/>
        <w:rPr>
          <w:rFonts w:eastAsia="仿宋_GB2312"/>
          <w:b/>
          <w:bCs/>
          <w:color w:val="auto"/>
          <w:spacing w:val="20"/>
          <w:w w:val="66"/>
          <w:sz w:val="44"/>
          <w:szCs w:val="44"/>
          <w:highlight w:val="none"/>
        </w:rPr>
      </w:pPr>
    </w:p>
    <w:p>
      <w:pPr>
        <w:tabs>
          <w:tab w:val="left" w:pos="3281"/>
          <w:tab w:val="center" w:pos="4711"/>
        </w:tabs>
        <w:jc w:val="cente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rPr>
          <w:rFonts w:eastAsia="仿宋_GB2312"/>
          <w:b/>
          <w:bCs/>
          <w:color w:val="auto"/>
          <w:spacing w:val="20"/>
          <w:w w:val="66"/>
          <w:sz w:val="44"/>
          <w:szCs w:val="44"/>
          <w:highlight w:val="none"/>
        </w:rPr>
      </w:pPr>
    </w:p>
    <w:p>
      <w:pPr>
        <w:spacing w:line="360" w:lineRule="auto"/>
        <w:jc w:val="both"/>
        <w:rPr>
          <w:rFonts w:ascii="宋体" w:hAnsi="宋体" w:cs="宋体" w:hint="eastAsia"/>
          <w:b/>
          <w:bCs/>
          <w:color w:val="auto"/>
          <w:sz w:val="24"/>
          <w:szCs w:val="24"/>
          <w:highlight w:val="none"/>
        </w:rPr>
      </w:pPr>
    </w:p>
    <w:p>
      <w:pPr>
        <w:spacing w:line="360" w:lineRule="auto"/>
        <w:jc w:val="both"/>
        <w:rPr>
          <w:rFonts w:ascii="宋体" w:hAnsi="宋体" w:cs="宋体" w:hint="eastAsia"/>
          <w:b/>
          <w:bCs/>
          <w:color w:val="auto"/>
          <w:sz w:val="24"/>
          <w:szCs w:val="24"/>
          <w:highlight w:val="none"/>
        </w:rPr>
      </w:pPr>
    </w:p>
    <w:p>
      <w:pPr>
        <w:spacing w:line="360" w:lineRule="auto"/>
        <w:jc w:val="both"/>
        <w:rPr>
          <w:rFonts w:ascii="宋体" w:hAnsi="宋体" w:cs="宋体" w:hint="eastAsia"/>
          <w:b/>
          <w:bCs/>
          <w:color w:val="auto"/>
          <w:sz w:val="24"/>
          <w:szCs w:val="24"/>
          <w:highlight w:val="none"/>
        </w:rPr>
      </w:pPr>
    </w:p>
    <w:p>
      <w:pPr>
        <w:spacing w:line="360" w:lineRule="auto"/>
        <w:jc w:val="both"/>
        <w:rPr>
          <w:rFonts w:ascii="宋体" w:hAnsi="宋体" w:cs="宋体" w:hint="eastAsia"/>
          <w:b/>
          <w:bCs/>
          <w:color w:val="auto"/>
          <w:sz w:val="24"/>
          <w:szCs w:val="24"/>
          <w:highlight w:val="none"/>
        </w:rPr>
      </w:pPr>
    </w:p>
    <w:p>
      <w:pPr>
        <w:spacing w:line="360" w:lineRule="auto"/>
        <w:jc w:val="center"/>
        <w:rPr>
          <w:rFonts w:ascii="宋体" w:hAnsi="宋体" w:cs="宋体" w:hint="eastAsia"/>
          <w:b/>
          <w:bCs/>
          <w:color w:val="auto"/>
          <w:sz w:val="24"/>
          <w:szCs w:val="24"/>
          <w:highlight w:val="none"/>
        </w:rPr>
        <w:sectPr>
          <w:headerReference w:type="default" r:id="rId6"/>
          <w:footerReference w:type="default" r:id="rId7"/>
          <w:pgSz w:w="11907" w:h="16840"/>
          <w:pgMar w:top="1440" w:right="1797" w:bottom="1440" w:left="1797" w:header="720" w:footer="720" w:gutter="0"/>
          <w:pgNumType w:fmt="decimal" w:start="1" w:chapStyle="0" w:chapSep="hyphen"/>
          <w:cols w:space="708"/>
          <w:docGrid w:linePitch="312"/>
        </w:sectPr>
      </w:pPr>
    </w:p>
    <w:p>
      <w:pPr>
        <w:spacing w:line="360" w:lineRule="auto"/>
        <w:jc w:val="center"/>
        <w:rPr>
          <w:rFonts w:ascii="宋体" w:hAnsi="宋体" w:cs="宋体" w:hint="eastAsia"/>
          <w:b/>
          <w:bCs/>
          <w:color w:val="auto"/>
          <w:sz w:val="24"/>
          <w:szCs w:val="24"/>
          <w:highlight w:val="none"/>
        </w:rPr>
      </w:pPr>
      <w:r>
        <w:rPr>
          <w:rFonts w:ascii="宋体" w:hAnsi="宋体" w:cs="宋体" w:hint="eastAsia"/>
          <w:b/>
          <w:bCs/>
          <w:color w:val="auto"/>
          <w:sz w:val="24"/>
          <w:szCs w:val="24"/>
          <w:highlight w:val="none"/>
        </w:rPr>
        <w:t>第一部分 磋商公告</w:t>
      </w:r>
    </w:p>
    <w:p>
      <w:pPr>
        <w:spacing w:line="360" w:lineRule="auto"/>
        <w:jc w:val="center"/>
        <w:rPr>
          <w:rFonts w:ascii="宋体" w:hAnsi="宋体" w:cs="宋体" w:hint="eastAsia"/>
          <w:b/>
          <w:bCs/>
          <w:color w:val="auto"/>
          <w:sz w:val="10"/>
          <w:szCs w:val="10"/>
          <w:highlight w:val="none"/>
        </w:rPr>
      </w:pPr>
    </w:p>
    <w:p>
      <w:pPr>
        <w:pStyle w:val="Default"/>
        <w:spacing w:line="360" w:lineRule="auto"/>
        <w:ind w:firstLine="480" w:firstLineChars="200"/>
        <w:jc w:val="both"/>
        <w:rPr>
          <w:rFonts w:ascii="宋体" w:eastAsia="宋体" w:hAnsi="宋体" w:cs="宋体" w:hint="eastAsia"/>
          <w:color w:val="auto"/>
          <w:kern w:val="2"/>
          <w:highlight w:val="none"/>
        </w:rPr>
      </w:pPr>
      <w:r>
        <w:rPr>
          <w:rFonts w:ascii="宋体" w:eastAsia="宋体" w:hAnsi="宋体" w:cs="宋体" w:hint="eastAsia"/>
          <w:color w:val="auto"/>
          <w:kern w:val="2"/>
          <w:highlight w:val="none"/>
        </w:rPr>
        <w:t>受</w:t>
      </w:r>
      <w:r>
        <w:rPr>
          <w:rFonts w:ascii="宋体" w:eastAsia="宋体" w:hAnsi="宋体" w:cs="宋体" w:hint="eastAsia"/>
          <w:color w:val="auto"/>
          <w:kern w:val="2"/>
          <w:highlight w:val="none"/>
          <w:lang w:eastAsia="zh-CN"/>
        </w:rPr>
        <w:t>天津市静海区第四小学的</w:t>
      </w:r>
      <w:r>
        <w:rPr>
          <w:rFonts w:ascii="宋体" w:eastAsia="宋体" w:hAnsi="宋体" w:cs="宋体" w:hint="eastAsia"/>
          <w:color w:val="auto"/>
          <w:kern w:val="2"/>
          <w:highlight w:val="none"/>
        </w:rPr>
        <w:t>委托，天津融尚招标代理有限公司将以</w:t>
      </w:r>
      <w:r>
        <w:rPr>
          <w:rFonts w:ascii="宋体" w:eastAsia="宋体" w:hAnsi="宋体" w:cs="宋体" w:hint="eastAsia"/>
          <w:color w:val="auto"/>
          <w:kern w:val="2"/>
          <w:highlight w:val="none"/>
          <w:lang w:eastAsia="zh-CN"/>
        </w:rPr>
        <w:t>竞争性磋商</w:t>
      </w:r>
      <w:r>
        <w:rPr>
          <w:rFonts w:ascii="宋体" w:eastAsia="宋体" w:hAnsi="宋体" w:cs="宋体" w:hint="eastAsia"/>
          <w:color w:val="auto"/>
          <w:kern w:val="2"/>
          <w:highlight w:val="none"/>
        </w:rPr>
        <w:t>方式，对</w:t>
      </w:r>
      <w:r>
        <w:rPr>
          <w:rFonts w:ascii="宋体" w:eastAsia="宋体" w:hAnsi="宋体" w:cs="宋体" w:hint="eastAsia"/>
          <w:color w:val="auto"/>
          <w:kern w:val="2"/>
          <w:highlight w:val="none"/>
          <w:lang w:eastAsia="zh-CN"/>
        </w:rPr>
        <w:t>天津市静海区第四小学操场改造工程</w:t>
      </w:r>
      <w:r>
        <w:rPr>
          <w:rFonts w:ascii="宋体" w:eastAsia="宋体" w:hAnsi="宋体" w:cs="宋体" w:hint="eastAsia"/>
          <w:color w:val="auto"/>
          <w:kern w:val="2"/>
          <w:highlight w:val="none"/>
        </w:rPr>
        <w:t>实施政府采购。现欢迎合格的供应商参加</w:t>
      </w:r>
      <w:r>
        <w:rPr>
          <w:rFonts w:ascii="宋体" w:eastAsia="宋体" w:hAnsi="宋体" w:cs="宋体" w:hint="eastAsia"/>
          <w:color w:val="auto"/>
          <w:kern w:val="2"/>
          <w:highlight w:val="none"/>
          <w:lang w:eastAsia="zh-CN"/>
        </w:rPr>
        <w:t>磋商</w:t>
      </w:r>
      <w:r>
        <w:rPr>
          <w:rFonts w:ascii="宋体" w:eastAsia="宋体" w:hAnsi="宋体" w:cs="宋体" w:hint="eastAsia"/>
          <w:color w:val="auto"/>
          <w:kern w:val="2"/>
          <w:highlight w:val="none"/>
        </w:rPr>
        <w:t xml:space="preserve">。 </w:t>
      </w:r>
      <w:r>
        <w:rPr>
          <w:rFonts w:ascii="宋体" w:eastAsia="宋体" w:hAnsi="宋体" w:cs="宋体" w:hint="eastAsia"/>
          <w:color w:val="auto"/>
          <w:kern w:val="2"/>
          <w:highlight w:val="none"/>
          <w:lang w:val="en-US" w:eastAsia="zh-CN"/>
        </w:rPr>
        <w:t xml:space="preserve"> </w:t>
      </w:r>
    </w:p>
    <w:p>
      <w:pPr>
        <w:pStyle w:val="Default"/>
        <w:spacing w:line="360" w:lineRule="auto"/>
        <w:jc w:val="both"/>
        <w:rPr>
          <w:rFonts w:ascii="宋体" w:eastAsia="宋体" w:hAnsi="宋体" w:cs="宋体" w:hint="eastAsia"/>
          <w:b/>
          <w:bCs/>
          <w:color w:val="auto"/>
          <w:kern w:val="2"/>
          <w:highlight w:val="none"/>
        </w:rPr>
      </w:pPr>
      <w:r>
        <w:rPr>
          <w:rFonts w:ascii="宋体" w:eastAsia="宋体" w:hAnsi="宋体" w:cs="宋体" w:hint="eastAsia"/>
          <w:b/>
          <w:bCs/>
          <w:color w:val="auto"/>
          <w:kern w:val="2"/>
          <w:sz w:val="24"/>
          <w:szCs w:val="24"/>
          <w:highlight w:val="none"/>
        </w:rPr>
        <w:t>一、项目名称和编号</w:t>
      </w:r>
    </w:p>
    <w:p>
      <w:pPr>
        <w:pStyle w:val="Default"/>
        <w:spacing w:line="360" w:lineRule="auto"/>
        <w:jc w:val="both"/>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项目名称：</w:t>
      </w:r>
      <w:r>
        <w:rPr>
          <w:rFonts w:ascii="宋体" w:eastAsia="宋体" w:hAnsi="宋体" w:cs="宋体" w:hint="eastAsia"/>
          <w:color w:val="auto"/>
          <w:kern w:val="2"/>
          <w:highlight w:val="none"/>
          <w:lang w:eastAsia="zh-CN"/>
        </w:rPr>
        <w:t>天津市静海区第四小学操场改造工程</w:t>
      </w:r>
    </w:p>
    <w:p>
      <w:pPr>
        <w:pStyle w:val="Default"/>
        <w:spacing w:line="360" w:lineRule="auto"/>
        <w:jc w:val="both"/>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项目编号：</w:t>
      </w:r>
      <w:r>
        <w:rPr>
          <w:rFonts w:ascii="宋体" w:eastAsia="宋体" w:hAnsi="宋体" w:cs="宋体" w:hint="eastAsia"/>
          <w:color w:val="auto"/>
          <w:kern w:val="2"/>
          <w:highlight w:val="none"/>
          <w:lang w:eastAsia="zh-CN"/>
        </w:rPr>
        <w:t>RSGS-JH--</w:t>
      </w:r>
    </w:p>
    <w:p>
      <w:pPr>
        <w:pStyle w:val="Default"/>
        <w:spacing w:line="360" w:lineRule="auto"/>
        <w:jc w:val="both"/>
        <w:rPr>
          <w:rFonts w:ascii="宋体" w:eastAsia="宋体" w:hAnsi="宋体" w:cs="宋体" w:hint="eastAsia"/>
          <w:b/>
          <w:bCs/>
          <w:color w:val="auto"/>
          <w:kern w:val="2"/>
          <w:highlight w:val="none"/>
        </w:rPr>
      </w:pPr>
      <w:r>
        <w:rPr>
          <w:rFonts w:ascii="宋体" w:eastAsia="宋体" w:hAnsi="宋体" w:cs="宋体" w:hint="eastAsia"/>
          <w:b/>
          <w:bCs/>
          <w:color w:val="auto"/>
          <w:kern w:val="2"/>
          <w:sz w:val="24"/>
          <w:szCs w:val="24"/>
          <w:highlight w:val="none"/>
        </w:rPr>
        <w:t>二、项目内容</w:t>
      </w:r>
    </w:p>
    <w:p>
      <w:pPr>
        <w:pStyle w:val="Default"/>
        <w:spacing w:line="360" w:lineRule="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项目内容：</w:t>
      </w:r>
      <w:r>
        <w:rPr>
          <w:rFonts w:ascii="宋体" w:eastAsia="宋体" w:hAnsi="宋体" w:cs="宋体" w:hint="eastAsia"/>
          <w:color w:val="auto"/>
          <w:kern w:val="2"/>
          <w:highlight w:val="none"/>
          <w:lang w:eastAsia="zh-CN"/>
        </w:rPr>
        <w:t>静海区第四小学操场改造</w:t>
      </w:r>
      <w:r>
        <w:rPr>
          <w:rFonts w:ascii="宋体" w:eastAsia="宋体" w:hAnsi="宋体" w:cs="宋体" w:hint="eastAsia"/>
          <w:bCs/>
          <w:color w:val="auto"/>
          <w:kern w:val="2"/>
          <w:highlight w:val="none"/>
        </w:rPr>
        <w:t>。</w:t>
      </w:r>
      <w:r>
        <w:rPr>
          <w:rFonts w:ascii="宋体" w:eastAsia="宋体" w:hAnsi="宋体" w:cs="宋体" w:hint="eastAsia"/>
          <w:color w:val="auto"/>
          <w:kern w:val="2"/>
          <w:highlight w:val="none"/>
        </w:rPr>
        <w:t xml:space="preserve"> </w:t>
      </w:r>
    </w:p>
    <w:p>
      <w:pPr>
        <w:pStyle w:val="Default"/>
        <w:spacing w:line="360" w:lineRule="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.本项目不接受外资或外资参、控股企业投标</w:t>
      </w:r>
      <w:r>
        <w:rPr>
          <w:rFonts w:ascii="宋体" w:eastAsia="宋体" w:hAnsi="宋体" w:cs="宋体" w:hint="eastAsia"/>
          <w:color w:val="auto"/>
          <w:kern w:val="2"/>
          <w:highlight w:val="none"/>
          <w:lang w:eastAsia="zh-CN"/>
        </w:rPr>
        <w:t>。</w:t>
      </w:r>
    </w:p>
    <w:tbl>
      <w:tblPr>
        <w:tblStyle w:val="TableNormal"/>
        <w:jc w:val="center"/>
        <w:tblBorders>
          <w:top w:val="outset" w:sz="6" w:space="0" w:color="AAAAAA"/>
          <w:left w:val="outset" w:sz="6" w:space="0" w:color="AAAAAA"/>
          <w:bottom w:val="outset" w:sz="6" w:space="0" w:color="AAAAAA"/>
          <w:right w:val="outset" w:sz="6" w:space="0" w:color="AAAAAA"/>
          <w:insideH w:val="none" w:sz="0" w:space="0" w:color="auto"/>
          <w:insideV w:val="none" w:sz="0" w:space="0" w:color="auto"/>
        </w:tblBorders>
        <w:tblLayout w:type="fixed"/>
        <w:tblCellMar>
          <w:top w:w="60" w:type="dxa"/>
          <w:left w:w="60" w:type="dxa"/>
          <w:bottom w:w="60" w:type="dxa"/>
          <w:right w:w="60" w:type="dxa"/>
        </w:tblCellMar>
        <w:tblLook w:val="0000"/>
      </w:tblPr>
      <w:tblGrid>
        <w:gridCol w:w="1011"/>
        <w:gridCol w:w="1980"/>
        <w:gridCol w:w="4245"/>
        <w:gridCol w:w="1744"/>
      </w:tblGrid>
      <w:tr>
        <w:tblPrEx>
          <w:jc w:val="center"/>
          <w:tblBorders>
            <w:top w:val="outset" w:sz="6" w:space="0" w:color="AAAAAA"/>
            <w:left w:val="outset" w:sz="6" w:space="0" w:color="AAAAAA"/>
            <w:bottom w:val="outset" w:sz="6" w:space="0" w:color="AAAAAA"/>
            <w:right w:val="outset" w:sz="6" w:space="0" w:color="AAAAAA"/>
            <w:insideH w:val="none" w:sz="0" w:space="0" w:color="auto"/>
            <w:insideV w:val="none" w:sz="0" w:space="0" w:color="auto"/>
          </w:tblBorders>
          <w:tblLayout w:type="fixed"/>
          <w:tblCellMar>
            <w:top w:w="60" w:type="dxa"/>
            <w:left w:w="60" w:type="dxa"/>
            <w:bottom w:w="60" w:type="dxa"/>
            <w:right w:w="60" w:type="dxa"/>
          </w:tblCellMar>
          <w:tblLook w:val="0000"/>
        </w:tblPrEx>
        <w:trPr>
          <w:trHeight w:val="344"/>
          <w:jc w:val="center"/>
        </w:trPr>
        <w:tc>
          <w:tcPr>
            <w:tcW w:w="1011" w:type="dxa"/>
            <w:tcBorders>
              <w:top w:val="outset" w:sz="6" w:space="0" w:color="AAAAAA"/>
              <w:left w:val="outset" w:sz="6" w:space="0" w:color="AAAAAA"/>
              <w:bottom w:val="outset" w:sz="6" w:space="0" w:color="AAAAAA"/>
              <w:right w:val="outset" w:sz="6" w:space="0" w:color="AAAAAA"/>
            </w:tcBorders>
            <w:shd w:val="clear" w:color="auto" w:fill="ABCDEF"/>
            <w:vAlign w:val="center"/>
          </w:tcPr>
          <w:p>
            <w:pPr>
              <w:jc w:val="center"/>
              <w:rPr>
                <w:rFonts w:ascii="宋体" w:hAnsi="宋体" w:cs="宋体"/>
                <w:color w:val="auto"/>
                <w:sz w:val="20"/>
                <w:highlight w:val="none"/>
              </w:rPr>
            </w:pPr>
            <w:r>
              <w:rPr>
                <w:rFonts w:ascii="宋体" w:hAnsi="宋体" w:cs="宋体"/>
                <w:color w:val="auto"/>
                <w:sz w:val="20"/>
                <w:highlight w:val="none"/>
              </w:rPr>
              <w:t>包号</w:t>
            </w:r>
          </w:p>
        </w:tc>
        <w:tc>
          <w:tcPr>
            <w:tcW w:w="1980" w:type="dxa"/>
            <w:tcBorders>
              <w:top w:val="outset" w:sz="6" w:space="0" w:color="AAAAAA"/>
              <w:left w:val="outset" w:sz="6" w:space="0" w:color="AAAAAA"/>
              <w:bottom w:val="outset" w:sz="6" w:space="0" w:color="AAAAAA"/>
              <w:right w:val="outset" w:sz="6" w:space="0" w:color="AAAAAA"/>
            </w:tcBorders>
            <w:shd w:val="clear" w:color="auto" w:fill="ABCDEF"/>
            <w:vAlign w:val="center"/>
          </w:tcPr>
          <w:p>
            <w:pPr>
              <w:jc w:val="center"/>
              <w:rPr>
                <w:rFonts w:ascii="宋体" w:hAnsi="宋体" w:cs="宋体"/>
                <w:color w:val="auto"/>
                <w:sz w:val="20"/>
                <w:highlight w:val="none"/>
              </w:rPr>
            </w:pPr>
            <w:r>
              <w:rPr>
                <w:rFonts w:ascii="宋体" w:hAnsi="宋体" w:cs="宋体"/>
                <w:color w:val="auto"/>
                <w:sz w:val="20"/>
                <w:highlight w:val="none"/>
              </w:rPr>
              <w:t>采购目录</w:t>
            </w:r>
          </w:p>
        </w:tc>
        <w:tc>
          <w:tcPr>
            <w:tcW w:w="4245" w:type="dxa"/>
            <w:tcBorders>
              <w:top w:val="outset" w:sz="6" w:space="0" w:color="AAAAAA"/>
              <w:left w:val="outset" w:sz="6" w:space="0" w:color="AAAAAA"/>
              <w:bottom w:val="outset" w:sz="6" w:space="0" w:color="AAAAAA"/>
              <w:right w:val="outset" w:sz="6" w:space="0" w:color="AAAAAA"/>
            </w:tcBorders>
            <w:shd w:val="clear" w:color="auto" w:fill="ABCDEF"/>
            <w:vAlign w:val="center"/>
          </w:tcPr>
          <w:p>
            <w:pPr>
              <w:jc w:val="center"/>
              <w:rPr>
                <w:rFonts w:ascii="宋体" w:hAnsi="宋体" w:cs="宋体"/>
                <w:color w:val="auto"/>
                <w:sz w:val="20"/>
                <w:highlight w:val="none"/>
              </w:rPr>
            </w:pPr>
            <w:r>
              <w:rPr>
                <w:rFonts w:ascii="宋体" w:hAnsi="宋体" w:cs="宋体"/>
                <w:color w:val="auto"/>
                <w:sz w:val="20"/>
                <w:highlight w:val="none"/>
              </w:rPr>
              <w:t>简要技术要求</w:t>
            </w:r>
          </w:p>
        </w:tc>
        <w:tc>
          <w:tcPr>
            <w:tcW w:w="1744" w:type="dxa"/>
            <w:tcBorders>
              <w:top w:val="outset" w:sz="6" w:space="0" w:color="AAAAAA"/>
              <w:left w:val="outset" w:sz="6" w:space="0" w:color="AAAAAA"/>
              <w:bottom w:val="outset" w:sz="6" w:space="0" w:color="AAAAAA"/>
              <w:right w:val="outset" w:sz="6" w:space="0" w:color="AAAAAA"/>
            </w:tcBorders>
            <w:shd w:val="clear" w:color="auto" w:fill="ABCDEF"/>
            <w:vAlign w:val="center"/>
          </w:tcPr>
          <w:p>
            <w:pPr>
              <w:jc w:val="center"/>
              <w:rPr>
                <w:rFonts w:ascii="宋体" w:hAnsi="宋体" w:cs="宋体"/>
                <w:color w:val="auto"/>
                <w:sz w:val="20"/>
                <w:highlight w:val="none"/>
              </w:rPr>
            </w:pPr>
            <w:r>
              <w:rPr>
                <w:rFonts w:ascii="宋体" w:hAnsi="宋体" w:cs="宋体"/>
                <w:color w:val="auto"/>
                <w:sz w:val="20"/>
                <w:highlight w:val="none"/>
              </w:rPr>
              <w:t>预算(万元)</w:t>
            </w:r>
          </w:p>
        </w:tc>
      </w:tr>
      <w:tr>
        <w:tblPrEx>
          <w:jc w:val="center"/>
          <w:tblLayout w:type="fixed"/>
          <w:tblCellMar>
            <w:top w:w="60" w:type="dxa"/>
            <w:left w:w="60" w:type="dxa"/>
            <w:bottom w:w="60" w:type="dxa"/>
            <w:right w:w="60" w:type="dxa"/>
          </w:tblCellMar>
          <w:tblLook w:val="0000"/>
        </w:tblPrEx>
        <w:trPr>
          <w:trHeight w:val="502"/>
          <w:jc w:val="center"/>
        </w:trPr>
        <w:tc>
          <w:tcPr>
            <w:tcW w:w="1011" w:type="dxa"/>
            <w:tcBorders>
              <w:top w:val="outset" w:sz="6" w:space="0" w:color="AAAAAA"/>
              <w:left w:val="outset" w:sz="6" w:space="0" w:color="AAAAAA"/>
              <w:bottom w:val="outset" w:sz="6" w:space="0" w:color="AAAAAA"/>
              <w:right w:val="outset" w:sz="6" w:space="0" w:color="AAAAAA"/>
            </w:tcBorders>
            <w:vAlign w:val="center"/>
          </w:tcPr>
          <w:p>
            <w:pPr>
              <w:jc w:val="center"/>
              <w:rPr>
                <w:rFonts w:ascii="宋体" w:hAnsi="宋体" w:cs="宋体"/>
                <w:color w:val="auto"/>
                <w:sz w:val="20"/>
                <w:highlight w:val="none"/>
              </w:rPr>
            </w:pPr>
            <w:r>
              <w:rPr>
                <w:rFonts w:ascii="宋体" w:hAnsi="宋体" w:cs="宋体"/>
                <w:color w:val="auto"/>
                <w:sz w:val="20"/>
                <w:highlight w:val="none"/>
              </w:rPr>
              <w:t>第包</w:t>
            </w:r>
          </w:p>
        </w:tc>
        <w:tc>
          <w:tcPr>
            <w:tcW w:w="1980" w:type="dxa"/>
            <w:tcBorders>
              <w:top w:val="outset" w:sz="6" w:space="0" w:color="AAAAAA"/>
              <w:left w:val="outset" w:sz="6" w:space="0" w:color="AAAAAA"/>
              <w:bottom w:val="outset" w:sz="6" w:space="0" w:color="AAAAAA"/>
              <w:right w:val="outset" w:sz="6" w:space="0" w:color="AAAAAA"/>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hAnsi="宋体" w:cs="宋体" w:hint="eastAsia"/>
                <w:color w:val="auto"/>
                <w:sz w:val="20"/>
                <w:szCs w:val="22"/>
                <w:highlight w:val="none"/>
              </w:rPr>
            </w:pPr>
            <w:r>
              <w:rPr>
                <w:rFonts w:ascii="宋体" w:eastAsia="宋体" w:hAnsi="宋体" w:cs="宋体" w:hint="eastAsia"/>
                <w:color w:val="auto"/>
                <w:kern w:val="2"/>
                <w:highlight w:val="none"/>
                <w:lang w:eastAsia="zh-CN"/>
              </w:rPr>
              <w:t>静海区第四小学操场改造</w:t>
            </w:r>
          </w:p>
        </w:tc>
        <w:tc>
          <w:tcPr>
            <w:tcW w:w="4245" w:type="dxa"/>
            <w:tcBorders>
              <w:top w:val="outset" w:sz="6" w:space="0" w:color="AAAAAA"/>
              <w:left w:val="outset" w:sz="6" w:space="0" w:color="AAAAAA"/>
              <w:bottom w:val="outset" w:sz="6" w:space="0" w:color="AAAAAA"/>
              <w:right w:val="outset" w:sz="6" w:space="0" w:color="AAAAAA"/>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rPr>
            </w:pPr>
            <w:r>
              <w:rPr>
                <w:rFonts w:hint="eastAsia"/>
              </w:rPr>
              <w:t>符合T/－C-《学校运动场地塑胶面层有害物质限量》，其检测的项指标全部未检出的产品质量检测报告；提供通标标准技术服务有限公司（SGS）对液体材料（聚氨酯粘合剂）的甲醛、苯、甲苯二甲苯、可溶性重金属、挥发性有机化合物、游离TDI、短链氯化石蜡、邻苯二甲酸酯类化合物、MOCA 项符合的产品质量检测报告；由石油和化工工业新材料与制品质量监督检验中心青岛中化新材料实验室检验研究中心出具的对运动场地聚氨酯合成材料对硬度、拉伸强度、撕裂强度、冲击吸收等项指标全部合格的产品质量检测</w:t>
            </w:r>
            <w:r>
              <w:rPr>
                <w:rFonts w:hint="eastAsia"/>
                <w:lang w:eastAsia="zh-CN"/>
              </w:rPr>
              <w:t>。</w:t>
            </w:r>
            <w:r>
              <w:rPr>
                <w:rFonts w:hint="eastAsia"/>
                <w:lang w:val="en-US" w:eastAsia="zh-CN"/>
              </w:rPr>
              <w:t>所有材料提供检测报告</w:t>
            </w:r>
          </w:p>
        </w:tc>
        <w:tc>
          <w:tcPr>
            <w:tcW w:w="1744" w:type="dxa"/>
            <w:tcBorders>
              <w:top w:val="outset" w:sz="6" w:space="0" w:color="AAAAAA"/>
              <w:left w:val="outset" w:sz="6" w:space="0" w:color="AAAAAA"/>
              <w:bottom w:val="outset" w:sz="6" w:space="0" w:color="AAAAAA"/>
              <w:right w:val="outset" w:sz="6" w:space="0" w:color="AAAAAA"/>
            </w:tcBorders>
            <w:vAlign w:val="center"/>
          </w:tcPr>
          <w:p>
            <w:pPr>
              <w:jc w:val="center"/>
              <w:rPr>
                <w:rFonts w:ascii="宋体" w:hAnsi="宋体" w:cs="宋体" w:hint="eastAsia"/>
                <w:color w:val="auto"/>
                <w:sz w:val="20"/>
                <w:szCs w:val="22"/>
                <w:highlight w:val="none"/>
              </w:rPr>
            </w:pPr>
            <w:r>
              <w:rPr>
                <w:rFonts w:ascii="宋体" w:hAnsi="宋体" w:cs="宋体" w:hint="eastAsia"/>
                <w:color w:val="auto"/>
                <w:sz w:val="20"/>
                <w:szCs w:val="22"/>
                <w:highlight w:val="none"/>
                <w:lang w:val="en-US" w:eastAsia="zh-CN"/>
              </w:rPr>
              <w:t>.</w:t>
            </w:r>
          </w:p>
        </w:tc>
      </w:tr>
    </w:tbl>
    <w:p>
      <w:pPr>
        <w:pStyle w:val="Default"/>
        <w:spacing w:line="360" w:lineRule="auto"/>
        <w:rPr>
          <w:rFonts w:ascii="宋体" w:eastAsia="宋体" w:hAnsi="宋体" w:cs="宋体" w:hint="eastAsia"/>
          <w:b/>
          <w:bCs/>
          <w:color w:val="auto"/>
          <w:kern w:val="2"/>
          <w:highlight w:val="none"/>
        </w:rPr>
      </w:pPr>
      <w:r>
        <w:rPr>
          <w:rFonts w:ascii="宋体" w:eastAsia="宋体" w:hAnsi="宋体" w:cs="宋体" w:hint="eastAsia"/>
          <w:b/>
          <w:bCs/>
          <w:color w:val="auto"/>
          <w:kern w:val="2"/>
          <w:sz w:val="24"/>
          <w:szCs w:val="24"/>
          <w:highlight w:val="none"/>
        </w:rPr>
        <w:t>三、项目预算</w:t>
      </w:r>
    </w:p>
    <w:p>
      <w:pPr>
        <w:pStyle w:val="Default"/>
        <w:keepNext w:val="0"/>
        <w:keepLines w:val="0"/>
        <w:pageBreakBefore w:val="0"/>
        <w:widowControl w:val="0"/>
        <w:kinsoku/>
        <w:overflowPunct/>
        <w:topLinePunct w:val="0"/>
        <w:bidi w:val="0"/>
        <w:snapToGrid/>
        <w:spacing w:line="360" w:lineRule="auto"/>
        <w:ind w:right="0" w:rightChars="0"/>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.万</w:t>
      </w:r>
      <w:r>
        <w:rPr>
          <w:rFonts w:ascii="宋体" w:eastAsia="宋体" w:hAnsi="宋体" w:cs="宋体" w:hint="eastAsia"/>
          <w:color w:val="auto"/>
          <w:kern w:val="2"/>
          <w:highlight w:val="none"/>
        </w:rPr>
        <w:t>元</w:t>
      </w:r>
    </w:p>
    <w:p>
      <w:pPr>
        <w:pStyle w:val="Default"/>
        <w:keepNext w:val="0"/>
        <w:keepLines w:val="0"/>
        <w:pageBreakBefore w:val="0"/>
        <w:widowControl w:val="0"/>
        <w:kinsoku/>
        <w:overflowPunct/>
        <w:topLinePunct w:val="0"/>
        <w:bidi w:val="0"/>
        <w:snapToGrid/>
        <w:spacing w:line="360" w:lineRule="auto"/>
        <w:ind w:left="0" w:right="0" w:leftChars="0" w:rightChars="0"/>
        <w:textAlignment w:val="auto"/>
        <w:rPr>
          <w:rFonts w:ascii="宋体" w:eastAsia="宋体" w:hAnsi="宋体" w:cs="宋体" w:hint="eastAsia"/>
          <w:color w:val="auto"/>
          <w:kern w:val="2"/>
          <w:highlight w:val="none"/>
        </w:rPr>
      </w:pPr>
      <w:r>
        <w:rPr>
          <w:rFonts w:ascii="宋体" w:eastAsia="宋体" w:hAnsi="宋体" w:cs="宋体" w:hint="eastAsia"/>
          <w:b/>
          <w:bCs/>
          <w:color w:val="auto"/>
          <w:kern w:val="2"/>
          <w:sz w:val="24"/>
          <w:szCs w:val="24"/>
          <w:highlight w:val="none"/>
          <w:lang w:eastAsia="zh-CN"/>
        </w:rPr>
        <w:t>四、</w:t>
      </w:r>
      <w:r>
        <w:rPr>
          <w:rFonts w:ascii="宋体" w:eastAsia="宋体" w:hAnsi="宋体" w:cs="宋体" w:hint="eastAsia"/>
          <w:b/>
          <w:bCs/>
          <w:color w:val="auto"/>
          <w:kern w:val="2"/>
          <w:sz w:val="24"/>
          <w:szCs w:val="24"/>
          <w:highlight w:val="none"/>
        </w:rPr>
        <w:t>项目需要落实的政府采购政策</w:t>
      </w:r>
      <w:r>
        <w:rPr>
          <w:rFonts w:ascii="宋体" w:eastAsia="宋体" w:hAnsi="宋体" w:cs="宋体" w:hint="eastAsia"/>
          <w:color w:val="auto"/>
          <w:kern w:val="2"/>
          <w:sz w:val="24"/>
          <w:szCs w:val="24"/>
          <w:highlight w:val="none"/>
        </w:rPr>
        <w:t>：</w:t>
      </w: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sectPr>
          <w:headerReference w:type="default" r:id="rId8"/>
          <w:footerReference w:type="default" r:id="rId9"/>
          <w:type w:val="nextPage"/>
          <w:pgSz w:w="11907" w:h="16840"/>
          <w:pgMar w:top="1440" w:right="1797" w:bottom="1440" w:left="1797" w:header="720" w:footer="720" w:gutter="0"/>
          <w:pgNumType w:fmt="decimal" w:start="1"/>
          <w:cols w:space="708"/>
          <w:docGrid w:linePitch="312" w:charSpace="0"/>
        </w:sectPr>
      </w:pP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pPr>
      <w:r>
        <w:rPr>
          <w:rFonts w:ascii="宋体" w:eastAsia="宋体" w:hAnsi="宋体" w:cs="宋体" w:hint="eastAsia"/>
          <w:color w:val="auto"/>
          <w:kern w:val="2"/>
          <w:highlight w:val="none"/>
        </w:rPr>
        <w:t>（一）按照国家节能环保政策执行，按照现行《财政部、国家发展改革委关于调整节能产品政府采购清单的通知》文件要求，对政府采购清单中的节能产品采用优先采购和强制采购的评标方法。按照现行《财政部、环保部关于调整环境标志产品政府采购清单的通知》文件要求，对政府采购清单中的环境标志产品采用优先采购的评标方法。</w:t>
      </w: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pPr>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eastAsia="zh-CN"/>
        </w:rPr>
        <w:t>二</w:t>
      </w:r>
      <w:r>
        <w:rPr>
          <w:rFonts w:ascii="宋体" w:eastAsia="宋体" w:hAnsi="宋体" w:cs="宋体" w:hint="eastAsia"/>
          <w:color w:val="auto"/>
          <w:kern w:val="2"/>
          <w:highlight w:val="none"/>
        </w:rPr>
        <w:t>）根据财政部发布的《政府采购促进中小企业发展暂行办法》规定，对于非专门面向中小企业的项目，对小型和微型企业产品的价格给予%的扣除。</w:t>
      </w: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pPr>
      <w:bookmarkStart w:id="0" w:name="_Toc445921569"/>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eastAsia="zh-CN"/>
        </w:rPr>
        <w:t>三</w:t>
      </w:r>
      <w:r>
        <w:rPr>
          <w:rFonts w:ascii="宋体" w:eastAsia="宋体" w:hAnsi="宋体" w:cs="宋体" w:hint="eastAsia"/>
          <w:color w:val="auto"/>
          <w:kern w:val="2"/>
          <w:highlight w:val="none"/>
        </w:rPr>
        <w:t>）根据财政部发布的《关于政府采购支持监狱企业发展有关问题的通知》规定，本项目对监狱企业产品的价格给予%的扣除。</w:t>
      </w: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pPr>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eastAsia="zh-CN"/>
        </w:rPr>
        <w:t>四</w:t>
      </w:r>
      <w:r>
        <w:rPr>
          <w:rFonts w:ascii="宋体" w:eastAsia="宋体" w:hAnsi="宋体" w:cs="宋体" w:hint="eastAsia"/>
          <w:color w:val="auto"/>
          <w:kern w:val="2"/>
          <w:highlight w:val="none"/>
        </w:rPr>
        <w:t>）根据财政部、民政部、中国残疾人联合会发布的《关于促进残疾人就业政府采购政策的通知》规定，本项目对残疾人福利性单位产品的价格给予%的扣除。</w:t>
      </w:r>
    </w:p>
    <w:p>
      <w:pPr>
        <w:pStyle w:val="Default"/>
        <w:keepNext w:val="0"/>
        <w:keepLines w:val="0"/>
        <w:pageBreakBefore w:val="0"/>
        <w:widowControl w:val="0"/>
        <w:kinsoku/>
        <w:wordWrap/>
        <w:overflowPunct/>
        <w:topLinePunct w:val="0"/>
        <w:bidi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2"/>
          <w:highlight w:val="none"/>
        </w:rPr>
      </w:pPr>
      <w:r>
        <w:rPr>
          <w:rFonts w:ascii="宋体" w:eastAsia="宋体" w:hAnsi="宋体" w:cs="宋体" w:hint="eastAsia"/>
          <w:color w:val="auto"/>
          <w:kern w:val="2"/>
          <w:highlight w:val="none"/>
        </w:rPr>
        <w:t>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pPr>
        <w:pStyle w:val="Default"/>
        <w:keepNext w:val="0"/>
        <w:keepLines w:val="0"/>
        <w:pageBreakBefore w:val="0"/>
        <w:widowControl w:val="0"/>
        <w:kinsoku/>
        <w:wordWrap/>
        <w:overflowPunct/>
        <w:topLinePunct w:val="0"/>
        <w:bidi w:val="0"/>
        <w:snapToGrid/>
        <w:spacing w:line="360" w:lineRule="auto"/>
        <w:ind w:right="0" w:rightChars="0"/>
        <w:jc w:val="both"/>
        <w:textAlignment w:val="auto"/>
        <w:outlineLvl w:val="9"/>
        <w:rPr>
          <w:rFonts w:ascii="宋体" w:eastAsia="宋体" w:hAnsi="宋体" w:cs="宋体" w:hint="eastAsia"/>
          <w:color w:val="auto"/>
          <w:kern w:val="2"/>
          <w:highlight w:val="none"/>
        </w:rPr>
      </w:pPr>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eastAsia="zh-CN"/>
        </w:rPr>
        <w:t>五</w:t>
      </w:r>
      <w:r>
        <w:rPr>
          <w:rFonts w:ascii="宋体" w:eastAsia="宋体" w:hAnsi="宋体" w:cs="宋体" w:hint="eastAsia"/>
          <w:color w:val="auto"/>
          <w:kern w:val="2"/>
          <w:highlight w:val="none"/>
        </w:rPr>
        <w:t>）按照《财政部关于在政府采购活动中查询及使用信用记录有关问题的通知》（财库〔〕号）的要求，根据开标当日</w:t>
      </w:r>
      <w:r>
        <w:rPr>
          <w:rFonts w:ascii="宋体" w:eastAsia="宋体" w:hAnsi="宋体" w:cs="宋体" w:hint="eastAsia"/>
          <w:color w:val="auto"/>
          <w:kern w:val="2"/>
          <w:highlight w:val="none"/>
        </w:rPr>
        <w:t>“</w:t>
      </w:r>
      <w:r>
        <w:rPr>
          <w:rFonts w:ascii="宋体" w:eastAsia="宋体" w:hAnsi="宋体" w:cs="宋体" w:hint="eastAsia"/>
          <w:color w:val="auto"/>
          <w:kern w:val="2"/>
          <w:highlight w:val="none"/>
        </w:rPr>
        <w:t>信用中国</w:t>
      </w:r>
      <w:r>
        <w:rPr>
          <w:rFonts w:ascii="宋体" w:eastAsia="宋体" w:hAnsi="宋体" w:cs="宋体" w:hint="eastAsia"/>
          <w:color w:val="auto"/>
          <w:kern w:val="2"/>
          <w:highlight w:val="none"/>
        </w:rPr>
        <w:t>”</w:t>
      </w:r>
      <w:r>
        <w:rPr>
          <w:rFonts w:ascii="宋体" w:eastAsia="宋体" w:hAnsi="宋体" w:cs="宋体" w:hint="eastAsia"/>
          <w:color w:val="auto"/>
          <w:kern w:val="2"/>
          <w:highlight w:val="none"/>
        </w:rPr>
        <w:t>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pPr>
        <w:pStyle w:val="Default"/>
        <w:keepNext w:val="0"/>
        <w:keepLines w:val="0"/>
        <w:pageBreakBefore w:val="0"/>
        <w:widowControl w:val="0"/>
        <w:numPr>
          <w:ilvl w:val="0"/>
          <w:numId w:val="0"/>
        </w:numPr>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bookmarkEnd w:id="0"/>
      <w:r>
        <w:rPr>
          <w:rFonts w:ascii="宋体" w:eastAsia="宋体" w:hAnsi="宋体" w:cs="宋体" w:hint="eastAsia"/>
          <w:b/>
          <w:bCs/>
          <w:color w:val="auto"/>
          <w:kern w:val="2"/>
          <w:highlight w:val="none"/>
          <w:lang w:eastAsia="zh-CN"/>
        </w:rPr>
        <w:t>五、</w:t>
      </w:r>
      <w:r>
        <w:rPr>
          <w:rFonts w:ascii="宋体" w:eastAsia="宋体" w:hAnsi="宋体" w:cs="宋体" w:hint="eastAsia"/>
          <w:b/>
          <w:bCs/>
          <w:color w:val="auto"/>
          <w:kern w:val="2"/>
          <w:highlight w:val="none"/>
        </w:rPr>
        <w:t>供应商资格要求</w:t>
      </w:r>
      <w:r>
        <w:rPr>
          <w:rFonts w:ascii="宋体" w:eastAsia="宋体" w:hAnsi="宋体" w:cs="宋体" w:hint="eastAsia"/>
          <w:b/>
          <w:bCs/>
          <w:color w:val="auto"/>
          <w:kern w:val="2"/>
          <w:highlight w:val="none"/>
          <w:lang w:val="en-US" w:eastAsia="zh-CN"/>
        </w:rPr>
        <w:t xml:space="preserve"> </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、供应商须符合《中华人民共和国政府采购法》第二十二条规定；</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、供应商须是在中国境内注册的具有独立法人资格的企、事业单位，企业单位营业执照或事业单位法人证书、组织机构代码证、税务登记证或三证合一的营业执照副本等证书均在有效期内；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、供应商须提供建筑工程施工总承包叁级及以上资质或市政公用工程施工总承包叁级及以上资质；</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、供应商需提供安全生产许可证；</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有依法缴纳税收和社会保障资金的良好记录，并提供年月至今任意一个月缴纳的社会保障资金的有效票据凭证和依法纳税收的有效票据凭证；（至提交响应文件截止日期成立不足个月的供应商可提供营业执照加盖公章的复印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sectPr>
          <w:headerReference w:type="default" r:id="rId10"/>
          <w:footerReference w:type="default" r:id="rId11"/>
          <w:type w:val="nextPage"/>
          <w:pgSz w:w="11907" w:h="16840"/>
          <w:pgMar w:top="1440" w:right="1797" w:bottom="1440" w:left="1797" w:header="720" w:footer="720" w:gutter="0"/>
          <w:pgNumType w:fmt="decimal" w:start="2"/>
          <w:cols w:space="708"/>
          <w:titlePg w:val="0"/>
          <w:docGrid w:linePitch="312" w:charSpace="0"/>
        </w:sectPr>
      </w:pPr>
      <w:r>
        <w:rPr>
          <w:rFonts w:ascii="宋体" w:eastAsia="宋体" w:hAnsi="宋体" w:cs="宋体" w:hint="eastAsia"/>
          <w:color w:val="auto"/>
          <w:kern w:val="0"/>
          <w:sz w:val="24"/>
          <w:szCs w:val="24"/>
          <w:highlight w:val="none"/>
          <w:lang w:val="en-US" w:eastAsia="zh-CN" w:bidi="ar"/>
        </w:rPr>
        <w:t>、财务状况报告等相关材料：</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highlight w:val="none"/>
          <w:lang w:bidi="ar"/>
        </w:rPr>
      </w:pPr>
      <w:r>
        <w:rPr>
          <w:rFonts w:ascii="宋体" w:eastAsia="宋体" w:hAnsi="宋体" w:cs="宋体" w:hint="eastAsia"/>
          <w:color w:val="auto"/>
          <w:highlight w:val="none"/>
          <w:lang w:val="en-US" w:eastAsia="zh-CN" w:bidi="ar"/>
        </w:rPr>
        <w:t>提供近两个年度任一年度经第三方会计师事务所审计的企业财务报告或开标前个月以内由银行出具的资信证明；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highlight w:val="none"/>
          <w:lang w:bidi="ar"/>
        </w:rPr>
      </w:pPr>
      <w:r>
        <w:rPr>
          <w:rFonts w:ascii="宋体" w:eastAsia="宋体" w:hAnsi="宋体" w:cs="宋体" w:hint="eastAsia"/>
          <w:color w:val="auto"/>
          <w:highlight w:val="none"/>
          <w:lang w:val="en-US" w:eastAsia="zh-CN" w:bidi="ar"/>
        </w:rPr>
        <w:t>、</w:t>
      </w:r>
      <w:r>
        <w:rPr>
          <w:rFonts w:ascii="Times New Roman" w:eastAsia="宋体" w:hAnsi="Times New Roman" w:cs="Times New Roman" w:hint="eastAsia"/>
          <w:color w:val="auto"/>
          <w:highlight w:val="none"/>
        </w:rPr>
        <w:t>提交投标文件截止日前年在经营活动中没有重大违法记录的书面声明（截至提交投标文件截止日成立不足年的投标人可提供自成立以来无重大违法记录的书面声明）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、项目部人员配置要求：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)项目经理名，提供建设行政主管部门颁发的建筑工程专业贰级及以上注册建造师证书原件及有投标资格的IC卡原件，并提供任命书；</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)施工员、质量员、安全员、民管员、造价员、材料员、资料员、机械员、试验员各名；</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、非本市的施工企业应按《市建委关于进一步推动我市建筑市场统一开放相关工作的通知》津施管【】号文件执行，提供在有效期内的</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进津建筑企业信息登记卡</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、供应商需在《天津市政府采购网》上完成注册并成为合格供应商，如因供应商未注册导致的任何后果由供应商自行承担；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rightChars="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w:t>
      </w:r>
      <w:r>
        <w:rPr>
          <w:rFonts w:ascii="宋体" w:eastAsia="宋体" w:hAnsi="宋体" w:cs="宋体"/>
          <w:color w:val="auto"/>
          <w:kern w:val="0"/>
          <w:sz w:val="24"/>
          <w:szCs w:val="24"/>
          <w:highlight w:val="none"/>
          <w:lang w:val="en-US" w:eastAsia="zh-CN" w:bidi="ar"/>
        </w:rPr>
        <w:t>本项目不接受联合体</w:t>
      </w:r>
      <w:r>
        <w:rPr>
          <w:rFonts w:ascii="宋体" w:eastAsia="宋体" w:hAnsi="宋体" w:cs="宋体" w:hint="eastAsia"/>
          <w:color w:val="auto"/>
          <w:kern w:val="0"/>
          <w:sz w:val="24"/>
          <w:szCs w:val="24"/>
          <w:highlight w:val="none"/>
          <w:lang w:val="en-US" w:eastAsia="zh-CN" w:bidi="ar"/>
        </w:rPr>
        <w:t>投标；</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240" w:rightChars="0" w:firstLineChars="1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注：以上证件均在有效期内。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leftChars="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rPr>
        <w:t>六、获取磋商文件时间、地点、方式及磋商文件售价</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获取磋商文件时间：</w:t>
      </w:r>
      <w:r>
        <w:rPr>
          <w:rFonts w:ascii="宋体" w:eastAsia="宋体" w:hAnsi="宋体" w:cs="宋体" w:hint="eastAsia"/>
          <w:color w:val="auto"/>
          <w:kern w:val="2"/>
          <w:highlight w:val="none"/>
          <w:lang w:eastAsia="zh-CN"/>
        </w:rPr>
        <w:t>年月日</w:t>
      </w:r>
      <w:r>
        <w:rPr>
          <w:rFonts w:ascii="宋体" w:eastAsia="宋体" w:hAnsi="宋体" w:cs="宋体" w:hint="eastAsia"/>
          <w:color w:val="auto"/>
          <w:kern w:val="2"/>
          <w:highlight w:val="none"/>
        </w:rPr>
        <w:t xml:space="preserve">到 </w:t>
      </w:r>
      <w:r>
        <w:rPr>
          <w:rFonts w:ascii="宋体" w:eastAsia="宋体" w:hAnsi="宋体" w:cs="宋体" w:hint="eastAsia"/>
          <w:color w:val="auto"/>
          <w:kern w:val="2"/>
          <w:highlight w:val="none"/>
          <w:lang w:eastAsia="zh-CN"/>
        </w:rPr>
        <w:t>年月日。</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rPr>
        <w:t>【每日:-:，:-:（法定节假日除外）】。</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获取磋商文件地点：天津</w:t>
      </w:r>
      <w:r>
        <w:rPr>
          <w:rFonts w:ascii="宋体" w:eastAsia="宋体" w:hAnsi="宋体" w:cs="宋体" w:hint="eastAsia"/>
          <w:color w:val="auto"/>
          <w:kern w:val="2"/>
          <w:highlight w:val="none"/>
          <w:lang w:eastAsia="zh-CN"/>
        </w:rPr>
        <w:t>市静海区东方商业街二段</w:t>
      </w:r>
      <w:r>
        <w:rPr>
          <w:rFonts w:ascii="宋体" w:eastAsia="宋体" w:hAnsi="宋体" w:cs="宋体" w:hint="eastAsia"/>
          <w:color w:val="auto"/>
          <w:kern w:val="2"/>
          <w:highlight w:val="none"/>
          <w:lang w:val="en-US" w:eastAsia="zh-CN"/>
        </w:rPr>
        <w:t>B-</w:t>
      </w:r>
      <w:r>
        <w:rPr>
          <w:rFonts w:ascii="宋体" w:eastAsia="宋体" w:hAnsi="宋体" w:cs="宋体" w:hint="eastAsia"/>
          <w:color w:val="auto"/>
          <w:kern w:val="2"/>
          <w:highlight w:val="none"/>
          <w:lang w:eastAsia="zh-CN"/>
        </w:rPr>
        <w:t>。</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highlight w:val="none"/>
        </w:rPr>
        <w:t>获取磋商文件的方式：符合资质要求的</w:t>
      </w:r>
      <w:r>
        <w:rPr>
          <w:rFonts w:ascii="宋体" w:eastAsia="宋体" w:hAnsi="宋体" w:cs="宋体" w:hint="eastAsia"/>
          <w:color w:val="auto"/>
          <w:highlight w:val="none"/>
          <w:lang w:eastAsia="zh-CN"/>
        </w:rPr>
        <w:t>供应商</w:t>
      </w:r>
      <w:r>
        <w:rPr>
          <w:rFonts w:ascii="宋体" w:eastAsia="宋体" w:hAnsi="宋体" w:cs="宋体" w:hint="eastAsia"/>
          <w:color w:val="auto"/>
          <w:highlight w:val="none"/>
        </w:rPr>
        <w:t>于规定获取文件的时间内携带《授权委托书》</w:t>
      </w:r>
      <w:r>
        <w:rPr>
          <w:rFonts w:ascii="宋体" w:eastAsia="宋体" w:hAnsi="宋体" w:cs="宋体" w:hint="eastAsia"/>
          <w:color w:val="auto"/>
          <w:highlight w:val="none"/>
          <w:lang w:eastAsia="zh-CN"/>
        </w:rPr>
        <w:t>原件和</w:t>
      </w:r>
      <w:r>
        <w:rPr>
          <w:rFonts w:ascii="宋体" w:eastAsia="宋体" w:hAnsi="宋体" w:cs="宋体" w:hint="eastAsia"/>
          <w:color w:val="auto"/>
          <w:highlight w:val="none"/>
        </w:rPr>
        <w:t>经办人员居民身份证原件及复印件（加盖公章）现场领购。</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磋商文件售价：元</w:t>
      </w:r>
      <w:r>
        <w:rPr>
          <w:rFonts w:ascii="宋体" w:eastAsia="宋体" w:hAnsi="宋体" w:cs="宋体" w:hint="eastAsia"/>
          <w:color w:val="auto"/>
          <w:kern w:val="2"/>
          <w:highlight w:val="none"/>
          <w:lang w:val="en-US" w:eastAsia="zh-CN"/>
        </w:rPr>
        <w:t xml:space="preserve"> </w:t>
      </w:r>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val="en-US" w:eastAsia="zh-CN"/>
        </w:rPr>
        <w:t xml:space="preserve"> </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rPr>
        <w:t>七</w:t>
      </w:r>
      <w:r>
        <w:rPr>
          <w:rFonts w:ascii="宋体" w:eastAsia="宋体" w:hAnsi="宋体" w:cs="宋体"/>
          <w:b/>
          <w:color w:val="auto"/>
          <w:sz w:val="27"/>
          <w:szCs w:val="27"/>
          <w:highlight w:val="none"/>
        </w:rPr>
        <w:t>、响应文件提交的截止时间、开启时间及地点</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lang w:eastAsia="zh-CN"/>
        </w:rPr>
        <w:t>响应文件提交</w:t>
      </w:r>
      <w:r>
        <w:rPr>
          <w:rFonts w:ascii="宋体" w:eastAsia="宋体" w:hAnsi="宋体" w:cs="宋体" w:hint="eastAsia"/>
          <w:color w:val="auto"/>
          <w:kern w:val="2"/>
          <w:highlight w:val="none"/>
        </w:rPr>
        <w:t>截止时间：</w:t>
      </w:r>
      <w:r>
        <w:rPr>
          <w:rFonts w:ascii="宋体" w:eastAsia="宋体" w:hAnsi="宋体" w:cs="宋体" w:hint="eastAsia"/>
          <w:color w:val="auto"/>
          <w:kern w:val="2"/>
          <w:highlight w:val="none"/>
          <w:lang w:eastAsia="zh-CN"/>
        </w:rPr>
        <w:t>年月日</w:t>
      </w:r>
      <w:r>
        <w:rPr>
          <w:rFonts w:ascii="宋体" w:eastAsia="宋体" w:hAnsi="宋体" w:cs="宋体" w:hint="eastAsia"/>
          <w:color w:val="auto"/>
          <w:kern w:val="2"/>
          <w:highlight w:val="none"/>
        </w:rPr>
        <w:t xml:space="preserve"> </w:t>
      </w:r>
      <w:r>
        <w:rPr>
          <w:rFonts w:ascii="宋体" w:eastAsia="宋体" w:hAnsi="宋体" w:cs="宋体" w:hint="eastAsia"/>
          <w:color w:val="auto"/>
          <w:kern w:val="2"/>
          <w:highlight w:val="none"/>
          <w:lang w:val="en-US" w:eastAsia="zh-CN"/>
        </w:rPr>
        <w:t xml:space="preserve">   下午:</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lang w:eastAsia="zh-CN"/>
        </w:rPr>
        <w:t>响应文件开启</w:t>
      </w:r>
      <w:r>
        <w:rPr>
          <w:rFonts w:ascii="宋体" w:eastAsia="宋体" w:hAnsi="宋体" w:cs="宋体" w:hint="eastAsia"/>
          <w:color w:val="auto"/>
          <w:kern w:val="2"/>
          <w:highlight w:val="none"/>
        </w:rPr>
        <w:t>时间：</w:t>
      </w:r>
      <w:r>
        <w:rPr>
          <w:rFonts w:ascii="宋体" w:eastAsia="宋体" w:hAnsi="宋体" w:cs="宋体" w:hint="eastAsia"/>
          <w:color w:val="auto"/>
          <w:kern w:val="2"/>
          <w:highlight w:val="none"/>
          <w:lang w:eastAsia="zh-CN"/>
        </w:rPr>
        <w:t>年月日</w:t>
      </w:r>
      <w:r>
        <w:rPr>
          <w:rFonts w:ascii="宋体" w:eastAsia="宋体" w:hAnsi="宋体" w:cs="宋体" w:hint="eastAsia"/>
          <w:color w:val="auto"/>
          <w:kern w:val="2"/>
          <w:highlight w:val="none"/>
          <w:lang w:val="en-US" w:eastAsia="zh-CN"/>
        </w:rPr>
        <w:t xml:space="preserve">    下午: </w:t>
      </w:r>
    </w:p>
    <w:p>
      <w:pPr>
        <w:pStyle w:val="Default"/>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lang w:eastAsia="zh-CN"/>
        </w:rPr>
        <w:t>响应文件开启地点</w:t>
      </w:r>
      <w:r>
        <w:rPr>
          <w:rFonts w:ascii="宋体" w:eastAsia="宋体" w:hAnsi="宋体" w:cs="宋体" w:hint="eastAsia"/>
          <w:color w:val="auto"/>
          <w:kern w:val="2"/>
          <w:highlight w:val="none"/>
        </w:rPr>
        <w:t>：天津</w:t>
      </w:r>
      <w:r>
        <w:rPr>
          <w:rFonts w:ascii="宋体" w:eastAsia="宋体" w:hAnsi="宋体" w:cs="宋体" w:hint="eastAsia"/>
          <w:color w:val="auto"/>
          <w:kern w:val="2"/>
          <w:highlight w:val="none"/>
          <w:lang w:eastAsia="zh-CN"/>
        </w:rPr>
        <w:t>市静海区东方商业街二段</w:t>
      </w:r>
      <w:r>
        <w:rPr>
          <w:rFonts w:ascii="宋体" w:eastAsia="宋体" w:hAnsi="宋体" w:cs="宋体" w:hint="eastAsia"/>
          <w:color w:val="auto"/>
          <w:kern w:val="2"/>
          <w:highlight w:val="none"/>
          <w:lang w:val="en-US" w:eastAsia="zh-CN"/>
        </w:rPr>
        <w:t>B-一楼开标室</w:t>
      </w:r>
      <w:r>
        <w:rPr>
          <w:rFonts w:ascii="宋体" w:eastAsia="宋体" w:hAnsi="宋体" w:cs="宋体" w:hint="eastAsia"/>
          <w:color w:val="auto"/>
          <w:kern w:val="2"/>
          <w:highlight w:val="none"/>
        </w:rPr>
        <w:t>。</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lang w:eastAsia="zh-CN"/>
        </w:rPr>
        <w:t>八</w:t>
      </w:r>
      <w:r>
        <w:rPr>
          <w:rFonts w:ascii="宋体" w:eastAsia="宋体" w:hAnsi="宋体" w:cs="宋体" w:hint="eastAsia"/>
          <w:b/>
          <w:bCs/>
          <w:color w:val="auto"/>
          <w:kern w:val="2"/>
          <w:highlight w:val="none"/>
        </w:rPr>
        <w:t>、项目联系人及联系方式</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sectPr>
          <w:headerReference w:type="default" r:id="rId12"/>
          <w:footerReference w:type="default" r:id="rId13"/>
          <w:type w:val="nextPage"/>
          <w:pgSz w:w="11907" w:h="16840"/>
          <w:pgMar w:top="1440" w:right="1797" w:bottom="1440" w:left="1797" w:header="720" w:footer="720" w:gutter="0"/>
          <w:pgNumType w:fmt="decimal" w:start="3"/>
          <w:cols w:space="708"/>
          <w:titlePg w:val="0"/>
          <w:docGrid w:linePitch="312" w:charSpace="0"/>
        </w:sect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联系人：</w:t>
      </w:r>
      <w:r>
        <w:rPr>
          <w:rFonts w:ascii="宋体" w:eastAsia="宋体" w:hAnsi="宋体" w:cs="宋体" w:hint="eastAsia"/>
          <w:color w:val="auto"/>
          <w:kern w:val="2"/>
          <w:highlight w:val="none"/>
          <w:lang w:eastAsia="zh-CN"/>
        </w:rPr>
        <w:t>高</w:t>
      </w:r>
      <w:r>
        <w:rPr>
          <w:rFonts w:ascii="宋体" w:eastAsia="宋体" w:hAnsi="宋体" w:cs="宋体" w:hint="eastAsia"/>
          <w:color w:val="auto"/>
          <w:kern w:val="2"/>
          <w:highlight w:val="none"/>
        </w:rPr>
        <w:t>老师</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联系电话：</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lang w:eastAsia="zh-CN"/>
        </w:rPr>
        <w:t>九</w:t>
      </w:r>
      <w:r>
        <w:rPr>
          <w:rFonts w:ascii="宋体" w:eastAsia="宋体" w:hAnsi="宋体" w:cs="宋体" w:hint="eastAsia"/>
          <w:b/>
          <w:bCs/>
          <w:color w:val="auto"/>
          <w:kern w:val="2"/>
          <w:highlight w:val="none"/>
        </w:rPr>
        <w:t>、采购人的名称、地址和联系方式</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采购人名称：</w:t>
      </w:r>
      <w:r>
        <w:rPr>
          <w:rFonts w:ascii="宋体" w:eastAsia="宋体" w:hAnsi="宋体" w:cs="宋体" w:hint="eastAsia"/>
          <w:color w:val="auto"/>
          <w:kern w:val="2"/>
          <w:highlight w:val="none"/>
          <w:lang w:eastAsia="zh-CN"/>
        </w:rPr>
        <w:t>天津市静海区第四小学</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采购人地址：天津市静海区</w:t>
      </w:r>
      <w:r>
        <w:rPr>
          <w:rFonts w:ascii="宋体" w:eastAsia="宋体" w:hAnsi="宋体" w:cs="宋体" w:hint="eastAsia"/>
          <w:color w:val="auto"/>
          <w:kern w:val="2"/>
          <w:highlight w:val="none"/>
          <w:lang w:eastAsia="zh-CN"/>
        </w:rPr>
        <w:t>静海镇北纬二路西段</w:t>
      </w:r>
      <w:r>
        <w:rPr>
          <w:rFonts w:ascii="宋体" w:eastAsia="宋体" w:hAnsi="宋体" w:cs="宋体" w:hint="eastAsia"/>
          <w:color w:val="auto"/>
          <w:kern w:val="2"/>
          <w:highlight w:val="none"/>
          <w:lang w:val="en-US" w:eastAsia="zh-CN"/>
        </w:rPr>
        <w:t>号</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采购人联系人</w:t>
      </w:r>
      <w:r>
        <w:rPr>
          <w:rFonts w:ascii="宋体" w:eastAsia="宋体" w:hAnsi="宋体" w:cs="宋体" w:hint="eastAsia"/>
          <w:color w:val="auto"/>
          <w:kern w:val="2"/>
          <w:highlight w:val="none"/>
          <w:lang w:eastAsia="zh-CN"/>
        </w:rPr>
        <w:t>及联系电话</w:t>
      </w:r>
      <w:r>
        <w:rPr>
          <w:rFonts w:ascii="宋体" w:eastAsia="宋体" w:hAnsi="宋体" w:cs="宋体" w:hint="eastAsia"/>
          <w:color w:val="auto"/>
          <w:kern w:val="2"/>
          <w:highlight w:val="none"/>
        </w:rPr>
        <w:t>：</w:t>
      </w:r>
      <w:r>
        <w:rPr>
          <w:rFonts w:ascii="宋体" w:eastAsia="宋体" w:hAnsi="宋体" w:cs="宋体" w:hint="eastAsia"/>
          <w:color w:val="auto"/>
          <w:kern w:val="2"/>
          <w:highlight w:val="none"/>
          <w:lang w:eastAsia="zh-CN"/>
        </w:rPr>
        <w:t>杨</w:t>
      </w:r>
      <w:r>
        <w:rPr>
          <w:rFonts w:ascii="宋体" w:eastAsia="宋体" w:hAnsi="宋体" w:cs="宋体" w:hint="eastAsia"/>
          <w:color w:val="auto"/>
          <w:kern w:val="2"/>
          <w:highlight w:val="none"/>
        </w:rPr>
        <w:t>老师</w:t>
      </w:r>
      <w:r>
        <w:rPr>
          <w:rFonts w:ascii="宋体" w:eastAsia="宋体" w:hAnsi="宋体" w:cs="宋体" w:hint="eastAsia"/>
          <w:color w:val="auto"/>
          <w:kern w:val="2"/>
          <w:highlight w:val="none"/>
          <w:lang w:eastAsia="zh-CN"/>
        </w:rPr>
        <w:t>：-</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rPr>
        <w:t>十、采购代理机构的名称、地址、联系方式</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采购代理机构名称：天津融尚招标代理有限公司</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采购代理机构地址：天津</w:t>
      </w:r>
      <w:r>
        <w:rPr>
          <w:rFonts w:ascii="宋体" w:eastAsia="宋体" w:hAnsi="宋体" w:cs="宋体" w:hint="eastAsia"/>
          <w:color w:val="auto"/>
          <w:kern w:val="2"/>
          <w:highlight w:val="none"/>
          <w:lang w:eastAsia="zh-CN"/>
        </w:rPr>
        <w:t>市静海区东方商业街二段</w:t>
      </w:r>
      <w:r>
        <w:rPr>
          <w:rFonts w:ascii="宋体" w:eastAsia="宋体" w:hAnsi="宋体" w:cs="宋体" w:hint="eastAsia"/>
          <w:color w:val="auto"/>
          <w:kern w:val="2"/>
          <w:highlight w:val="none"/>
          <w:lang w:val="en-US" w:eastAsia="zh-CN"/>
        </w:rPr>
        <w:t>B-</w:t>
      </w:r>
      <w:r>
        <w:rPr>
          <w:rFonts w:ascii="宋体" w:eastAsia="宋体" w:hAnsi="宋体" w:cs="宋体" w:hint="eastAsia"/>
          <w:color w:val="auto"/>
          <w:kern w:val="2"/>
          <w:highlight w:val="none"/>
        </w:rPr>
        <w:t>。</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lang w:val="en-US" w:eastAsia="zh-CN"/>
        </w:rPr>
        <w:t>、</w:t>
      </w:r>
      <w:r>
        <w:rPr>
          <w:rFonts w:ascii="宋体" w:eastAsia="宋体" w:hAnsi="宋体" w:cs="宋体" w:hint="eastAsia"/>
          <w:color w:val="auto"/>
          <w:kern w:val="2"/>
          <w:highlight w:val="none"/>
        </w:rPr>
        <w:t>采购代理机构联系电话：：</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rPr>
        <w:t>十一、质疑、投诉方式</w:t>
      </w:r>
    </w:p>
    <w:p>
      <w:pPr>
        <w:pStyle w:val="Default"/>
        <w:keepNext w:val="0"/>
        <w:keepLines w:val="0"/>
        <w:pageBreakBefore w:val="0"/>
        <w:widowControl w:val="0"/>
        <w:kinsoku/>
        <w:overflowPunct/>
        <w:topLinePunct w:val="0"/>
        <w:bidi w:val="0"/>
        <w:snapToGrid/>
        <w:spacing w:line="360" w:lineRule="auto"/>
        <w:ind w:left="0" w:right="0" w:firstLine="480" w:leftChars="0" w:rightChars="0" w:firstLineChars="200"/>
        <w:jc w:val="both"/>
        <w:textAlignment w:val="auto"/>
        <w:rPr>
          <w:rFonts w:ascii="宋体" w:eastAsia="宋体" w:hAnsi="宋体" w:cs="宋体" w:hint="eastAsia"/>
          <w:b/>
          <w:bCs/>
          <w:color w:val="auto"/>
          <w:kern w:val="2"/>
          <w:highlight w:val="none"/>
        </w:rPr>
      </w:pPr>
      <w:r>
        <w:rPr>
          <w:rFonts w:ascii="宋体" w:eastAsia="宋体" w:hAnsi="宋体" w:cs="宋体" w:hint="eastAsia"/>
          <w:color w:val="auto"/>
          <w:kern w:val="2"/>
          <w:highlight w:val="none"/>
        </w:rPr>
        <w:t>供应商认为磋商文件存在倾向性、歧视性条款，损害其合法权益的，可以在获取磋商文件之日起个工作日内，且在提交响应文件截止之日前，以书面形式向采购人、采购代理机构针对同一采购环节一次性提出所有质疑，逾期不予受理。供应商对质疑答复不满意的，或者采购人、采购代理机构未在规定期限内作出答复的，可以在质疑答复期满后个工作日内，向同级财政主管部门提出投诉，逾期不予受理。</w:t>
      </w:r>
    </w:p>
    <w:p>
      <w:pPr>
        <w:pStyle w:val="Default"/>
        <w:keepNext w:val="0"/>
        <w:keepLines w:val="0"/>
        <w:pageBreakBefore w:val="0"/>
        <w:widowControl w:val="0"/>
        <w:kinsoku/>
        <w:overflowPunct/>
        <w:topLinePunct w:val="0"/>
        <w:bidi w:val="0"/>
        <w:snapToGrid/>
        <w:spacing w:line="360" w:lineRule="auto"/>
        <w:ind w:right="0" w:rightChars="0"/>
        <w:jc w:val="both"/>
        <w:textAlignment w:val="auto"/>
        <w:rPr>
          <w:rFonts w:ascii="宋体" w:eastAsia="宋体" w:hAnsi="宋体" w:cs="宋体" w:hint="eastAsia"/>
          <w:b/>
          <w:bCs/>
          <w:color w:val="auto"/>
          <w:kern w:val="2"/>
          <w:highlight w:val="none"/>
        </w:rPr>
      </w:pPr>
      <w:r>
        <w:rPr>
          <w:rFonts w:ascii="宋体" w:eastAsia="宋体" w:hAnsi="宋体" w:cs="宋体" w:hint="eastAsia"/>
          <w:b/>
          <w:bCs/>
          <w:color w:val="auto"/>
          <w:kern w:val="2"/>
          <w:highlight w:val="none"/>
        </w:rPr>
        <w:t>十</w:t>
      </w:r>
      <w:r>
        <w:rPr>
          <w:rFonts w:ascii="宋体" w:eastAsia="宋体" w:hAnsi="宋体" w:cs="宋体" w:hint="eastAsia"/>
          <w:b/>
          <w:bCs/>
          <w:color w:val="auto"/>
          <w:kern w:val="2"/>
          <w:highlight w:val="none"/>
          <w:lang w:eastAsia="zh-CN"/>
        </w:rPr>
        <w:t>二</w:t>
      </w:r>
      <w:r>
        <w:rPr>
          <w:rFonts w:ascii="宋体" w:eastAsia="宋体" w:hAnsi="宋体" w:cs="宋体" w:hint="eastAsia"/>
          <w:b/>
          <w:bCs/>
          <w:color w:val="auto"/>
          <w:kern w:val="2"/>
          <w:highlight w:val="none"/>
        </w:rPr>
        <w:t>、公告期限</w:t>
      </w:r>
    </w:p>
    <w:p>
      <w:pPr>
        <w:pStyle w:val="Default"/>
        <w:keepNext w:val="0"/>
        <w:keepLines w:val="0"/>
        <w:pageBreakBefore w:val="0"/>
        <w:widowControl w:val="0"/>
        <w:kinsoku/>
        <w:overflowPunct/>
        <w:topLinePunct w:val="0"/>
        <w:bidi w:val="0"/>
        <w:snapToGrid/>
        <w:spacing w:line="360" w:lineRule="auto"/>
        <w:ind w:left="0" w:right="0" w:firstLine="480" w:leftChars="0" w:rightChars="0" w:firstLineChars="200"/>
        <w:jc w:val="both"/>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rPr>
        <w:t>磋商公告的公告期限为个工作日。</w:t>
      </w:r>
    </w:p>
    <w:p>
      <w:pPr>
        <w:pStyle w:val="Default"/>
        <w:keepNext w:val="0"/>
        <w:keepLines w:val="0"/>
        <w:pageBreakBefore w:val="0"/>
        <w:widowControl w:val="0"/>
        <w:kinsoku/>
        <w:overflowPunct/>
        <w:topLinePunct w:val="0"/>
        <w:bidi w:val="0"/>
        <w:snapToGrid/>
        <w:spacing w:line="360" w:lineRule="auto"/>
        <w:ind w:left="0" w:right="0" w:leftChars="0" w:rightChars="0"/>
        <w:jc w:val="right"/>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rPr>
        <w:t>天津融尚招标代理有限公司</w:t>
      </w:r>
    </w:p>
    <w:p>
      <w:pPr>
        <w:pStyle w:val="Default"/>
        <w:keepNext w:val="0"/>
        <w:keepLines w:val="0"/>
        <w:pageBreakBefore w:val="0"/>
        <w:widowControl w:val="0"/>
        <w:kinsoku/>
        <w:overflowPunct/>
        <w:topLinePunct w:val="0"/>
        <w:bidi w:val="0"/>
        <w:snapToGrid/>
        <w:spacing w:line="360" w:lineRule="auto"/>
        <w:ind w:left="0" w:right="0" w:leftChars="0" w:rightChars="0"/>
        <w:jc w:val="right"/>
        <w:textAlignment w:val="auto"/>
        <w:rPr>
          <w:rFonts w:ascii="宋体" w:eastAsia="宋体" w:hAnsi="宋体" w:cs="宋体" w:hint="eastAsia"/>
          <w:color w:val="auto"/>
          <w:kern w:val="2"/>
          <w:sz w:val="2"/>
          <w:szCs w:val="2"/>
          <w:highlight w:val="none"/>
        </w:rPr>
      </w:pPr>
    </w:p>
    <w:p>
      <w:pPr>
        <w:pStyle w:val="Default"/>
        <w:keepNext w:val="0"/>
        <w:keepLines w:val="0"/>
        <w:pageBreakBefore w:val="0"/>
        <w:widowControl w:val="0"/>
        <w:kinsoku/>
        <w:wordWrap w:val="0"/>
        <w:overflowPunct/>
        <w:topLinePunct w:val="0"/>
        <w:bidi w:val="0"/>
        <w:snapToGrid/>
        <w:spacing w:line="360" w:lineRule="auto"/>
        <w:ind w:left="0" w:right="0" w:leftChars="0" w:rightChars="0"/>
        <w:jc w:val="right"/>
        <w:textAlignment w:val="auto"/>
        <w:rPr>
          <w:rFonts w:ascii="宋体" w:eastAsia="宋体" w:hAnsi="宋体" w:cs="宋体" w:hint="eastAsia"/>
          <w:color w:val="auto"/>
          <w:kern w:val="2"/>
          <w:highlight w:val="none"/>
        </w:rPr>
      </w:pPr>
      <w:r>
        <w:rPr>
          <w:rFonts w:ascii="宋体" w:eastAsia="宋体" w:hAnsi="宋体" w:cs="宋体" w:hint="eastAsia"/>
          <w:color w:val="auto"/>
          <w:kern w:val="2"/>
          <w:highlight w:val="none"/>
        </w:rPr>
        <w:t>年月日</w:t>
      </w:r>
    </w:p>
    <w:p>
      <w:pPr>
        <w:pStyle w:val="Default"/>
        <w:spacing w:line="360" w:lineRule="auto"/>
        <w:ind w:firstLine="5520" w:firstLineChars="2300"/>
        <w:jc w:val="center"/>
        <w:rPr>
          <w:rFonts w:ascii="宋体" w:eastAsia="宋体" w:hAnsi="宋体" w:cs="宋体" w:hint="eastAsia"/>
          <w:b/>
          <w:color w:val="auto"/>
          <w:highlight w:val="none"/>
        </w:rPr>
        <w:sectPr>
          <w:headerReference w:type="default" r:id="rId14"/>
          <w:footerReference w:type="default" r:id="rId15"/>
          <w:type w:val="nextPage"/>
          <w:pgSz w:w="11907" w:h="16840"/>
          <w:pgMar w:top="1440" w:right="1797" w:bottom="1440" w:left="1797" w:header="720" w:footer="720" w:gutter="0"/>
          <w:pgNumType w:fmt="decimal" w:start="4"/>
          <w:cols w:space="708"/>
          <w:titlePg w:val="0"/>
          <w:docGrid w:linePitch="312" w:charSpace="0"/>
        </w:sectPr>
      </w:pPr>
    </w:p>
    <w:p>
      <w:pPr>
        <w:pStyle w:val="Heading3"/>
        <w:spacing w:before="0" w:after="0" w:line="416" w:lineRule="auto"/>
        <w:jc w:val="center"/>
        <w:rPr>
          <w:rFonts w:ascii="宋体" w:hAnsi="宋体" w:cs="宋体" w:hint="eastAsia"/>
          <w:color w:val="auto"/>
          <w:sz w:val="24"/>
          <w:szCs w:val="24"/>
          <w:highlight w:val="none"/>
        </w:rPr>
      </w:pPr>
      <w:r>
        <w:rPr>
          <w:rFonts w:ascii="宋体" w:hAnsi="宋体" w:cs="宋体" w:hint="eastAsia"/>
          <w:color w:val="auto"/>
          <w:sz w:val="24"/>
          <w:szCs w:val="24"/>
          <w:highlight w:val="none"/>
        </w:rPr>
        <w:t>第二部分  磋商项目要求</w:t>
      </w:r>
    </w:p>
    <w:p>
      <w:pPr>
        <w:rPr>
          <w:rFonts w:hint="eastAsia"/>
          <w:color w:val="auto"/>
          <w:sz w:val="10"/>
          <w:szCs w:val="8"/>
          <w:highlight w:val="none"/>
        </w:rPr>
      </w:pPr>
    </w:p>
    <w:p>
      <w:pPr>
        <w:pStyle w:val="Default"/>
        <w:snapToGrid w:val="0"/>
        <w:spacing w:line="360" w:lineRule="auto"/>
        <w:ind w:firstLine="480" w:firstLineChars="200"/>
        <w:jc w:val="both"/>
        <w:rPr>
          <w:rFonts w:ascii="宋体" w:eastAsia="宋体" w:hAnsi="宋体" w:cs="宋体" w:hint="eastAsia"/>
          <w:color w:val="auto"/>
          <w:kern w:val="2"/>
          <w:highlight w:val="none"/>
        </w:rPr>
      </w:pPr>
      <w:r>
        <w:rPr>
          <w:rFonts w:ascii="宋体" w:eastAsia="宋体" w:hAnsi="宋体" w:cs="宋体" w:hint="eastAsia"/>
          <w:color w:val="auto"/>
          <w:kern w:val="2"/>
          <w:highlight w:val="none"/>
        </w:rPr>
        <w:t>受</w:t>
      </w:r>
      <w:r>
        <w:rPr>
          <w:rFonts w:ascii="宋体" w:eastAsia="宋体" w:hAnsi="宋体" w:cs="宋体" w:hint="eastAsia"/>
          <w:color w:val="auto"/>
          <w:kern w:val="2"/>
          <w:highlight w:val="none"/>
          <w:lang w:eastAsia="zh-CN"/>
        </w:rPr>
        <w:t>天津市静海区第四小学的</w:t>
      </w:r>
      <w:r>
        <w:rPr>
          <w:rFonts w:ascii="宋体" w:eastAsia="宋体" w:hAnsi="宋体" w:cs="宋体" w:hint="eastAsia"/>
          <w:color w:val="auto"/>
          <w:kern w:val="2"/>
          <w:highlight w:val="none"/>
        </w:rPr>
        <w:t>委托，天津融尚招标代理有限公司将以</w:t>
      </w:r>
      <w:r>
        <w:rPr>
          <w:rFonts w:ascii="宋体" w:eastAsia="宋体" w:hAnsi="宋体" w:cs="宋体" w:hint="eastAsia"/>
          <w:color w:val="auto"/>
          <w:kern w:val="2"/>
          <w:highlight w:val="none"/>
          <w:lang w:eastAsia="zh-CN"/>
        </w:rPr>
        <w:t>竞争性磋商</w:t>
      </w:r>
      <w:r>
        <w:rPr>
          <w:rFonts w:ascii="宋体" w:eastAsia="宋体" w:hAnsi="宋体" w:cs="宋体" w:hint="eastAsia"/>
          <w:color w:val="auto"/>
          <w:kern w:val="2"/>
          <w:highlight w:val="none"/>
        </w:rPr>
        <w:t>方式，对</w:t>
      </w:r>
      <w:r>
        <w:rPr>
          <w:rFonts w:ascii="宋体" w:eastAsia="宋体" w:hAnsi="宋体" w:cs="宋体" w:hint="eastAsia"/>
          <w:color w:val="auto"/>
          <w:kern w:val="2"/>
          <w:highlight w:val="none"/>
          <w:lang w:eastAsia="zh-CN"/>
        </w:rPr>
        <w:t>天津市静海区第四小学操场改造工程</w:t>
      </w:r>
      <w:r>
        <w:rPr>
          <w:rFonts w:ascii="宋体" w:eastAsia="宋体" w:hAnsi="宋体" w:cs="宋体" w:hint="eastAsia"/>
          <w:color w:val="auto"/>
          <w:kern w:val="2"/>
          <w:highlight w:val="none"/>
        </w:rPr>
        <w:t>实施政府采购。现欢迎合格的供应商参加</w:t>
      </w:r>
      <w:r>
        <w:rPr>
          <w:rFonts w:ascii="宋体" w:eastAsia="宋体" w:hAnsi="宋体" w:cs="宋体" w:hint="eastAsia"/>
          <w:color w:val="auto"/>
          <w:kern w:val="2"/>
          <w:highlight w:val="none"/>
          <w:lang w:eastAsia="zh-CN"/>
        </w:rPr>
        <w:t>磋商</w:t>
      </w:r>
      <w:r>
        <w:rPr>
          <w:rFonts w:ascii="宋体" w:eastAsia="宋体" w:hAnsi="宋体" w:cs="宋体" w:hint="eastAsia"/>
          <w:color w:val="auto"/>
          <w:kern w:val="2"/>
          <w:highlight w:val="none"/>
        </w:rPr>
        <w:t>。本部分内容若与其他部分内容有不同之处，以本部分内容为准。</w:t>
      </w:r>
    </w:p>
    <w:p>
      <w:pPr>
        <w:pStyle w:val="Default"/>
        <w:snapToGrid w:val="0"/>
        <w:spacing w:line="360" w:lineRule="auto"/>
        <w:jc w:val="both"/>
        <w:rPr>
          <w:rFonts w:ascii="宋体" w:eastAsia="宋体" w:hAnsi="宋体" w:cs="宋体" w:hint="eastAsia"/>
          <w:b/>
          <w:color w:val="auto"/>
          <w:highlight w:val="none"/>
        </w:rPr>
      </w:pPr>
      <w:r>
        <w:rPr>
          <w:rFonts w:ascii="宋体" w:eastAsia="宋体" w:hAnsi="宋体" w:cs="宋体" w:hint="eastAsia"/>
          <w:b/>
          <w:color w:val="auto"/>
          <w:highlight w:val="none"/>
          <w:lang w:eastAsia="zh-CN"/>
        </w:rPr>
        <w:t>一</w:t>
      </w:r>
      <w:r>
        <w:rPr>
          <w:rFonts w:ascii="宋体" w:eastAsia="宋体" w:hAnsi="宋体" w:cs="宋体" w:hint="eastAsia"/>
          <w:b/>
          <w:color w:val="auto"/>
          <w:highlight w:val="none"/>
        </w:rPr>
        <w:t>、供应商资</w:t>
      </w:r>
      <w:r>
        <w:rPr>
          <w:rFonts w:ascii="宋体" w:eastAsia="宋体" w:hAnsi="宋体" w:cs="宋体" w:hint="eastAsia"/>
          <w:b/>
          <w:color w:val="auto"/>
          <w:highlight w:val="none"/>
          <w:lang w:eastAsia="zh-CN"/>
        </w:rPr>
        <w:t>格</w:t>
      </w:r>
      <w:r>
        <w:rPr>
          <w:rFonts w:ascii="宋体" w:eastAsia="宋体" w:hAnsi="宋体" w:cs="宋体" w:hint="eastAsia"/>
          <w:b/>
          <w:color w:val="auto"/>
          <w:highlight w:val="none"/>
        </w:rPr>
        <w:t>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、供应商须符合《中华人民共和国政府采购法》第二十二条规定；</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、供应商须是在中国境内注册的具有独立法人资格的企、事业单位，企业单位营业执照或事业单位法人证书、组织机构代码证、税务登记证或三证合一的营业执照副本等证书均在有效期内；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、供应商须提供建筑工程施工总承包叁级及以上资质或市政公用工程施工总承包叁级及以上资质；</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、供应商需提供安全生产许可证；</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有依法缴纳税收和社会保障资金的良好记录，并提供年月至今任意一个月缴纳的社会保障资金的有效票据凭证和依法纳税收的有效票据凭证；（至提交响应文件截止日期成立不足个月的供应商可提供营业执照加盖公章的复印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、财务状况报告等相关材料：</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highlight w:val="none"/>
          <w:lang w:bidi="ar"/>
        </w:rPr>
      </w:pPr>
      <w:r>
        <w:rPr>
          <w:rFonts w:ascii="宋体" w:eastAsia="宋体" w:hAnsi="宋体" w:cs="宋体" w:hint="eastAsia"/>
          <w:color w:val="auto"/>
          <w:highlight w:val="none"/>
          <w:lang w:val="en-US" w:eastAsia="zh-CN" w:bidi="ar"/>
        </w:rPr>
        <w:t>提供近两个年度任一年度经第三方会计师事务所审计的企业财务报告或开标前个月以内由银行出具的资信证明；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highlight w:val="none"/>
          <w:lang w:bidi="ar"/>
        </w:rPr>
      </w:pPr>
      <w:r>
        <w:rPr>
          <w:rFonts w:ascii="宋体" w:eastAsia="宋体" w:hAnsi="宋体" w:cs="宋体" w:hint="eastAsia"/>
          <w:color w:val="auto"/>
          <w:highlight w:val="none"/>
          <w:lang w:val="en-US" w:eastAsia="zh-CN" w:bidi="ar"/>
        </w:rPr>
        <w:t>、</w:t>
      </w:r>
      <w:r>
        <w:rPr>
          <w:rFonts w:ascii="Times New Roman" w:eastAsia="宋体" w:hAnsi="Times New Roman" w:cs="Times New Roman" w:hint="eastAsia"/>
          <w:color w:val="auto"/>
          <w:highlight w:val="none"/>
        </w:rPr>
        <w:t>提交投标文件截止日前年在经营活动中没有重大违法记录的书面声明（截至提交投标文件截止日成立不足年的投标人可提供自成立以来无重大违法记录的书面声明）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、项目部人员配置要求：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)项目经理名，提供建设行政主管部门颁发的建筑工程专业贰级及以上注册建造师证书原件及有投标资格的IC卡原件，并提供任命书；</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)施工员、质量员、安全员、民管员、造价员、材料员、资料员、机械员、试验员各名；</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、非本市的施工企业应按《市建委关于进一步推动我市建筑市场统一开放相关工作的通知》津施管【】号文件执行，提供在有效期内的</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进津建筑企业信息登记卡</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、供应商需在《天津市政府采购网》上完成注册并成为合格供应商，如因供应商未注册导致的任何后果由供应商自行承担；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sectPr>
          <w:headerReference w:type="default" r:id="rId16"/>
          <w:footerReference w:type="default" r:id="rId17"/>
          <w:type w:val="nextPage"/>
          <w:pgSz w:w="11906" w:h="16838"/>
          <w:pgMar w:top="1440" w:right="1080" w:bottom="1440" w:left="1080" w:header="851" w:footer="992" w:gutter="0"/>
          <w:pgNumType w:fmt="decimal" w:start="5" w:chapStyle="0" w:chapSep="hyphen"/>
          <w:cols w:space="708"/>
          <w:docGrid w:type="lines" w:linePitch="312"/>
        </w:sectPr>
      </w:pPr>
      <w:r>
        <w:rPr>
          <w:rFonts w:ascii="宋体" w:eastAsia="宋体" w:hAnsi="宋体" w:cs="宋体" w:hint="eastAsia"/>
          <w:color w:val="auto"/>
          <w:kern w:val="0"/>
          <w:sz w:val="24"/>
          <w:szCs w:val="24"/>
          <w:highlight w:val="none"/>
          <w:lang w:val="en-US" w:eastAsia="zh-CN" w:bidi="ar"/>
        </w:rPr>
        <w:t>、</w:t>
      </w:r>
      <w:r>
        <w:rPr>
          <w:rFonts w:ascii="宋体" w:eastAsia="宋体" w:hAnsi="宋体" w:cs="宋体"/>
          <w:color w:val="auto"/>
          <w:kern w:val="0"/>
          <w:sz w:val="24"/>
          <w:szCs w:val="24"/>
          <w:highlight w:val="none"/>
          <w:lang w:val="en-US" w:eastAsia="zh-CN" w:bidi="ar"/>
        </w:rPr>
        <w:t>本项目不接受联合体</w:t>
      </w:r>
      <w:r>
        <w:rPr>
          <w:rFonts w:ascii="宋体" w:eastAsia="宋体" w:hAnsi="宋体" w:cs="宋体" w:hint="eastAsia"/>
          <w:color w:val="auto"/>
          <w:kern w:val="0"/>
          <w:sz w:val="24"/>
          <w:szCs w:val="24"/>
          <w:highlight w:val="none"/>
          <w:lang w:val="en-US" w:eastAsia="zh-CN" w:bidi="ar"/>
        </w:rPr>
        <w:t>投标；</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注：以上证件均在有效期内。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b/>
          <w:bCs/>
          <w:color w:val="auto"/>
          <w:kern w:val="0"/>
          <w:highlight w:val="none"/>
          <w:lang w:bidi="ar"/>
        </w:rPr>
      </w:pPr>
      <w:r>
        <w:rPr>
          <w:rFonts w:ascii="宋体" w:eastAsia="宋体" w:hAnsi="宋体" w:cs="宋体" w:hint="eastAsia"/>
          <w:b/>
          <w:bCs/>
          <w:color w:val="auto"/>
          <w:kern w:val="0"/>
          <w:sz w:val="24"/>
          <w:szCs w:val="24"/>
          <w:highlight w:val="none"/>
          <w:lang w:val="en-US" w:eastAsia="zh-CN" w:bidi="ar"/>
        </w:rPr>
        <w:t>二、人员配备要求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)项目经理名，提供建设行政主管部门颁发的建筑工程专业贰级及以上注册建造师证书原件及有投标资格的IC卡原件，并提供任命书；</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)施工员、质量员、安全员、民管员、造价员、材料员、资料员、机械员、试验员各名；</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以上项目经理必须为供应商本单位人员，其单位名称应与供应商名称一致；</w:t>
      </w:r>
    </w:p>
    <w:p>
      <w:pPr>
        <w:adjustRightInd w:val="0"/>
        <w:snapToGrid w:val="0"/>
        <w:spacing w:line="440" w:lineRule="exact"/>
        <w:ind w:firstLine="480" w:firstLineChars="200"/>
        <w:rPr>
          <w:rFonts w:ascii="宋体" w:eastAsia="宋体" w:hAnsi="宋体" w:cs="宋体" w:hint="eastAsia"/>
          <w:b/>
          <w:bCs/>
          <w:color w:val="auto"/>
          <w:kern w:val="0"/>
          <w:sz w:val="24"/>
          <w:szCs w:val="24"/>
          <w:highlight w:val="none"/>
          <w:lang w:bidi="ar"/>
        </w:rPr>
      </w:pPr>
      <w:r>
        <w:rPr>
          <w:rFonts w:ascii="宋体" w:eastAsia="宋体" w:hAnsi="宋体" w:cs="宋体" w:hint="eastAsia"/>
          <w:b/>
          <w:bCs/>
          <w:color w:val="auto"/>
          <w:kern w:val="0"/>
          <w:sz w:val="24"/>
          <w:szCs w:val="24"/>
          <w:highlight w:val="none"/>
          <w:lang w:val="en-US" w:eastAsia="zh-CN" w:bidi="ar"/>
        </w:rPr>
        <w:t>注：以上人员证书材料须提供原件，并在有效期内；否则投标无效。</w:t>
      </w:r>
    </w:p>
    <w:p>
      <w:pPr>
        <w:pStyle w:val="Default"/>
        <w:snapToGrid w:val="0"/>
        <w:spacing w:line="360" w:lineRule="auto"/>
        <w:jc w:val="both"/>
        <w:rPr>
          <w:rFonts w:ascii="宋体" w:eastAsia="宋体" w:hAnsi="宋体" w:cs="宋体"/>
          <w:color w:val="auto"/>
          <w:kern w:val="0"/>
          <w:highlight w:val="none"/>
          <w:lang w:bidi="ar"/>
        </w:rPr>
      </w:pPr>
      <w:r>
        <w:rPr>
          <w:rFonts w:ascii="宋体" w:eastAsia="宋体" w:hAnsi="宋体" w:cs="宋体" w:hint="eastAsia"/>
          <w:b/>
          <w:bCs w:val="0"/>
          <w:color w:val="auto"/>
          <w:highlight w:val="none"/>
          <w:lang w:eastAsia="zh-CN"/>
        </w:rPr>
        <w:t>三、</w:t>
      </w:r>
      <w:r>
        <w:rPr>
          <w:rFonts w:ascii="宋体" w:eastAsia="宋体" w:hAnsi="宋体" w:cs="宋体" w:hint="eastAsia"/>
          <w:b/>
          <w:bCs w:val="0"/>
          <w:color w:val="auto"/>
          <w:highlight w:val="none"/>
        </w:rPr>
        <w:t>技</w:t>
      </w:r>
      <w:r>
        <w:rPr>
          <w:rFonts w:ascii="宋体" w:eastAsia="宋体" w:hAnsi="宋体" w:cs="宋体" w:hint="eastAsia"/>
          <w:b/>
          <w:color w:val="auto"/>
          <w:highlight w:val="none"/>
        </w:rPr>
        <w:t>术要求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（一）</w:t>
      </w:r>
      <w:r>
        <w:rPr>
          <w:rFonts w:ascii="宋体" w:eastAsia="宋体" w:hAnsi="宋体" w:cs="宋体"/>
          <w:color w:val="auto"/>
          <w:kern w:val="0"/>
          <w:sz w:val="24"/>
          <w:szCs w:val="24"/>
          <w:highlight w:val="none"/>
          <w:lang w:val="en-US" w:eastAsia="zh-CN" w:bidi="ar"/>
        </w:rPr>
        <w:t>以采购人提供的工程量清单为准。</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（二）</w:t>
      </w:r>
      <w:r>
        <w:rPr>
          <w:rFonts w:ascii="宋体" w:eastAsia="宋体" w:hAnsi="宋体" w:cs="宋体"/>
          <w:color w:val="auto"/>
          <w:kern w:val="0"/>
          <w:sz w:val="24"/>
          <w:szCs w:val="24"/>
          <w:highlight w:val="none"/>
          <w:lang w:val="en-US" w:eastAsia="zh-CN" w:bidi="ar"/>
        </w:rPr>
        <w:t>采购范围：采购人提供的工程量清单中指定的内容。</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（三）</w:t>
      </w:r>
      <w:r>
        <w:rPr>
          <w:rFonts w:ascii="宋体" w:eastAsia="宋体" w:hAnsi="宋体" w:cs="宋体"/>
          <w:color w:val="auto"/>
          <w:kern w:val="0"/>
          <w:sz w:val="24"/>
          <w:szCs w:val="24"/>
          <w:highlight w:val="none"/>
          <w:lang w:val="en-US" w:eastAsia="zh-CN" w:bidi="ar"/>
        </w:rPr>
        <w:t>质量标准：达到国家施工验收规范合格标准。</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（四）响应</w:t>
      </w:r>
      <w:r>
        <w:rPr>
          <w:rFonts w:ascii="宋体" w:eastAsia="宋体" w:hAnsi="宋体" w:cs="宋体"/>
          <w:color w:val="auto"/>
          <w:kern w:val="0"/>
          <w:sz w:val="24"/>
          <w:szCs w:val="24"/>
          <w:highlight w:val="none"/>
          <w:lang w:val="en-US" w:eastAsia="zh-CN" w:bidi="ar"/>
        </w:rPr>
        <w:t>文件中提供详细的施工组织设计方案，包括：劳力投入、工期、施工进度计划及保证措施、主要部位质量保证措施、施工安全保障措施、主要部位的施工方法或方案和施工保证措施、工程交验后服务维护措施、现场文明施工措施、成品保护措施、与现场其他施工方的沟通协调等主要措施等内容。</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（五）</w:t>
      </w:r>
      <w:r>
        <w:rPr>
          <w:rFonts w:ascii="宋体" w:eastAsia="宋体" w:hAnsi="宋体" w:cs="宋体"/>
          <w:color w:val="auto"/>
          <w:kern w:val="0"/>
          <w:sz w:val="24"/>
          <w:szCs w:val="24"/>
          <w:highlight w:val="none"/>
          <w:lang w:val="en-US" w:eastAsia="zh-CN" w:bidi="ar"/>
        </w:rPr>
        <w:t>工程所用的材料、设备的品种、规格、性能和等级必须符合设计要求及国家、天津市现行产品标准和工程技术有关规定，符合国家有关建筑装饰装修材料有害物质限定标准的规定，达到环保和卫生要求。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（六）</w:t>
      </w:r>
      <w:r>
        <w:rPr>
          <w:rFonts w:ascii="宋体" w:eastAsia="宋体" w:hAnsi="宋体" w:cs="宋体"/>
          <w:color w:val="auto"/>
          <w:kern w:val="0"/>
          <w:sz w:val="24"/>
          <w:szCs w:val="24"/>
          <w:highlight w:val="none"/>
          <w:lang w:val="en-US" w:eastAsia="zh-CN" w:bidi="ar"/>
        </w:rPr>
        <w:t>主要材料设备在采购前，其材料质量、规格、品牌、性能必须经采购人确认后方可采购。工程施工中如发生因材料质量不合格，影响工程的施工进度和工程质量，所造成的一切损失由成交供应商负责。</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（七）</w:t>
      </w:r>
      <w:r>
        <w:rPr>
          <w:rFonts w:ascii="宋体" w:eastAsia="宋体" w:hAnsi="宋体" w:cs="宋体"/>
          <w:color w:val="auto"/>
          <w:kern w:val="0"/>
          <w:sz w:val="24"/>
          <w:szCs w:val="24"/>
          <w:highlight w:val="none"/>
          <w:lang w:val="en-US" w:eastAsia="zh-CN" w:bidi="ar"/>
        </w:rPr>
        <w:t>本项目的工程建设必须达到现行国家、省、自治区、直辖市或行业的工程建设标准、规范及强制性条文的要求。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（八）</w:t>
      </w:r>
      <w:r>
        <w:rPr>
          <w:rFonts w:ascii="宋体" w:eastAsia="宋体" w:hAnsi="宋体" w:cs="宋体"/>
          <w:color w:val="auto"/>
          <w:kern w:val="0"/>
          <w:sz w:val="24"/>
          <w:szCs w:val="24"/>
          <w:highlight w:val="none"/>
          <w:lang w:val="en-US" w:eastAsia="zh-CN" w:bidi="ar"/>
        </w:rPr>
        <w:t>施工前，需要按照国家规定进行二次复测的材料设备，必须经复测达到国家环保标准后方可使用，否则，由此所造成的损失则由施工单位负责。复测费用由施工单位承担。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（九）</w:t>
      </w:r>
      <w:r>
        <w:rPr>
          <w:rFonts w:ascii="宋体" w:eastAsia="宋体" w:hAnsi="宋体" w:cs="宋体"/>
          <w:color w:val="auto"/>
          <w:kern w:val="0"/>
          <w:sz w:val="24"/>
          <w:szCs w:val="24"/>
          <w:highlight w:val="none"/>
          <w:lang w:val="en-US" w:eastAsia="zh-CN" w:bidi="ar"/>
        </w:rPr>
        <w:t>施工中应严格遵守有关环境保护的法律法规，并应采用有效措施控制施工现场各种粉尘、废气、废弃物、噪声、振动等对周围环境造成的污染和危害。</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hint="eastAsia"/>
          <w:color w:val="auto"/>
          <w:kern w:val="0"/>
          <w:sz w:val="24"/>
          <w:szCs w:val="24"/>
          <w:highlight w:val="none"/>
          <w:lang w:val="en-US" w:eastAsia="zh-CN" w:bidi="ar"/>
        </w:rPr>
        <w:t>（十）供应商</w:t>
      </w:r>
      <w:r>
        <w:rPr>
          <w:rFonts w:ascii="宋体" w:eastAsia="宋体" w:hAnsi="宋体" w:cs="宋体"/>
          <w:color w:val="auto"/>
          <w:kern w:val="0"/>
          <w:sz w:val="24"/>
          <w:szCs w:val="24"/>
          <w:highlight w:val="none"/>
          <w:lang w:val="en-US" w:eastAsia="zh-CN" w:bidi="ar"/>
        </w:rPr>
        <w:t>必须具有良好的资信和售后服务，服从采购人的管理，自觉接受监理机构的监理，并能密切配合其它配套施工项目。</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sectPr>
          <w:headerReference w:type="default" r:id="rId18"/>
          <w:footerReference w:type="default" r:id="rId19"/>
          <w:type w:val="nextPage"/>
          <w:pgSz w:w="11906" w:h="16838"/>
          <w:pgMar w:top="1440" w:right="1080" w:bottom="1440" w:left="1080" w:header="851" w:footer="992" w:gutter="0"/>
          <w:pgNumType w:fmt="decimal" w:start="6" w:chapStyle="0" w:chapSep="hyphen"/>
          <w:cols w:space="708"/>
          <w:titlePg w:val="0"/>
          <w:docGrid w:type="lines" w:linePitch="312"/>
        </w:sectPr>
      </w:pPr>
      <w:r>
        <w:rPr>
          <w:rFonts w:ascii="宋体" w:eastAsia="宋体" w:hAnsi="宋体" w:cs="宋体" w:hint="eastAsia"/>
          <w:color w:val="auto"/>
          <w:kern w:val="0"/>
          <w:sz w:val="24"/>
          <w:szCs w:val="24"/>
          <w:highlight w:val="none"/>
          <w:lang w:val="en-US" w:eastAsia="zh-CN" w:bidi="ar"/>
        </w:rPr>
        <w:t>（十一）供应商</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420" w:right="0" w:leftChars="200" w:rightChars="0"/>
        <w:jc w:val="both"/>
        <w:textAlignment w:val="auto"/>
        <w:outlineLvl w:val="9"/>
        <w:rPr>
          <w:rFonts w:ascii="宋体" w:eastAsia="宋体" w:hAnsi="宋体" w:cs="宋体"/>
          <w:color w:val="auto"/>
          <w:kern w:val="0"/>
          <w:highlight w:val="none"/>
          <w:lang w:bidi="ar"/>
        </w:rPr>
      </w:pPr>
      <w:r>
        <w:rPr>
          <w:rFonts w:ascii="宋体" w:eastAsia="宋体" w:hAnsi="宋体" w:cs="宋体"/>
          <w:color w:val="auto"/>
          <w:kern w:val="0"/>
          <w:sz w:val="24"/>
          <w:szCs w:val="24"/>
          <w:highlight w:val="none"/>
          <w:lang w:val="en-US" w:eastAsia="zh-CN" w:bidi="ar"/>
        </w:rPr>
        <w:t>应按照磋商文件要求对所提供的工程量清单和施工现场进行复核，若无异议则视同对磋商文件要求已确认。</w:t>
      </w:r>
    </w:p>
    <w:p>
      <w:pPr>
        <w:pStyle w:val="Default"/>
        <w:numPr>
          <w:ilvl w:val="0"/>
          <w:numId w:val="0"/>
        </w:numPr>
        <w:snapToGrid w:val="0"/>
        <w:spacing w:line="360" w:lineRule="auto"/>
        <w:jc w:val="both"/>
        <w:rPr>
          <w:rFonts w:ascii="宋体" w:eastAsia="宋体" w:hAnsi="宋体" w:cs="宋体" w:hint="eastAsia"/>
          <w:b/>
          <w:color w:val="auto"/>
          <w:highlight w:val="none"/>
        </w:rPr>
      </w:pPr>
      <w:r>
        <w:rPr>
          <w:rFonts w:ascii="宋体" w:eastAsia="宋体" w:hAnsi="宋体" w:cs="宋体" w:hint="eastAsia"/>
          <w:b/>
          <w:color w:val="auto"/>
          <w:highlight w:val="none"/>
          <w:lang w:eastAsia="zh-CN"/>
        </w:rPr>
        <w:t>四、</w:t>
      </w:r>
      <w:r>
        <w:rPr>
          <w:rFonts w:ascii="宋体" w:eastAsia="宋体" w:hAnsi="宋体" w:cs="宋体" w:hint="eastAsia"/>
          <w:b/>
          <w:color w:val="auto"/>
          <w:highlight w:val="none"/>
        </w:rPr>
        <w:t>商务要求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 xml:space="preserve">(一)报价要求：磋商文件报价中的单价和合价以及总报价全部采用人民币表示。 </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.响应文件中工程预算清单报价须加盖本单位造价员章和造价师章(有效期内)。未按上述要求盖章、签字的，以无效标处理。</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.投标价格：</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（）具有标价的投标书和报价汇总表，以及组成工程报价分专业的工程预算应包括施工设备、劳务、管理、材料、安装、维护、保险、利润、税金、政策性文件规定及合同包含的所有风险、责任等各项应有费用。</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（）供应商应根据采购人提供的项目需求书、工程量清单，填写报价，进行投标。</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工程投标报价执行天津地区相关定额（《天津市年建筑工程预算基价》、《天津市年装饰工程预算基价》、《天津市年房屋修缮工程预算基价》、《天津市年设备安装工程预算基价》）和现行取费标准及市场价格。</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.投标价格采用形式：本工程投标报价采用综合单价方式。</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除非合同中另有规定，综合单价是为完成工程量清单中一个规定计量单位项目所需的费用合计，应包括直接工程费、企业管理费、规费、利润和税金并考虑风险因素。除非合同中另有规定，供应商所填写的单价和合价在合同实施期间不因市场变化因素而变动。</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 xml:space="preserve">.采用综合单价报价的，除非采购人对磋商文件予以修改，供应商应按采购人提供的工程量清单中列出的工程项目和工程量填报单价和合价。每一项目只允许有一个报价。任何有选择的报价将不予接受。供应商未填单价或合价的工程项目，在实施后，采购人将不予以支付，并视为该项费用已包括在其他有价款的单价或合价内。 </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投标报价均不包括施工过程中因施工图的重大设计变更（指结构、标准、规模）所发生的费用，不包括施工过程中遇到地下障碍物处理或地基处理所发生的费用。其上述费用承包方应执行磋商文件所采取的计价规则、标准计算工程量，待工程结算时根据该工程设计单位所出具的变更图纸或变更说明以及经监理工程师签署的承发包双方认可实际单价的签证方可按实调整。</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（二）质量要求：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lang w:val="en-US" w:eastAsia="zh-CN"/>
        </w:rPr>
        <w:t>严格按国家现行施工验收规范和质量评定标准检查验收。</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sectPr>
          <w:headerReference w:type="default" r:id="rId20"/>
          <w:footerReference w:type="default" r:id="rId21"/>
          <w:type w:val="nextPage"/>
          <w:pgSz w:w="11906" w:h="16838"/>
          <w:pgMar w:top="1440" w:right="1080" w:bottom="1440" w:left="1080" w:header="851" w:footer="992" w:gutter="0"/>
          <w:pgNumType w:fmt="decimal" w:start="7" w:chapStyle="0" w:chapSep="hyphen"/>
          <w:cols w:space="708"/>
          <w:titlePg w:val="0"/>
          <w:docGrid w:type="lines" w:linePitch="312"/>
        </w:sectPr>
      </w:pPr>
      <w:r>
        <w:rPr>
          <w:rFonts w:ascii="宋体" w:hAnsi="宋体" w:cs="宋体" w:hint="eastAsia"/>
          <w:color w:val="auto"/>
          <w:sz w:val="24"/>
          <w:szCs w:val="24"/>
          <w:highlight w:val="none"/>
          <w:lang w:eastAsia="zh-CN"/>
        </w:rPr>
        <w:t>（三）</w:t>
      </w:r>
      <w:r>
        <w:rPr>
          <w:rFonts w:ascii="宋体" w:hAnsi="宋体" w:cs="宋体" w:hint="eastAsia"/>
          <w:color w:val="auto"/>
          <w:sz w:val="24"/>
          <w:szCs w:val="24"/>
          <w:highlight w:val="none"/>
        </w:rPr>
        <w:t>承包方式：</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rPr>
        <w:t>. 本工程采取包工包料方式，按投标最终报价确定合同价格（单价固定），工程结算以采购人指定的审计部门做出的审计结果为结算依据。</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rPr>
        <w:t>. 投标单位设计方案及工程预算以竞争性磋商文件为主要依据。</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rPr>
        <w:t>. 变更由采购人签证认可，其增减量按实结算，人工费、材料差价不予调整。</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rPr>
        <w:t>. 该工程涉及的一切手续(消防、公安、市容、规划、占道、城管、环卫等)，均由施工方负责办理，所发生的费用由投标方承担，采购人只负责确认盖章等一般手续。</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lang w:eastAsia="zh-CN"/>
        </w:rPr>
        <w:t>（四）</w:t>
      </w:r>
      <w:r>
        <w:rPr>
          <w:rFonts w:ascii="宋体" w:hAnsi="宋体" w:cs="宋体" w:hint="eastAsia"/>
          <w:color w:val="auto"/>
          <w:sz w:val="24"/>
          <w:szCs w:val="24"/>
          <w:highlight w:val="none"/>
        </w:rPr>
        <w:t>工期要求：</w:t>
      </w:r>
      <w:r>
        <w:rPr>
          <w:rFonts w:ascii="宋体" w:hAnsi="宋体" w:cs="宋体" w:hint="eastAsia"/>
          <w:color w:val="auto"/>
          <w:sz w:val="24"/>
          <w:szCs w:val="24"/>
          <w:highlight w:val="none"/>
          <w:lang w:eastAsia="zh-CN"/>
        </w:rPr>
        <w:t>签订合同后</w:t>
      </w:r>
      <w:r>
        <w:rPr>
          <w:rFonts w:ascii="宋体" w:hAnsi="宋体" w:cs="宋体" w:hint="eastAsia"/>
          <w:color w:val="auto"/>
          <w:sz w:val="24"/>
          <w:szCs w:val="24"/>
          <w:highlight w:val="none"/>
          <w:lang w:val="en-US" w:eastAsia="zh-CN"/>
        </w:rPr>
        <w:t>日完成。</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lang w:eastAsia="zh-CN"/>
        </w:rPr>
        <w:t>（五）</w:t>
      </w:r>
      <w:r>
        <w:rPr>
          <w:rFonts w:ascii="宋体" w:hAnsi="宋体" w:cs="宋体" w:hint="eastAsia"/>
          <w:color w:val="auto"/>
          <w:sz w:val="24"/>
          <w:szCs w:val="24"/>
          <w:highlight w:val="none"/>
        </w:rPr>
        <w:t>付款方式：</w:t>
      </w:r>
      <w:r>
        <w:rPr>
          <w:rFonts w:ascii="宋体" w:hAnsi="宋体" w:cs="宋体" w:hint="eastAsia"/>
          <w:color w:val="auto"/>
          <w:sz w:val="24"/>
          <w:szCs w:val="24"/>
          <w:highlight w:val="none"/>
          <w:lang w:eastAsia="zh-CN"/>
        </w:rPr>
        <w:t>工程在竣工</w:t>
      </w:r>
      <w:r>
        <w:rPr>
          <w:rFonts w:ascii="宋体" w:hAnsi="宋体" w:cs="宋体" w:hint="eastAsia"/>
          <w:color w:val="auto"/>
          <w:sz w:val="24"/>
          <w:szCs w:val="24"/>
          <w:highlight w:val="none"/>
        </w:rPr>
        <w:t>验收合格后支付合同总额的%，自验收合格之日起</w:t>
      </w:r>
      <w:r>
        <w:rPr>
          <w:rFonts w:ascii="宋体" w:hAnsi="宋体" w:cs="宋体" w:hint="eastAsia"/>
          <w:color w:val="auto"/>
          <w:sz w:val="24"/>
          <w:szCs w:val="24"/>
          <w:highlight w:val="none"/>
          <w:lang w:eastAsia="zh-CN"/>
        </w:rPr>
        <w:t>一</w:t>
      </w:r>
      <w:r>
        <w:rPr>
          <w:rFonts w:ascii="宋体" w:hAnsi="宋体" w:cs="宋体" w:hint="eastAsia"/>
          <w:color w:val="auto"/>
          <w:sz w:val="24"/>
          <w:szCs w:val="24"/>
          <w:highlight w:val="none"/>
        </w:rPr>
        <w:t>年后日内，将</w:t>
      </w:r>
      <w:r>
        <w:rPr>
          <w:rFonts w:ascii="宋体" w:hAnsi="宋体" w:cs="宋体" w:hint="eastAsia"/>
          <w:color w:val="auto"/>
          <w:sz w:val="24"/>
          <w:szCs w:val="24"/>
          <w:highlight w:val="none"/>
          <w:lang w:eastAsia="zh-CN"/>
        </w:rPr>
        <w:t>支付</w:t>
      </w:r>
      <w:r>
        <w:rPr>
          <w:rFonts w:ascii="宋体" w:hAnsi="宋体" w:cs="宋体" w:hint="eastAsia"/>
          <w:color w:val="auto"/>
          <w:sz w:val="24"/>
          <w:szCs w:val="24"/>
          <w:highlight w:val="none"/>
        </w:rPr>
        <w:t>剩余%尾款。</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color w:val="auto"/>
          <w:sz w:val="24"/>
          <w:szCs w:val="24"/>
          <w:highlight w:val="none"/>
        </w:rPr>
      </w:pPr>
      <w:r>
        <w:rPr>
          <w:rFonts w:ascii="宋体" w:hAnsi="宋体" w:cs="宋体" w:hint="eastAsia"/>
          <w:color w:val="auto"/>
          <w:sz w:val="24"/>
          <w:szCs w:val="24"/>
          <w:highlight w:val="none"/>
          <w:lang w:eastAsia="zh-CN"/>
        </w:rPr>
        <w:t>（六）磋商</w:t>
      </w:r>
      <w:r>
        <w:rPr>
          <w:rFonts w:ascii="宋体" w:hAnsi="宋体" w:cs="宋体" w:hint="eastAsia"/>
          <w:color w:val="auto"/>
          <w:sz w:val="24"/>
          <w:szCs w:val="24"/>
          <w:highlight w:val="none"/>
        </w:rPr>
        <w:t>有效期：本项目</w:t>
      </w:r>
      <w:r>
        <w:rPr>
          <w:rFonts w:ascii="宋体" w:hAnsi="宋体" w:cs="宋体" w:hint="eastAsia"/>
          <w:color w:val="auto"/>
          <w:sz w:val="24"/>
          <w:szCs w:val="24"/>
          <w:highlight w:val="none"/>
          <w:lang w:eastAsia="zh-CN"/>
        </w:rPr>
        <w:t>磋商</w:t>
      </w:r>
      <w:r>
        <w:rPr>
          <w:rFonts w:ascii="宋体" w:hAnsi="宋体" w:cs="宋体" w:hint="eastAsia"/>
          <w:color w:val="auto"/>
          <w:sz w:val="24"/>
          <w:szCs w:val="24"/>
          <w:highlight w:val="none"/>
        </w:rPr>
        <w:t>有效期为天。</w:t>
      </w:r>
    </w:p>
    <w:p>
      <w:pPr>
        <w:pStyle w:val="Default"/>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rPr>
        <w:t>投标保证金和履约保证金：</w:t>
      </w:r>
    </w:p>
    <w:p>
      <w:pPr>
        <w:pStyle w:val="Default"/>
        <w:snapToGrid w:val="0"/>
        <w:spacing w:line="360" w:lineRule="auto"/>
        <w:ind w:left="420" w:firstLine="200" w:left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.本项目不收取履约保证金。</w:t>
      </w:r>
    </w:p>
    <w:p>
      <w:pPr>
        <w:pStyle w:val="Default"/>
        <w:snapToGrid w:val="0"/>
        <w:spacing w:line="360" w:lineRule="auto"/>
        <w:ind w:left="420" w:firstLine="200" w:left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.投标保证金</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rPr>
        <w:t>供应商应交纳人民币元作为投标保证金，未按规定递交投标保证金的供应商</w:t>
      </w: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rPr>
        <w:t>将被视为未实质上响应磋商文件，其响应文件将被拒绝。</w:t>
      </w:r>
    </w:p>
    <w:p>
      <w:pPr>
        <w:spacing w:line="360" w:lineRule="auto"/>
        <w:ind w:firstLine="720" w:firstLineChars="300"/>
        <w:rPr>
          <w:rFonts w:ascii="宋体" w:hAnsi="宋体" w:cs="Arial" w:hint="eastAsia"/>
          <w:color w:val="auto"/>
          <w:sz w:val="24"/>
          <w:highlight w:val="none"/>
        </w:rPr>
      </w:pPr>
      <w:r>
        <w:rPr>
          <w:rFonts w:ascii="宋体" w:hAnsi="宋体" w:cs="Arial" w:hint="eastAsia"/>
          <w:color w:val="auto"/>
          <w:sz w:val="24"/>
          <w:highlight w:val="none"/>
        </w:rPr>
        <w:t>注：</w:t>
      </w:r>
      <w:r>
        <w:rPr>
          <w:rFonts w:ascii="宋体" w:hAnsi="宋体" w:cs="Arial" w:hint="eastAsia"/>
          <w:color w:val="auto"/>
          <w:sz w:val="24"/>
          <w:highlight w:val="none"/>
          <w:lang w:val="en-US" w:eastAsia="zh-CN"/>
        </w:rPr>
        <w:t>供应商最迟应在采购文件确定的提交响应文件截止时间前，向招标代理机构交纳投标保证金。投标保证金的交付时间以收款人银行实际到帐为准，由于供应商的原因而造成投标保证金没有及时到帐的相关责任，由供应商自行负责。供应商应采用电汇方式缴纳投标保证金，且投标保证金须从供应商的对公账户汇出，并注明用途、项目编号、包号、联系人及电话（采用此格式注明：RSGS-JH--第包投标保证金，姓名及手机号码），现将投标保证金收款人名称、开户银行、帐号等公布如下：</w:t>
      </w:r>
    </w:p>
    <w:p>
      <w:pPr>
        <w:spacing w:line="360" w:lineRule="auto"/>
        <w:ind w:firstLine="720" w:firstLineChars="300"/>
        <w:rPr>
          <w:rFonts w:ascii="宋体" w:hAnsi="宋体" w:cs="Arial" w:hint="eastAsia"/>
          <w:color w:val="auto"/>
          <w:sz w:val="24"/>
          <w:highlight w:val="none"/>
        </w:rPr>
      </w:pPr>
      <w:r>
        <w:rPr>
          <w:rFonts w:ascii="宋体" w:hAnsi="宋体" w:cs="Arial" w:hint="eastAsia"/>
          <w:color w:val="auto"/>
          <w:sz w:val="24"/>
          <w:highlight w:val="none"/>
        </w:rPr>
        <w:t>收款人名称：天津融尚招标代理有限公司</w:t>
      </w:r>
    </w:p>
    <w:p>
      <w:pPr>
        <w:spacing w:line="360" w:lineRule="auto"/>
        <w:ind w:firstLine="720" w:firstLineChars="300"/>
        <w:rPr>
          <w:rFonts w:ascii="宋体" w:hAnsi="宋体" w:cs="Arial" w:hint="eastAsia"/>
          <w:color w:val="auto"/>
          <w:sz w:val="24"/>
          <w:highlight w:val="none"/>
        </w:rPr>
      </w:pPr>
      <w:r>
        <w:rPr>
          <w:rFonts w:ascii="宋体" w:hAnsi="宋体" w:cs="Arial" w:hint="eastAsia"/>
          <w:color w:val="auto"/>
          <w:sz w:val="24"/>
          <w:highlight w:val="none"/>
        </w:rPr>
        <w:t>收款人地址：天津市河东区万东路号</w:t>
      </w:r>
    </w:p>
    <w:p>
      <w:pPr>
        <w:spacing w:line="360" w:lineRule="auto"/>
        <w:ind w:firstLine="720" w:firstLineChars="300"/>
        <w:rPr>
          <w:rFonts w:ascii="宋体" w:hAnsi="宋体" w:cs="Arial" w:hint="eastAsia"/>
          <w:color w:val="auto"/>
          <w:sz w:val="24"/>
          <w:highlight w:val="none"/>
        </w:rPr>
      </w:pPr>
      <w:r>
        <w:rPr>
          <w:rFonts w:ascii="宋体" w:hAnsi="宋体" w:cs="Arial" w:hint="eastAsia"/>
          <w:color w:val="auto"/>
          <w:sz w:val="24"/>
          <w:highlight w:val="none"/>
        </w:rPr>
        <w:t>开户行名称：中国农业银行股份有限公司天津万东路支行</w:t>
      </w:r>
    </w:p>
    <w:p>
      <w:pPr>
        <w:spacing w:line="360" w:lineRule="auto"/>
        <w:ind w:firstLine="720" w:firstLineChars="300"/>
        <w:rPr>
          <w:rFonts w:ascii="宋体" w:eastAsia="宋体" w:hAnsi="宋体" w:cs="Arial" w:hint="eastAsia"/>
          <w:color w:val="auto"/>
          <w:sz w:val="24"/>
          <w:highlight w:val="none"/>
        </w:rPr>
      </w:pPr>
      <w:r>
        <w:rPr>
          <w:rFonts w:ascii="宋体" w:hAnsi="宋体" w:cs="Arial" w:hint="eastAsia"/>
          <w:color w:val="auto"/>
          <w:sz w:val="24"/>
          <w:highlight w:val="none"/>
        </w:rPr>
        <w:t>开户行账号：</w:t>
      </w:r>
    </w:p>
    <w:p>
      <w:pPr>
        <w:spacing w:line="360" w:lineRule="auto"/>
        <w:ind w:firstLine="720" w:firstLineChars="300"/>
        <w:rPr>
          <w:rFonts w:ascii="宋体" w:hAnsi="宋体" w:cs="Arial" w:hint="eastAsia"/>
          <w:color w:val="auto"/>
          <w:sz w:val="24"/>
          <w:highlight w:val="none"/>
        </w:rPr>
      </w:pPr>
      <w:r>
        <w:rPr>
          <w:rFonts w:ascii="宋体" w:hAnsi="宋体" w:cs="Arial" w:hint="eastAsia"/>
          <w:color w:val="auto"/>
          <w:sz w:val="24"/>
          <w:highlight w:val="none"/>
        </w:rPr>
        <w:t xml:space="preserve">开户行行号： </w:t>
      </w:r>
    </w:p>
    <w:p>
      <w:pPr>
        <w:spacing w:line="360" w:lineRule="auto"/>
        <w:ind w:firstLine="720" w:firstLineChars="300"/>
        <w:rPr>
          <w:rFonts w:ascii="宋体" w:eastAsia="宋体" w:hAnsi="宋体" w:cs="Arial" w:hint="eastAsia"/>
          <w:color w:val="auto"/>
          <w:sz w:val="24"/>
          <w:highlight w:val="none"/>
        </w:rPr>
      </w:pPr>
      <w:r>
        <w:rPr>
          <w:rFonts w:ascii="宋体" w:hAnsi="宋体" w:cs="Arial" w:hint="eastAsia"/>
          <w:color w:val="auto"/>
          <w:sz w:val="24"/>
          <w:highlight w:val="none"/>
        </w:rPr>
        <w:t>开户行清算号：</w:t>
      </w:r>
    </w:p>
    <w:p>
      <w:pPr>
        <w:spacing w:line="360" w:lineRule="auto"/>
        <w:rPr>
          <w:rFonts w:ascii="宋体" w:hAnsi="宋体" w:cs="Arial" w:hint="eastAsia"/>
          <w:color w:val="auto"/>
          <w:sz w:val="24"/>
          <w:highlight w:val="none"/>
        </w:rPr>
      </w:pPr>
      <w:r>
        <w:rPr>
          <w:rFonts w:ascii="宋体" w:hAnsi="宋体" w:cs="Arial" w:hint="eastAsia"/>
          <w:color w:val="auto"/>
          <w:sz w:val="24"/>
          <w:highlight w:val="none"/>
        </w:rPr>
        <w:t>投标保证金的退还</w:t>
      </w:r>
    </w:p>
    <w:p>
      <w:pPr>
        <w:spacing w:line="360" w:lineRule="auto"/>
        <w:rPr>
          <w:rFonts w:ascii="宋体" w:hAnsi="宋体" w:cs="Arial" w:hint="eastAsia"/>
          <w:color w:val="auto"/>
          <w:sz w:val="24"/>
          <w:highlight w:val="none"/>
        </w:rPr>
        <w:sectPr>
          <w:headerReference w:type="default" r:id="rId22"/>
          <w:footerReference w:type="default" r:id="rId23"/>
          <w:type w:val="nextPage"/>
          <w:pgSz w:w="11906" w:h="16838"/>
          <w:pgMar w:top="1440" w:right="1080" w:bottom="1440" w:left="1080" w:header="851" w:footer="992" w:gutter="0"/>
          <w:pgNumType w:fmt="decimal" w:start="8" w:chapStyle="0" w:chapSep="hyphen"/>
          <w:cols w:space="708"/>
          <w:titlePg w:val="0"/>
          <w:docGrid w:type="lines" w:linePitch="312"/>
        </w:sectPr>
      </w:pPr>
      <w:r>
        <w:rPr>
          <w:rFonts w:ascii="宋体" w:hAnsi="宋体" w:cs="Arial" w:hint="eastAsia"/>
          <w:color w:val="auto"/>
          <w:sz w:val="24"/>
          <w:highlight w:val="none"/>
        </w:rPr>
        <w:t>. 开评标结束后，本机构凭退款单位开具的企业往来专用收据，根据不同情况办理投标保证金的退还工作。</w:t>
      </w:r>
    </w:p>
    <w:p>
      <w:pPr>
        <w:spacing w:line="360" w:lineRule="auto"/>
        <w:ind w:firstLine="240" w:firstLineChars="100"/>
        <w:rPr>
          <w:rFonts w:ascii="宋体" w:hAnsi="宋体" w:cs="Arial" w:hint="eastAsia"/>
          <w:color w:val="auto"/>
          <w:sz w:val="24"/>
          <w:highlight w:val="none"/>
        </w:rPr>
      </w:pPr>
      <w:r>
        <w:rPr>
          <w:rFonts w:ascii="宋体" w:hAnsi="宋体" w:cs="Arial" w:hint="eastAsia"/>
          <w:color w:val="auto"/>
          <w:sz w:val="24"/>
          <w:highlight w:val="none"/>
        </w:rPr>
        <w:t>①</w:t>
      </w:r>
      <w:r>
        <w:rPr>
          <w:rFonts w:ascii="宋体" w:hAnsi="宋体" w:cs="Arial" w:hint="eastAsia"/>
          <w:color w:val="auto"/>
          <w:sz w:val="24"/>
          <w:highlight w:val="none"/>
        </w:rPr>
        <w:t>对开评标过程中依法作为无效投标、废标或因投标方不足三家、投标方报价均超出采购人预算而造成的流标等，在开评标结束后五个工作日内向</w:t>
      </w:r>
      <w:r>
        <w:rPr>
          <w:rFonts w:ascii="宋体" w:hAnsi="宋体" w:cs="Arial" w:hint="eastAsia"/>
          <w:color w:val="auto"/>
          <w:sz w:val="24"/>
          <w:highlight w:val="none"/>
          <w:lang w:eastAsia="zh-CN"/>
        </w:rPr>
        <w:t>供应商</w:t>
      </w:r>
      <w:r>
        <w:rPr>
          <w:rFonts w:ascii="宋体" w:hAnsi="宋体" w:cs="Arial" w:hint="eastAsia"/>
          <w:color w:val="auto"/>
          <w:sz w:val="24"/>
          <w:highlight w:val="none"/>
        </w:rPr>
        <w:t>退还投标保证金。</w:t>
      </w:r>
    </w:p>
    <w:p>
      <w:pPr>
        <w:spacing w:line="360" w:lineRule="auto"/>
        <w:ind w:firstLine="240" w:firstLineChars="100"/>
        <w:rPr>
          <w:rFonts w:ascii="宋体" w:hAnsi="宋体" w:cs="Arial" w:hint="eastAsia"/>
          <w:color w:val="auto"/>
          <w:sz w:val="24"/>
          <w:highlight w:val="none"/>
        </w:rPr>
      </w:pPr>
      <w:r>
        <w:rPr>
          <w:rFonts w:ascii="宋体" w:hAnsi="宋体" w:cs="Arial" w:hint="eastAsia"/>
          <w:color w:val="auto"/>
          <w:sz w:val="24"/>
          <w:highlight w:val="none"/>
        </w:rPr>
        <w:t>②</w:t>
      </w:r>
      <w:r>
        <w:rPr>
          <w:rFonts w:ascii="宋体" w:hAnsi="宋体" w:cs="Arial" w:hint="eastAsia"/>
          <w:color w:val="auto"/>
          <w:sz w:val="24"/>
          <w:highlight w:val="none"/>
        </w:rPr>
        <w:t>对参加政府采购项目的</w:t>
      </w:r>
      <w:r>
        <w:rPr>
          <w:rFonts w:ascii="宋体" w:hAnsi="宋体" w:cs="Arial" w:hint="eastAsia"/>
          <w:color w:val="auto"/>
          <w:sz w:val="24"/>
          <w:highlight w:val="none"/>
          <w:lang w:eastAsia="zh-CN"/>
        </w:rPr>
        <w:t>供应商</w:t>
      </w:r>
      <w:r>
        <w:rPr>
          <w:rFonts w:ascii="宋体" w:hAnsi="宋体" w:cs="Arial" w:hint="eastAsia"/>
          <w:color w:val="auto"/>
          <w:sz w:val="24"/>
          <w:highlight w:val="none"/>
        </w:rPr>
        <w:t>，在</w:t>
      </w:r>
      <w:r>
        <w:rPr>
          <w:rFonts w:ascii="宋体" w:hAnsi="宋体" w:cs="Arial" w:hint="eastAsia"/>
          <w:color w:val="auto"/>
          <w:sz w:val="24"/>
          <w:highlight w:val="none"/>
          <w:lang w:eastAsia="zh-CN"/>
        </w:rPr>
        <w:t>成交</w:t>
      </w:r>
      <w:r>
        <w:rPr>
          <w:rFonts w:ascii="宋体" w:hAnsi="宋体" w:cs="Arial" w:hint="eastAsia"/>
          <w:color w:val="auto"/>
          <w:sz w:val="24"/>
          <w:highlight w:val="none"/>
        </w:rPr>
        <w:t>通知书发出后五个工作日内退还未</w:t>
      </w:r>
      <w:r>
        <w:rPr>
          <w:rFonts w:ascii="宋体" w:hAnsi="宋体" w:cs="Arial" w:hint="eastAsia"/>
          <w:color w:val="auto"/>
          <w:sz w:val="24"/>
          <w:highlight w:val="none"/>
          <w:lang w:eastAsia="zh-CN"/>
        </w:rPr>
        <w:t>成交</w:t>
      </w:r>
      <w:r>
        <w:rPr>
          <w:rFonts w:ascii="宋体" w:hAnsi="宋体" w:cs="Arial" w:hint="eastAsia"/>
          <w:color w:val="auto"/>
          <w:sz w:val="24"/>
          <w:highlight w:val="none"/>
        </w:rPr>
        <w:t>单位的投标保证金；在采购合同签定后五个工作日内退还</w:t>
      </w:r>
      <w:r>
        <w:rPr>
          <w:rFonts w:ascii="宋体" w:hAnsi="宋体" w:cs="Arial" w:hint="eastAsia"/>
          <w:color w:val="auto"/>
          <w:sz w:val="24"/>
          <w:highlight w:val="none"/>
          <w:lang w:eastAsia="zh-CN"/>
        </w:rPr>
        <w:t>成交</w:t>
      </w:r>
      <w:r>
        <w:rPr>
          <w:rFonts w:ascii="宋体" w:hAnsi="宋体" w:cs="Arial" w:hint="eastAsia"/>
          <w:color w:val="auto"/>
          <w:sz w:val="24"/>
          <w:highlight w:val="none"/>
        </w:rPr>
        <w:t>单位的投标保证金。</w:t>
      </w:r>
    </w:p>
    <w:p>
      <w:pPr>
        <w:spacing w:line="360" w:lineRule="auto"/>
        <w:ind w:firstLine="240" w:firstLineChars="100"/>
        <w:rPr>
          <w:rFonts w:ascii="宋体" w:hAnsi="宋体" w:cs="Arial" w:hint="eastAsia"/>
          <w:color w:val="auto"/>
          <w:sz w:val="24"/>
          <w:highlight w:val="none"/>
        </w:rPr>
      </w:pPr>
      <w:r>
        <w:rPr>
          <w:rFonts w:ascii="宋体" w:hAnsi="宋体" w:cs="Arial" w:hint="eastAsia"/>
          <w:color w:val="auto"/>
          <w:sz w:val="24"/>
          <w:highlight w:val="none"/>
        </w:rPr>
        <w:t>③</w:t>
      </w:r>
      <w:r>
        <w:rPr>
          <w:rFonts w:ascii="宋体" w:hAnsi="宋体" w:cs="Arial" w:hint="eastAsia"/>
          <w:color w:val="auto"/>
          <w:sz w:val="24"/>
          <w:highlight w:val="none"/>
        </w:rPr>
        <w:t>对其他情形的投标保证金退还及违约投标保证金的处理，依据</w:t>
      </w:r>
      <w:r>
        <w:rPr>
          <w:rFonts w:ascii="宋体" w:hAnsi="宋体" w:cs="Arial" w:hint="eastAsia"/>
          <w:color w:val="auto"/>
          <w:sz w:val="24"/>
          <w:highlight w:val="none"/>
          <w:lang w:eastAsia="zh-CN"/>
        </w:rPr>
        <w:t>磋商</w:t>
      </w:r>
      <w:r>
        <w:rPr>
          <w:rFonts w:ascii="宋体" w:hAnsi="宋体" w:cs="Arial" w:hint="eastAsia"/>
          <w:color w:val="auto"/>
          <w:sz w:val="24"/>
          <w:highlight w:val="none"/>
        </w:rPr>
        <w:t>文件及国家有关法律、法规执行。</w:t>
      </w:r>
    </w:p>
    <w:p>
      <w:pPr>
        <w:spacing w:line="360" w:lineRule="auto"/>
        <w:rPr>
          <w:rFonts w:ascii="宋体" w:hAnsi="宋体" w:cs="Arial" w:hint="eastAsia"/>
          <w:color w:val="auto"/>
          <w:sz w:val="24"/>
          <w:highlight w:val="none"/>
        </w:rPr>
      </w:pPr>
      <w:r>
        <w:rPr>
          <w:rFonts w:ascii="宋体" w:hAnsi="宋体" w:cs="Arial" w:hint="eastAsia"/>
          <w:color w:val="auto"/>
          <w:sz w:val="24"/>
          <w:highlight w:val="none"/>
        </w:rPr>
        <w:t>. 投标保证金退还一律按</w:t>
      </w:r>
      <w:r>
        <w:rPr>
          <w:rFonts w:ascii="宋体" w:hAnsi="宋体" w:cs="Arial" w:hint="eastAsia"/>
          <w:color w:val="auto"/>
          <w:sz w:val="24"/>
          <w:highlight w:val="none"/>
          <w:lang w:eastAsia="zh-CN"/>
        </w:rPr>
        <w:t>供应商</w:t>
      </w:r>
      <w:r>
        <w:rPr>
          <w:rFonts w:ascii="宋体" w:hAnsi="宋体" w:cs="Arial" w:hint="eastAsia"/>
          <w:color w:val="auto"/>
          <w:sz w:val="24"/>
          <w:highlight w:val="none"/>
        </w:rPr>
        <w:t>提交投标保证金时的路径、银行帐号由银行</w:t>
      </w:r>
      <w:r>
        <w:rPr>
          <w:rFonts w:ascii="宋体" w:hAnsi="宋体" w:cs="Arial" w:hint="eastAsia"/>
          <w:color w:val="auto"/>
          <w:sz w:val="24"/>
          <w:highlight w:val="none"/>
          <w:lang w:eastAsia="zh-CN"/>
        </w:rPr>
        <w:t>以电汇方式</w:t>
      </w:r>
      <w:r>
        <w:rPr>
          <w:rFonts w:ascii="宋体" w:hAnsi="宋体" w:cs="Arial" w:hint="eastAsia"/>
          <w:color w:val="auto"/>
          <w:sz w:val="24"/>
          <w:highlight w:val="none"/>
        </w:rPr>
        <w:t>予以无息返还，</w:t>
      </w:r>
      <w:r>
        <w:rPr>
          <w:rFonts w:ascii="宋体" w:hAnsi="宋体" w:cs="Arial" w:hint="eastAsia"/>
          <w:color w:val="auto"/>
          <w:sz w:val="24"/>
          <w:highlight w:val="none"/>
          <w:lang w:eastAsia="zh-CN"/>
        </w:rPr>
        <w:t>供应商</w:t>
      </w:r>
      <w:r>
        <w:rPr>
          <w:rFonts w:ascii="宋体" w:hAnsi="宋体" w:cs="Arial" w:hint="eastAsia"/>
          <w:color w:val="auto"/>
          <w:sz w:val="24"/>
          <w:highlight w:val="none"/>
        </w:rPr>
        <w:t>应承担银行按规定收取的投标保证金退还的相关费用。</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240" w:rightChars="0" w:firstLineChars="1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（八）</w:t>
      </w:r>
      <w:r>
        <w:rPr>
          <w:rFonts w:ascii="宋体" w:eastAsia="宋体" w:hAnsi="宋体" w:cs="宋体" w:hint="eastAsia"/>
          <w:bCs/>
          <w:color w:val="auto"/>
          <w:highlight w:val="none"/>
        </w:rPr>
        <w:t>其他要求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w:t>
      </w:r>
      <w:r>
        <w:rPr>
          <w:rFonts w:ascii="宋体" w:eastAsia="宋体" w:hAnsi="宋体" w:cs="宋体" w:hint="eastAsia"/>
          <w:bCs/>
          <w:color w:val="auto"/>
          <w:highlight w:val="none"/>
        </w:rPr>
        <w:t>供应商须整包进行磋商，不得拆包分项磋商。</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w:t>
      </w:r>
      <w:r>
        <w:rPr>
          <w:rFonts w:ascii="宋体" w:eastAsia="宋体" w:hAnsi="宋体" w:cs="宋体" w:hint="eastAsia"/>
          <w:bCs/>
          <w:color w:val="auto"/>
          <w:highlight w:val="none"/>
        </w:rPr>
        <w:t>本项目参照《关于加强我市政府采购项目验收工作的通知》津财采〔〕组织验收。</w:t>
      </w:r>
    </w:p>
    <w:p>
      <w:pPr>
        <w:pStyle w:val="Default"/>
        <w:numPr>
          <w:ilvl w:val="0"/>
          <w:numId w:val="2"/>
        </w:numPr>
        <w:snapToGrid w:val="0"/>
        <w:spacing w:line="360" w:lineRule="auto"/>
        <w:ind w:firstLine="480" w:firstLineChars="200"/>
        <w:jc w:val="both"/>
        <w:rPr>
          <w:rFonts w:ascii="宋体" w:eastAsia="宋体" w:hAnsi="宋体" w:cs="宋体" w:hint="eastAsia"/>
          <w:b/>
          <w:color w:val="auto"/>
          <w:highlight w:val="none"/>
        </w:rPr>
      </w:pPr>
      <w:r>
        <w:rPr>
          <w:rFonts w:ascii="宋体" w:eastAsia="宋体" w:hAnsi="宋体" w:cs="宋体" w:hint="eastAsia"/>
          <w:b/>
          <w:color w:val="auto"/>
          <w:highlight w:val="none"/>
        </w:rPr>
        <w:t>磋商程序</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（一）</w:t>
      </w:r>
      <w:r>
        <w:rPr>
          <w:rFonts w:ascii="宋体" w:eastAsia="宋体" w:hAnsi="宋体" w:cs="宋体" w:hint="eastAsia"/>
          <w:bCs/>
          <w:color w:val="auto"/>
          <w:highlight w:val="none"/>
        </w:rPr>
        <w:t>获取磋商文件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供</w:t>
      </w:r>
      <w:r>
        <w:rPr>
          <w:rFonts w:ascii="宋体" w:eastAsia="宋体" w:hAnsi="宋体" w:cs="宋体" w:hint="eastAsia"/>
          <w:color w:val="auto"/>
          <w:sz w:val="24"/>
          <w:highlight w:val="none"/>
          <w:lang w:eastAsia="zh-CN"/>
        </w:rPr>
        <w:t>应商应在竞争性磋商公告发布后到天津融尚招标代理有限公司【</w:t>
      </w:r>
      <w:r>
        <w:rPr>
          <w:rFonts w:ascii="宋体" w:eastAsia="宋体" w:hAnsi="宋体" w:cs="宋体" w:hint="eastAsia"/>
          <w:color w:val="auto"/>
          <w:kern w:val="2"/>
          <w:highlight w:val="none"/>
        </w:rPr>
        <w:t>天津</w:t>
      </w:r>
      <w:r>
        <w:rPr>
          <w:rFonts w:ascii="宋体" w:eastAsia="宋体" w:hAnsi="宋体" w:cs="宋体" w:hint="eastAsia"/>
          <w:color w:val="auto"/>
          <w:kern w:val="2"/>
          <w:highlight w:val="none"/>
          <w:lang w:eastAsia="zh-CN"/>
        </w:rPr>
        <w:t>市静海区东方商业街二段</w:t>
      </w:r>
      <w:r>
        <w:rPr>
          <w:rFonts w:ascii="宋体" w:eastAsia="宋体" w:hAnsi="宋体" w:cs="宋体" w:hint="eastAsia"/>
          <w:color w:val="auto"/>
          <w:kern w:val="2"/>
          <w:highlight w:val="none"/>
          <w:lang w:val="en-US" w:eastAsia="zh-CN"/>
        </w:rPr>
        <w:t>B-</w:t>
      </w:r>
      <w:r>
        <w:rPr>
          <w:rFonts w:ascii="宋体" w:eastAsia="宋体" w:hAnsi="宋体" w:cs="宋体" w:hint="eastAsia"/>
          <w:color w:val="auto"/>
          <w:sz w:val="24"/>
          <w:highlight w:val="none"/>
          <w:lang w:eastAsia="zh-CN"/>
        </w:rPr>
        <w:t>】购买竞争性磋商文件。</w:t>
      </w:r>
    </w:p>
    <w:p>
      <w:pPr>
        <w:pStyle w:val="Default"/>
        <w:numPr>
          <w:ilvl w:val="0"/>
          <w:numId w:val="3"/>
        </w:numPr>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响应文件的递交</w:t>
      </w:r>
    </w:p>
    <w:p>
      <w:pPr>
        <w:pStyle w:val="Default"/>
        <w:numPr>
          <w:ilvl w:val="0"/>
          <w:numId w:val="0"/>
        </w:numPr>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按照规定的时间，供应商须携带全部纸质响应文件</w:t>
      </w:r>
      <w:r>
        <w:rPr>
          <w:rFonts w:ascii="宋体" w:eastAsia="宋体" w:hAnsi="宋体" w:cs="宋体" w:hint="eastAsia"/>
          <w:bCs/>
          <w:color w:val="auto"/>
          <w:highlight w:val="none"/>
          <w:lang w:eastAsia="zh-CN"/>
        </w:rPr>
        <w:t>、资格证件</w:t>
      </w:r>
      <w:r>
        <w:rPr>
          <w:rFonts w:ascii="宋体" w:eastAsia="宋体" w:hAnsi="宋体" w:cs="宋体" w:hint="eastAsia"/>
          <w:bCs/>
          <w:color w:val="auto"/>
          <w:highlight w:val="none"/>
        </w:rPr>
        <w:t>、电子版文件到天</w:t>
      </w:r>
      <w:r>
        <w:rPr>
          <w:rFonts w:ascii="宋体" w:eastAsia="宋体" w:hAnsi="宋体" w:cs="宋体" w:hint="eastAsia"/>
          <w:color w:val="auto"/>
          <w:kern w:val="2"/>
          <w:highlight w:val="none"/>
        </w:rPr>
        <w:t>津融尚招标代理有限公司【天津</w:t>
      </w:r>
      <w:r>
        <w:rPr>
          <w:rFonts w:ascii="宋体" w:eastAsia="宋体" w:hAnsi="宋体" w:cs="宋体" w:hint="eastAsia"/>
          <w:color w:val="auto"/>
          <w:kern w:val="2"/>
          <w:highlight w:val="none"/>
          <w:lang w:eastAsia="zh-CN"/>
        </w:rPr>
        <w:t>市静海区东方商业街二段</w:t>
      </w:r>
      <w:r>
        <w:rPr>
          <w:rFonts w:ascii="宋体" w:eastAsia="宋体" w:hAnsi="宋体" w:cs="宋体" w:hint="eastAsia"/>
          <w:color w:val="auto"/>
          <w:kern w:val="2"/>
          <w:highlight w:val="none"/>
          <w:lang w:val="en-US" w:eastAsia="zh-CN"/>
        </w:rPr>
        <w:t>B-</w:t>
      </w:r>
      <w:r>
        <w:rPr>
          <w:rFonts w:ascii="宋体" w:eastAsia="宋体" w:hAnsi="宋体" w:cs="宋体" w:hint="eastAsia"/>
          <w:bCs/>
          <w:color w:val="auto"/>
          <w:highlight w:val="none"/>
        </w:rPr>
        <w:t>】，未能在投标截止时间递交以上资料的供应商将视为自动放弃投标资格。</w:t>
      </w:r>
    </w:p>
    <w:p>
      <w:pPr>
        <w:pStyle w:val="Default"/>
        <w:snapToGrid w:val="0"/>
        <w:spacing w:line="360" w:lineRule="auto"/>
        <w:jc w:val="both"/>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lang w:val="en-US" w:eastAsia="zh-CN"/>
        </w:rPr>
        <w:t>三</w:t>
      </w: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rPr>
        <w:t>参加人员及要求</w:t>
      </w:r>
    </w:p>
    <w:p>
      <w:pPr>
        <w:pStyle w:val="Default"/>
        <w:snapToGrid w:val="0"/>
        <w:spacing w:line="360" w:lineRule="auto"/>
        <w:ind w:firstLine="240" w:firstLineChars="1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w:t>
      </w:r>
      <w:r>
        <w:rPr>
          <w:rFonts w:ascii="宋体" w:eastAsia="宋体" w:hAnsi="宋体" w:cs="宋体" w:hint="eastAsia"/>
          <w:bCs/>
          <w:color w:val="auto"/>
          <w:highlight w:val="none"/>
        </w:rPr>
        <w:t>供应商须由法定代表人或其授权的本单位正式员工作为委托代理人参加磋商，随时准备对磋商小组的询问予以解答。并于递交响应文件时提供由法定代表人签章授权书的原件，该代理人在委托书上应标明有效联系方式，该方式从评审到合同履行结束有效。</w:t>
      </w:r>
    </w:p>
    <w:p>
      <w:pPr>
        <w:pStyle w:val="Default"/>
        <w:snapToGrid w:val="0"/>
        <w:spacing w:line="360" w:lineRule="auto"/>
        <w:ind w:firstLine="240" w:firstLineChars="1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w:t>
      </w:r>
      <w:r>
        <w:rPr>
          <w:rFonts w:ascii="宋体" w:hAnsi="宋体" w:cs="宋体" w:hint="eastAsia"/>
          <w:b/>
          <w:bCs/>
          <w:color w:val="auto"/>
          <w:sz w:val="24"/>
          <w:szCs w:val="24"/>
          <w:highlight w:val="none"/>
        </w:rPr>
        <w:t>供应商</w:t>
      </w:r>
      <w:r>
        <w:rPr>
          <w:rFonts w:ascii="宋体" w:hAnsi="宋体" w:cs="宋体"/>
          <w:b/>
          <w:bCs/>
          <w:color w:val="auto"/>
          <w:sz w:val="24"/>
          <w:szCs w:val="24"/>
          <w:highlight w:val="none"/>
        </w:rPr>
        <w:t>参加磋商仪式时，须携带</w:t>
      </w:r>
      <w:r>
        <w:rPr>
          <w:rFonts w:ascii="宋体" w:hAnsi="宋体" w:cs="宋体" w:hint="eastAsia"/>
          <w:b/>
          <w:bCs/>
          <w:color w:val="auto"/>
          <w:sz w:val="24"/>
          <w:szCs w:val="24"/>
          <w:highlight w:val="none"/>
          <w:lang w:eastAsia="zh-CN"/>
        </w:rPr>
        <w:t>以下资料</w:t>
      </w:r>
      <w:r>
        <w:rPr>
          <w:rFonts w:ascii="宋体" w:hAnsi="宋体" w:cs="宋体" w:hint="eastAsia"/>
          <w:b/>
          <w:bCs/>
          <w:color w:val="auto"/>
          <w:sz w:val="24"/>
          <w:szCs w:val="24"/>
          <w:highlight w:val="none"/>
        </w:rPr>
        <w:t>：</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（）营业执照副本原件或事业单位法人证书原件、税务登记证副本原件、企业组织机构代码证副本原件或三证合一的营业执照副本原件；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（）供应商须提供建筑工程施工总承包叁级及以上资质原件或市政公用工程施工总承包叁级及以上资质原件（在有效期内）；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sectPr>
          <w:headerReference w:type="default" r:id="rId24"/>
          <w:footerReference w:type="default" r:id="rId25"/>
          <w:type w:val="nextPage"/>
          <w:pgSz w:w="11906" w:h="16838"/>
          <w:pgMar w:top="1440" w:right="1080" w:bottom="1440" w:left="1080" w:header="851" w:footer="992" w:gutter="0"/>
          <w:pgNumType w:fmt="decimal" w:start="9" w:chapStyle="0" w:chapSep="hyphen"/>
          <w:cols w:space="708"/>
          <w:titlePg w:val="0"/>
          <w:docGrid w:type="lines" w:linePitch="312"/>
        </w:sectPr>
      </w:pPr>
      <w:r>
        <w:rPr>
          <w:rFonts w:ascii="宋体" w:eastAsia="宋体" w:hAnsi="宋体" w:cs="宋体" w:hint="eastAsia"/>
          <w:color w:val="auto"/>
          <w:kern w:val="0"/>
          <w:sz w:val="24"/>
          <w:szCs w:val="24"/>
          <w:highlight w:val="none"/>
          <w:lang w:val="en-US" w:eastAsia="zh-CN" w:bidi="ar"/>
        </w:rPr>
        <w:t>（）安全生产许可证原件，在有效期内；</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须有依法缴纳税收和社会保障资金的良好记录，并提供年月至今任意一个月缴纳的社会保障资金的有效票据凭证原件和依法纳税收的有效票据凭证原件及复印件加盖公章；（至提交响应文件截止日期成立不足个月的供应商可提供营业执照加盖公章的复印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（）财务状况报告等相关材料；</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提供近两个年度任一年度经第三方会计师事务所审计的企业财务报告或开标前个月以内由银行出具的资信证明；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w:t>
      </w:r>
      <w:r>
        <w:rPr>
          <w:rFonts w:ascii="Times New Roman" w:eastAsia="宋体" w:hAnsi="Times New Roman" w:cs="Times New Roman" w:hint="eastAsia"/>
          <w:color w:val="auto"/>
          <w:highlight w:val="none"/>
        </w:rPr>
        <w:t>提交投标文件截止日前年在经营活动中没有重大违法记录的书面声明（截至提交投标文件截止日成立不足年的投标人可提供自成立以来无重大违法记录的书面声明）</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（）项目部人员配置要求：</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)项目经理名，提供建设行政主管部门颁发的建筑工程专业贰级及以上注册建造师证书原件及有投标资格的IC卡原件，并提供任命书；</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)施工员、质量员、安全员、民管员、造价员、材料员、资料员、机械员、试验员各名；</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（）非本市的施工企业应按《市建委关于进一步推动我市建筑市场统一开放相关工作的通知》津施管【】号文件执行，提供在有效期内的</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进津建筑企业信息登记卡</w:t>
      </w: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kern w:val="0"/>
          <w:sz w:val="24"/>
          <w:szCs w:val="24"/>
          <w:highlight w:val="none"/>
          <w:lang w:val="en-US" w:eastAsia="zh-CN" w:bidi="ar"/>
        </w:rPr>
        <w:t>原件；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供应商若为法定代表人投标，须提供法定代表人身份证明书原件和法定代表人身份证原件及加盖公章复印件；供应商若为被授权人投标，须提供法定代表人授权书原件和被授权人身份证原件及加盖公章复印件；</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w:t>
      </w:r>
      <w:r>
        <w:rPr>
          <w:rFonts w:ascii="宋体" w:eastAsia="宋体" w:hAnsi="宋体" w:cs="宋体" w:hint="eastAsia"/>
          <w:color w:val="auto"/>
          <w:highlight w:val="none"/>
          <w:lang w:eastAsia="zh-CN" w:bidi="ar"/>
        </w:rPr>
        <w:t>至投标文件递交截止时间，供应商须按磋商文件要求缴纳投标保证金</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b/>
          <w:bCs/>
          <w:color w:val="auto"/>
          <w:kern w:val="0"/>
          <w:highlight w:val="none"/>
          <w:lang w:bidi="ar"/>
        </w:rPr>
      </w:pPr>
      <w:r>
        <w:rPr>
          <w:rFonts w:ascii="宋体" w:eastAsia="宋体" w:hAnsi="宋体" w:cs="宋体" w:hint="eastAsia"/>
          <w:b/>
          <w:bCs/>
          <w:color w:val="auto"/>
          <w:kern w:val="0"/>
          <w:sz w:val="24"/>
          <w:szCs w:val="24"/>
          <w:highlight w:val="none"/>
          <w:lang w:val="en-US" w:eastAsia="zh-CN" w:bidi="ar"/>
        </w:rPr>
        <w:t xml:space="preserve"> 以上证件未按时提供的视为无效响应，按废标处理。</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（四）磋商步骤</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color w:val="auto"/>
          <w:kern w:val="0"/>
          <w:sz w:val="24"/>
          <w:szCs w:val="24"/>
          <w:highlight w:val="none"/>
          <w:lang w:val="en-US" w:eastAsia="zh-CN" w:bidi="ar"/>
        </w:rPr>
        <w:t>第一步：磋商小组对响应文件的有效性、完整</w:t>
      </w:r>
      <w:r>
        <w:rPr>
          <w:rFonts w:ascii="宋体" w:eastAsia="宋体" w:hAnsi="宋体" w:cs="宋体" w:hint="eastAsia"/>
          <w:bCs/>
          <w:color w:val="auto"/>
          <w:highlight w:val="none"/>
        </w:rPr>
        <w:t>性和响应程度进行审查。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小组要求供应商澄清、说明或者更正响应文件应当以书面形式做出。供应商的澄清、说明或者更正的文件应当由法定代表人或其授权代表签字或者加盖公章。由授权代表签字的，应当附法定代表人授权书。供应商为自然人的，应当由本人签字并附身份证明。</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26"/>
          <w:footerReference w:type="default" r:id="rId27"/>
          <w:type w:val="nextPage"/>
          <w:pgSz w:w="11906" w:h="16838"/>
          <w:pgMar w:top="1440" w:right="1080" w:bottom="1440" w:left="1080" w:header="851" w:footer="992" w:gutter="0"/>
          <w:pgNumType w:fmt="decimal" w:start="10" w:chapStyle="0" w:chapSep="hyphen"/>
          <w:cols w:space="708"/>
          <w:titlePg w:val="0"/>
          <w:docGrid w:type="lines" w:linePitch="312"/>
        </w:sectPr>
      </w:pPr>
      <w:r>
        <w:rPr>
          <w:rFonts w:ascii="宋体" w:eastAsia="宋体" w:hAnsi="宋体" w:cs="宋体" w:hint="eastAsia"/>
          <w:bCs/>
          <w:color w:val="auto"/>
          <w:highlight w:val="none"/>
        </w:rPr>
        <w:t xml:space="preserve"> 第二步：磋商小组所有成员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对磋商文件做出的实质性变动是磋商文件的有效组成部分，磋商小组应当及时以书面形式同时通知所有参加磋商的供应商。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未实质性响应磋商文件的响应文件按无效响应处理，磋商小组应当告知提交响应文件的供应商。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第三步：经磋商确定实质性响应的供应商后，磋商小组应当要求所有实质性响应的供应商按照第二阶段响应文件提交第一次报价；第一次报价不合格的供应商，视为投标无效；第一次报价合格的供应商在</w:t>
      </w:r>
      <w:r>
        <w:rPr>
          <w:rFonts w:ascii="宋体" w:eastAsia="宋体" w:hAnsi="宋体" w:cs="宋体" w:hint="eastAsia"/>
          <w:bCs/>
          <w:color w:val="auto"/>
          <w:highlight w:val="none"/>
          <w:lang w:eastAsia="zh-CN"/>
        </w:rPr>
        <w:t>磋商小组</w:t>
      </w:r>
      <w:r>
        <w:rPr>
          <w:rFonts w:ascii="宋体" w:eastAsia="宋体" w:hAnsi="宋体" w:cs="宋体" w:hint="eastAsia"/>
          <w:bCs/>
          <w:color w:val="auto"/>
          <w:highlight w:val="none"/>
        </w:rPr>
        <w:t>规定的时间内提交第二次报价（即为最终报价）。</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第四步：经磋商确定最终采购需求和提交最后报价的供应商后，由磋商小组采用综合评分法对提交最后报价的供应商的响应文件和最后报价进行综合评分。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第五步：磋商小组应当根据综合评分情况，按照评审得分由高到低顺序推荐成交候选供应商，并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Default"/>
        <w:numPr>
          <w:ilvl w:val="0"/>
          <w:numId w:val="2"/>
        </w:numPr>
        <w:snapToGrid w:val="0"/>
        <w:spacing w:line="360" w:lineRule="auto"/>
        <w:ind w:firstLine="480" w:firstLineChars="200"/>
        <w:jc w:val="both"/>
        <w:rPr>
          <w:rFonts w:ascii="宋体" w:eastAsia="宋体" w:hAnsi="宋体" w:cs="宋体" w:hint="eastAsia"/>
          <w:b/>
          <w:color w:val="auto"/>
          <w:highlight w:val="none"/>
        </w:rPr>
      </w:pPr>
      <w:r>
        <w:rPr>
          <w:rFonts w:ascii="宋体" w:eastAsia="宋体" w:hAnsi="宋体" w:cs="宋体" w:hint="eastAsia"/>
          <w:b/>
          <w:color w:val="auto"/>
          <w:highlight w:val="none"/>
        </w:rPr>
        <w:t>评审方法及标准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.采用</w:t>
      </w:r>
      <w:r>
        <w:rPr>
          <w:rFonts w:ascii="宋体" w:eastAsia="宋体" w:hAnsi="宋体" w:cs="宋体" w:hint="eastAsia"/>
          <w:bCs/>
          <w:color w:val="auto"/>
          <w:highlight w:val="none"/>
        </w:rPr>
        <w:t>“</w:t>
      </w:r>
      <w:r>
        <w:rPr>
          <w:rFonts w:ascii="宋体" w:eastAsia="宋体" w:hAnsi="宋体" w:cs="宋体" w:hint="eastAsia"/>
          <w:bCs/>
          <w:color w:val="auto"/>
          <w:highlight w:val="none"/>
        </w:rPr>
        <w:t>综合评分法</w:t>
      </w:r>
      <w:r>
        <w:rPr>
          <w:rFonts w:ascii="宋体" w:eastAsia="宋体" w:hAnsi="宋体" w:cs="宋体" w:hint="eastAsia"/>
          <w:bCs/>
          <w:color w:val="auto"/>
          <w:highlight w:val="none"/>
        </w:rPr>
        <w:t>”</w:t>
      </w:r>
      <w:r>
        <w:rPr>
          <w:rFonts w:ascii="宋体" w:eastAsia="宋体" w:hAnsi="宋体" w:cs="宋体" w:hint="eastAsia"/>
          <w:bCs/>
          <w:color w:val="auto"/>
          <w:highlight w:val="none"/>
        </w:rPr>
        <w:t>的评审方法。评审采用百分制，磋商小组各成员分别独立对实质上响应磋商文件的供应商进行逐项评价打分，对磋商小组各成员每一因素的打分汇总后取算术平均分，该平均分为供应商的得分。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.磋商文件内容违反国家有关强制性规定的，磋商小组应当停止评审并向采购人或者采购代理机构说明情况。</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.按照现行《财政部、国家发展改革委关于调整节能产品政府采购清单的通知》文件要求，对政府采购清单中的节能产品采用优先采购和强制采购的评标方法。</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.如果几个供应商所投整包产品为同一品牌时，在服务承诺符合竞争性磋商的情况下，报价最低的供应商入围评分阶段。</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28"/>
          <w:footerReference w:type="default" r:id="rId29"/>
          <w:type w:val="nextPage"/>
          <w:pgSz w:w="11906" w:h="16838"/>
          <w:pgMar w:top="1440" w:right="1080" w:bottom="1440" w:left="1080" w:header="851" w:footer="992" w:gutter="0"/>
          <w:pgNumType w:fmt="decimal" w:start="11" w:chapStyle="0" w:chapSep="hyphen"/>
          <w:cols w:space="708"/>
          <w:titlePg w:val="0"/>
          <w:docGrid w:type="lines" w:linePitch="312"/>
        </w:sect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根据《中华人民共和国政府采购法实施条例》和《关于进一步规范政府采购评审工作有关问题的通知》（财库〔〕号）的规定，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.磋商小组审查产品资质或检测报告等相关文件符合性时，应综合考虑行业特点、交易习惯、采购需求最本质原义等情况，而不应以响应文件中产品名称与竞争性磋商文件产品名称是否一致作为审查的标准。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成交候选供应商产生办法：响应文件满足磋商文件全部实质性要求且按评审因素的量化指标评审得分由高到低的顺序确定成交候选供应商。评审得分相同的，按照最后报价由低到高的顺序推荐。评审得分且最后报价相同的，按照技术指标优劣顺序推荐（即按技术因素得分由高到低的顺序推荐）。采购人按成交候选供应商顺序确定成交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.评分因素及评审标准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rPr>
        <w:t>第一部分  价格分（分）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rPr>
        <w:t>价格分采用低价优分法计算，即满足</w:t>
      </w:r>
      <w:r>
        <w:rPr>
          <w:rFonts w:ascii="宋体" w:eastAsia="宋体" w:hAnsi="宋体" w:cs="宋体" w:hint="eastAsia"/>
          <w:bCs/>
          <w:color w:val="auto"/>
          <w:highlight w:val="none"/>
          <w:lang w:eastAsia="zh-CN"/>
        </w:rPr>
        <w:t>磋商</w:t>
      </w:r>
      <w:r>
        <w:rPr>
          <w:rFonts w:ascii="宋体" w:eastAsia="宋体" w:hAnsi="宋体" w:cs="宋体" w:hint="eastAsia"/>
          <w:bCs/>
          <w:color w:val="auto"/>
          <w:highlight w:val="none"/>
        </w:rPr>
        <w:t>文件要求的合理最低评标价为评标基准价，</w:t>
      </w:r>
      <w:r>
        <w:rPr>
          <w:rFonts w:ascii="宋体" w:eastAsia="宋体" w:hAnsi="宋体" w:cs="宋体" w:hint="eastAsia"/>
          <w:bCs/>
          <w:color w:val="auto"/>
          <w:highlight w:val="none"/>
        </w:rPr>
        <w:t>其价格分为满分分，其他有效</w:t>
      </w:r>
      <w:r>
        <w:rPr>
          <w:rFonts w:ascii="宋体" w:eastAsia="宋体" w:hAnsi="宋体" w:cs="宋体" w:hint="eastAsia"/>
          <w:bCs/>
          <w:color w:val="auto"/>
          <w:highlight w:val="none"/>
          <w:lang w:eastAsia="zh-CN"/>
        </w:rPr>
        <w:t>供应商</w:t>
      </w:r>
      <w:r>
        <w:rPr>
          <w:rFonts w:ascii="宋体" w:eastAsia="宋体" w:hAnsi="宋体" w:cs="宋体" w:hint="eastAsia"/>
          <w:bCs/>
          <w:color w:val="auto"/>
          <w:highlight w:val="none"/>
        </w:rPr>
        <w:t>的价格分统一按照以下公式计算：</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投标报价得分＝（评标基准价/评标价）</w:t>
      </w:r>
      <w:r>
        <w:rPr>
          <w:rFonts w:ascii="宋体" w:eastAsia="宋体" w:hAnsi="宋体" w:cs="宋体" w:hint="eastAsia"/>
          <w:bCs/>
          <w:color w:val="auto"/>
          <w:highlight w:val="none"/>
        </w:rPr>
        <w:t>×</w:t>
      </w:r>
      <w:r>
        <w:rPr>
          <w:rFonts w:ascii="宋体" w:eastAsia="宋体" w:hAnsi="宋体" w:cs="宋体" w:hint="eastAsia"/>
          <w:bCs/>
          <w:color w:val="auto"/>
          <w:highlight w:val="none"/>
        </w:rPr>
        <w:t>（小数点后保留两位）。</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、对小型和微型企业的价格给予%的扣除，用扣除后的价格参与评审。参与本项目的小型和微型企业需提供《财库[]号》所规定的《中小企业声明函》。</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、根据财政部、司法部《关于政府采购支持监狱企业发展有关问题的通知》(财库[]号) ，监狱企业视同为小型、微型企业，投标单位如为监狱企业的应提供证明文件。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、根据财</w:t>
      </w:r>
      <w:r>
        <w:rPr>
          <w:rFonts w:ascii="宋体" w:eastAsia="宋体" w:hAnsi="宋体" w:cs="宋体" w:hint="eastAsia"/>
          <w:bCs/>
          <w:color w:val="auto"/>
          <w:highlight w:val="none"/>
        </w:rPr>
        <w:t>政部、民政部、中国残疾人联合会发布的《关于促进残疾人就业政府采购政策的通知》规定，本项目对残疾人福利性单位产品的价格给予%的扣除</w:t>
      </w: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rPr>
        <w:t>残疾人福利性单位以投标人填写的《残疾人福利性单位声明函》为判定标准</w:t>
      </w:r>
      <w:r>
        <w:rPr>
          <w:rFonts w:ascii="宋体" w:eastAsia="宋体" w:hAnsi="宋体" w:cs="宋体" w:hint="eastAsia"/>
          <w:bCs/>
          <w:color w:val="auto"/>
          <w:highlight w:val="none"/>
          <w:lang w:eastAsia="zh-CN"/>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、本项目对小微企业和监狱企业和</w:t>
      </w:r>
      <w:r>
        <w:rPr>
          <w:rFonts w:ascii="宋体" w:eastAsia="宋体" w:hAnsi="宋体" w:cs="宋体" w:hint="eastAsia"/>
          <w:bCs/>
          <w:color w:val="auto"/>
          <w:highlight w:val="none"/>
        </w:rPr>
        <w:t>残疾人福利性单位</w:t>
      </w:r>
      <w:r>
        <w:rPr>
          <w:rFonts w:ascii="宋体" w:eastAsia="宋体" w:hAnsi="宋体" w:cs="宋体" w:hint="eastAsia"/>
          <w:bCs/>
          <w:color w:val="auto"/>
          <w:highlight w:val="none"/>
          <w:lang w:val="en-US" w:eastAsia="zh-CN"/>
        </w:rPr>
        <w:t>的报价得分不做累计优惠。</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、不承诺最低评标价中标,如投标单位报价超出采购预算，投标无效。若投标报价有明显遗漏，则按照其他投标单位对该遗漏报价中最高值予以增加；若服务范围有重大偏离的，经评标委员会认定予以废标。</w:t>
      </w:r>
    </w:p>
    <w:p>
      <w:pPr>
        <w:adjustRightInd w:val="0"/>
        <w:snapToGrid w:val="0"/>
        <w:spacing w:line="460" w:lineRule="exact"/>
        <w:rPr>
          <w:rFonts w:ascii="宋体" w:eastAsia="宋体" w:hAnsi="宋体" w:cs="宋体" w:hint="eastAsia"/>
          <w:color w:val="auto"/>
          <w:sz w:val="24"/>
          <w:highlight w:val="none"/>
        </w:rPr>
      </w:pPr>
      <w:r>
        <w:rPr>
          <w:rFonts w:ascii="宋体" w:eastAsia="宋体" w:hAnsi="宋体" w:cs="宋体" w:hint="eastAsia"/>
          <w:color w:val="auto"/>
          <w:sz w:val="24"/>
          <w:highlight w:val="none"/>
          <w:lang w:val="en-US" w:eastAsia="zh-CN"/>
        </w:rPr>
        <w:t>第二部分  资信因素（满分分）</w:t>
      </w:r>
    </w:p>
    <w:p>
      <w:pPr>
        <w:adjustRightInd w:val="0"/>
        <w:snapToGrid w:val="0"/>
        <w:spacing w:line="460" w:lineRule="exact"/>
        <w:ind w:firstLine="240" w:firstLineChars="100"/>
        <w:rPr>
          <w:rFonts w:ascii="宋体" w:eastAsia="宋体" w:hAnsi="宋体" w:cs="宋体" w:hint="eastAsia"/>
          <w:color w:val="auto"/>
          <w:kern w:val="0"/>
          <w:sz w:val="24"/>
          <w:szCs w:val="24"/>
          <w:highlight w:val="none"/>
          <w:lang w:bidi="ar"/>
        </w:rPr>
      </w:pPr>
      <w:r>
        <w:rPr>
          <w:rFonts w:ascii="宋体" w:eastAsia="宋体" w:hAnsi="宋体" w:cs="宋体" w:hint="eastAsia"/>
          <w:color w:val="auto"/>
          <w:sz w:val="24"/>
          <w:highlight w:val="none"/>
          <w:lang w:val="en-US" w:eastAsia="zh-CN"/>
        </w:rPr>
        <w:t>供应商</w:t>
      </w:r>
      <w:r>
        <w:rPr>
          <w:rFonts w:ascii="宋体" w:eastAsia="宋体" w:hAnsi="宋体" w:cs="宋体" w:hint="eastAsia"/>
          <w:color w:val="auto"/>
          <w:kern w:val="0"/>
          <w:sz w:val="24"/>
          <w:szCs w:val="24"/>
          <w:highlight w:val="none"/>
          <w:lang w:val="en-US" w:eastAsia="zh-CN" w:bidi="ar"/>
        </w:rPr>
        <w:t xml:space="preserve">提供与本项目规模相当且已完成的年至今的成功案例，并按照以下要求执行        </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每个案例（分），最高（分）。</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（）合同，包括合同金额、买卖双方名称及盖章。</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sectPr>
          <w:headerReference w:type="default" r:id="rId30"/>
          <w:footerReference w:type="default" r:id="rId31"/>
          <w:type w:val="nextPage"/>
          <w:pgSz w:w="11906" w:h="16838"/>
          <w:pgMar w:top="1440" w:right="1080" w:bottom="1440" w:left="1080" w:header="851" w:footer="992" w:gutter="0"/>
          <w:pgNumType w:fmt="decimal" w:start="12" w:chapStyle="0" w:chapSep="hyphen"/>
          <w:cols w:space="708"/>
          <w:titlePg w:val="0"/>
          <w:docGrid w:type="lines" w:linePitch="312"/>
        </w:sectPr>
      </w:pPr>
      <w:r>
        <w:rPr>
          <w:rFonts w:ascii="宋体" w:eastAsia="宋体" w:hAnsi="宋体" w:cs="宋体" w:hint="eastAsia"/>
          <w:color w:val="auto"/>
          <w:kern w:val="0"/>
          <w:sz w:val="24"/>
          <w:szCs w:val="24"/>
          <w:highlight w:val="none"/>
          <w:lang w:val="en-US" w:eastAsia="zh-CN" w:bidi="ar"/>
        </w:rPr>
        <w:t>（）验收报告。</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（）用户出具的成功履行相关证明材料；</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（）第（）、（）项可提供任意一项。</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color w:val="auto"/>
          <w:kern w:val="0"/>
          <w:sz w:val="24"/>
          <w:szCs w:val="24"/>
          <w:highlight w:val="none"/>
          <w:lang w:val="en-US" w:eastAsia="zh-CN" w:bidi="ar"/>
        </w:rPr>
        <w:t>注：响应文件中附以上相关证明材料，原件备查。评委会要求提供原件但供应商未提供或提供不全的，此项不得分。</w:t>
      </w:r>
    </w:p>
    <w:p>
      <w:pPr>
        <w:pStyle w:val="Default"/>
        <w:keepNext w:val="0"/>
        <w:keepLines w:val="0"/>
        <w:pageBreakBefore w:val="0"/>
        <w:kinsoku/>
        <w:wordWrap/>
        <w:overflowPunct/>
        <w:topLinePunct w:val="0"/>
        <w:bidi w:val="0"/>
        <w:snapToGrid w:val="0"/>
        <w:spacing w:line="360" w:lineRule="auto"/>
        <w:ind w:right="0" w:rightChars="0"/>
        <w:jc w:val="both"/>
        <w:textAlignment w:val="auto"/>
        <w:outlineLvl w:val="9"/>
        <w:rPr>
          <w:rFonts w:ascii="宋体" w:eastAsia="宋体" w:hAnsi="宋体" w:cs="宋体" w:hint="eastAsia"/>
          <w:bCs/>
          <w:color w:val="FF0000"/>
          <w:highlight w:val="none"/>
        </w:rPr>
      </w:pPr>
      <w:r>
        <w:rPr>
          <w:rFonts w:ascii="宋体" w:eastAsia="宋体" w:hAnsi="宋体" w:cs="宋体" w:hint="eastAsia"/>
          <w:bCs/>
          <w:color w:val="auto"/>
          <w:highlight w:val="none"/>
        </w:rPr>
        <w:t>第三部分</w:t>
      </w:r>
      <w:r>
        <w:rPr>
          <w:rFonts w:ascii="宋体" w:eastAsia="宋体" w:hAnsi="宋体" w:cs="宋体" w:hint="eastAsia"/>
          <w:bCs/>
          <w:color w:val="FF0000"/>
          <w:highlight w:val="none"/>
        </w:rPr>
        <w:t xml:space="preserve">  </w:t>
      </w:r>
      <w:r>
        <w:rPr>
          <w:rFonts w:ascii="宋体" w:eastAsia="宋体" w:hAnsi="宋体" w:cs="宋体" w:hint="eastAsia"/>
          <w:bCs/>
          <w:color w:val="auto"/>
          <w:highlight w:val="none"/>
        </w:rPr>
        <w:t>技术</w:t>
      </w:r>
      <w:r>
        <w:rPr>
          <w:rFonts w:ascii="宋体" w:eastAsia="宋体" w:hAnsi="宋体" w:cs="宋体" w:hint="eastAsia"/>
          <w:bCs/>
          <w:color w:val="auto"/>
          <w:highlight w:val="none"/>
          <w:lang w:eastAsia="zh-CN"/>
        </w:rPr>
        <w:t>因素</w:t>
      </w:r>
      <w:r>
        <w:rPr>
          <w:rFonts w:ascii="宋体" w:eastAsia="宋体" w:hAnsi="宋体" w:cs="宋体" w:hint="eastAsia"/>
          <w:bCs/>
          <w:color w:val="auto"/>
          <w:highlight w:val="none"/>
        </w:rPr>
        <w:t>（满分分）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技术因素主要评审以下内容：工程质量、施工工期、施工组织设计等。</w:t>
      </w:r>
    </w:p>
    <w:p>
      <w:pPr>
        <w:pStyle w:val="Default"/>
        <w:keepNext w:val="0"/>
        <w:keepLines w:val="0"/>
        <w:pageBreakBefore w:val="0"/>
        <w:widowControl w:val="0"/>
        <w:numPr>
          <w:ilvl w:val="0"/>
          <w:numId w:val="4"/>
        </w:numPr>
        <w:kinsoku/>
        <w:wordWrap/>
        <w:overflowPunct/>
        <w:topLinePunct w:val="0"/>
        <w:autoSpaceDE w:val="0"/>
        <w:autoSpaceDN w:val="0"/>
        <w:bidi w:val="0"/>
        <w:adjustRightInd w:val="0"/>
        <w:snapToGrid w:val="0"/>
        <w:spacing w:line="360" w:lineRule="auto"/>
        <w:ind w:left="479" w:right="0" w:firstLine="0" w:leftChars="228" w:rightChars="0" w:firstLineChars="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sz w:val="24"/>
          <w:szCs w:val="24"/>
          <w:highlight w:val="none"/>
          <w:lang w:val="en-US" w:eastAsia="zh-CN"/>
        </w:rPr>
        <w:t>总体概述(满分分)：</w:t>
      </w:r>
      <w:r>
        <w:rPr>
          <w:rFonts w:ascii="宋体" w:eastAsia="宋体" w:hAnsi="宋体" w:cs="宋体" w:hint="eastAsia"/>
          <w:bCs/>
          <w:color w:val="auto"/>
          <w:sz w:val="24"/>
          <w:szCs w:val="24"/>
          <w:highlight w:val="none"/>
          <w:lang w:val="en-US" w:eastAsia="zh-CN"/>
        </w:rPr>
        <w:br/>
      </w:r>
      <w:r>
        <w:rPr>
          <w:rFonts w:ascii="宋体" w:eastAsia="宋体" w:hAnsi="宋体" w:cs="宋体" w:hint="eastAsia"/>
          <w:bCs/>
          <w:color w:val="auto"/>
          <w:sz w:val="24"/>
          <w:szCs w:val="24"/>
          <w:highlight w:val="none"/>
          <w:lang w:val="en-US" w:eastAsia="zh-CN"/>
        </w:rPr>
        <w:t>（）对项目总体有深刻认识，表述清晰、完整、严谨、合理，措施先进、具体、有效、</w:t>
      </w:r>
    </w:p>
    <w:p>
      <w:pPr>
        <w:pStyle w:val="Default"/>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rightChars="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sz w:val="24"/>
          <w:szCs w:val="24"/>
          <w:highlight w:val="none"/>
          <w:lang w:val="en-US" w:eastAsia="zh-CN"/>
        </w:rPr>
        <w:t>成熟，采用了能保证安全、提高质量、减少投资、缩短工期的新技术、新工艺、新材料、新设备；施</w:t>
      </w:r>
      <w:r>
        <w:rPr>
          <w:rFonts w:ascii="宋体" w:eastAsia="宋体" w:hAnsi="宋体" w:cs="宋体" w:hint="eastAsia"/>
          <w:bCs/>
          <w:color w:val="auto"/>
          <w:highlight w:val="none"/>
          <w:lang w:val="en-US" w:eastAsia="zh-CN"/>
        </w:rPr>
        <w:t>工段划分呼应总体表述，划分清晰，符合规范要求：分；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对项目总体有较深刻认识，表述较清晰、完整、严谨、合理，措施较先进、具体、有效、成熟，采用了能保证安全、提高质量、减少投资、缩短工期的新技术、新工艺、新材料、新设备；施工段划分呼应总体表述，划分清晰，符合规范要求：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（）对项目总体有基本认识，表述较清晰、完整、严谨、合理，措施较先具体、有效、成熟：分。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（）对项目总体认识不深刻，表述不清晰、完整，没有相关措施：分。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、本项目主要施工方案及施工措施（分）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（）针对项目实际情况，有先进、具体、完整、可行的施工方案及施工措施，采用规范、正确、清晰：分；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（）针对项目实际情况，有较先进、具体、完整、可行的施工方案及施工措施，采用规范、正确、清晰：分；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（）针对项目实际情况，有较先进、具体、完整、可行的施工方案及施工措施，基本采用规范：分；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（）施工方案及施工措施考虑不周全：分。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、项目管理组织机构齐全性及人员配置合理性（分）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（）施工人员安排及组织机构设置合理，各专业管理人员、技术人员配备齐全、分工明确：分；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（）施工人员安排及组织机构设置较为合理，各专业管理人员、技术人员配备较为齐全、分工较为明确：分；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sectPr>
          <w:headerReference w:type="default" r:id="rId32"/>
          <w:footerReference w:type="default" r:id="rId33"/>
          <w:type w:val="nextPage"/>
          <w:pgSz w:w="11906" w:h="16838"/>
          <w:pgMar w:top="1440" w:right="1080" w:bottom="1440" w:left="1080" w:header="851" w:footer="992" w:gutter="0"/>
          <w:pgNumType w:fmt="decimal" w:start="13" w:chapStyle="0" w:chapSep="hyphen"/>
          <w:cols w:space="708"/>
          <w:titlePg w:val="0"/>
          <w:docGrid w:type="lines" w:linePitch="312"/>
        </w:sectPr>
      </w:pP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（）施工人员安排及组织机构设置不尽合理，各专业管理人员、技术人员配备不够齐全、分工较差：分；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（）未提供施工人员安排及组织机构设置：分。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、主要施工机械、设备（分）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（）主要施工机械、设备配备齐全，完全满足施工需求的：分；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（）主要施工机械、设备配备较齐全，满足施工需求的：分；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（）主要施工机械、设备配备较齐全，基本满足施工需求的：分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（）主要施工机械、设备配备不齐全，不能满足施工需求的：分。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、紧急事件的响应时间及保证措施（分）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（）紧急事件的响应时间及保证措施合理,切实可行：分；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（）紧急事件的响应时间及保证措施合理,可行性较强：分；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（）紧急事件的响应时间及保证措施较合理,可行性一般：分；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（）未提供紧急事件的响应时间及保证措施：分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strike w:val="0"/>
          <w:dstrike w:val="0"/>
          <w:color w:val="auto"/>
          <w:highlight w:val="none"/>
        </w:rPr>
      </w:pPr>
      <w:r>
        <w:rPr>
          <w:rFonts w:ascii="宋体" w:eastAsia="宋体" w:hAnsi="宋体" w:cs="宋体" w:hint="eastAsia"/>
          <w:bCs/>
          <w:strike w:val="0"/>
          <w:dstrike w:val="0"/>
          <w:color w:val="auto"/>
          <w:highlight w:val="none"/>
          <w:lang w:val="en-US" w:eastAsia="zh-CN"/>
        </w:rPr>
        <w:t>、施工进度保证措施（分）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（）施工进度保证措施合理,切实可行：分；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（）施工进度保证措施较合理,可行性较强：分；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（）施工进度保证措施较合理,可行性一般：分；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w:t>
      </w:r>
      <w:r>
        <w:rPr>
          <w:rFonts w:ascii="宋体" w:eastAsia="宋体" w:hAnsi="宋体" w:cs="宋体" w:hint="eastAsia"/>
          <w:bCs/>
          <w:strike w:val="0"/>
          <w:dstrike w:val="0"/>
          <w:color w:val="auto"/>
          <w:highlight w:val="none"/>
          <w:lang w:val="en-US" w:eastAsia="zh-CN"/>
        </w:rPr>
        <w:t>施工进度保证措施</w:t>
      </w:r>
      <w:r>
        <w:rPr>
          <w:rFonts w:ascii="宋体" w:eastAsia="宋体" w:hAnsi="宋体" w:cs="宋体" w:hint="eastAsia"/>
          <w:bCs/>
          <w:color w:val="auto"/>
          <w:highlight w:val="none"/>
          <w:lang w:val="en-US" w:eastAsia="zh-CN"/>
        </w:rPr>
        <w:t>：分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、工程质量保证措施（分）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（）工程质量保证措施合理,切实可行：分；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（）工程质量保证措施较合理,可行性较强：分；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（）工程质量保证措施较合理,可行性一般：分；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（）未提供工程质量保证措施：分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、季节性施工措施（分）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（）季节性施工措施合理,切实可行：分；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（）季节性施工措施较合理,可行性较强：分；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（）季节性施工措施较合理,可行性一般：分；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（）未提供季节性施工措施：分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、施工安全保证措施（分）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（）施工安全保证措施合理,切实可行：分；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sectPr>
          <w:headerReference w:type="default" r:id="rId34"/>
          <w:footerReference w:type="default" r:id="rId35"/>
          <w:type w:val="nextPage"/>
          <w:pgSz w:w="11906" w:h="16838"/>
          <w:pgMar w:top="1440" w:right="1080" w:bottom="1440" w:left="1080" w:header="851" w:footer="992" w:gutter="0"/>
          <w:pgNumType w:fmt="decimal" w:start="14" w:chapStyle="0" w:chapSep="hyphen"/>
          <w:cols w:space="708"/>
          <w:titlePg w:val="0"/>
          <w:docGrid w:type="lines" w:linePitch="312"/>
        </w:sectPr>
      </w:pPr>
      <w:r>
        <w:rPr>
          <w:rFonts w:ascii="宋体" w:eastAsia="宋体" w:hAnsi="宋体" w:cs="宋体" w:hint="eastAsia"/>
          <w:bCs/>
          <w:color w:val="auto"/>
          <w:highlight w:val="none"/>
          <w:lang w:val="en-US" w:eastAsia="zh-CN"/>
        </w:rPr>
        <w:t>（）施工安全保证措施较合理,可行性较强：分；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（）施工安全保证措施较合理,可行性一般：分；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（）未提供施工安全保证措施：分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、施工现场节能环保措施（分）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（）施工现场节能环保措施合理,切实可行：分；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（）施工现场节能环保措施较合理,可行性较强：分；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（）施工现场节能环保措施较合理,可行性一般：分；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（）未提供施工现场环保措施：分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、施工现场、周围建筑物维护措施（分）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（）施工现场、周围建筑物维护措施合理,切实可行：分；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（）施工现场、周围建筑物维护措施较合理,可行性较强：分；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（）施工现场、周围建筑物维护措施较合理,可行性一般：分；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（）未提供施工现场、周围建筑物维护措施：分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 xml:space="preserve">、工程交验后服务措施（分） </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（）工程交验后服务措施合理,切实可行：分；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（）工程交验后服务措施较合理,可行性较强：分；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（）工程交验后服务措施较合理,可行性一般：分；</w:t>
      </w:r>
    </w:p>
    <w:p>
      <w:pPr>
        <w:pStyle w:val="Default"/>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leftChars="0" w:rightChars="0" w:firstLineChars="200"/>
        <w:jc w:val="both"/>
        <w:textAlignment w:val="auto"/>
        <w:outlineLvl w:val="9"/>
        <w:rPr>
          <w:rFonts w:ascii="宋体" w:eastAsia="宋体" w:hAnsi="宋体" w:cs="宋体" w:hint="eastAsia"/>
          <w:color w:val="auto"/>
          <w:kern w:val="0"/>
          <w:highlight w:val="none"/>
          <w:lang w:bidi="ar"/>
        </w:rPr>
      </w:pPr>
      <w:r>
        <w:rPr>
          <w:rFonts w:ascii="宋体" w:eastAsia="宋体" w:hAnsi="宋体" w:cs="宋体" w:hint="eastAsia"/>
          <w:bCs/>
          <w:color w:val="auto"/>
          <w:highlight w:val="none"/>
          <w:lang w:val="en-US" w:eastAsia="zh-CN"/>
        </w:rPr>
        <w:t>（）未提供工程交</w:t>
      </w:r>
      <w:r>
        <w:rPr>
          <w:rFonts w:ascii="宋体" w:eastAsia="宋体" w:hAnsi="宋体" w:cs="宋体" w:hint="eastAsia"/>
          <w:color w:val="auto"/>
          <w:kern w:val="0"/>
          <w:sz w:val="24"/>
          <w:szCs w:val="24"/>
          <w:highlight w:val="none"/>
          <w:lang w:val="en-US" w:eastAsia="zh-CN" w:bidi="ar"/>
        </w:rPr>
        <w:t>验后服务措施：分</w:t>
      </w:r>
    </w:p>
    <w:p>
      <w:pPr>
        <w:pStyle w:val="Default"/>
        <w:spacing w:line="360" w:lineRule="auto"/>
        <w:jc w:val="both"/>
        <w:rPr>
          <w:rFonts w:ascii="Times New Roman" w:eastAsia="宋体" w:hAnsi="Times New Roman" w:cs="Times New Roman"/>
          <w:color w:val="auto"/>
          <w:kern w:val="2"/>
          <w:highlight w:val="none"/>
        </w:rPr>
      </w:pPr>
      <w:r>
        <w:rPr>
          <w:rFonts w:ascii="Times New Roman" w:eastAsia="宋体" w:hAnsi="Times New Roman" w:cs="Times New Roman" w:hint="eastAsia"/>
          <w:color w:val="auto"/>
          <w:kern w:val="2"/>
          <w:highlight w:val="none"/>
        </w:rPr>
        <w:t>第四部分  响应文件质量减分</w:t>
      </w:r>
    </w:p>
    <w:p>
      <w:pPr>
        <w:pStyle w:val="Default"/>
        <w:spacing w:line="360" w:lineRule="auto"/>
        <w:jc w:val="both"/>
        <w:rPr>
          <w:rFonts w:ascii="宋体" w:hAnsi="宋体" w:cs="宋体" w:hint="eastAsia"/>
          <w:color w:val="auto"/>
          <w:kern w:val="0"/>
          <w:highlight w:val="none"/>
          <w:lang w:bidi="ar"/>
        </w:rPr>
      </w:pPr>
      <w:r>
        <w:rPr>
          <w:rFonts w:ascii="Times New Roman" w:eastAsia="宋体" w:hAnsi="Times New Roman" w:cs="Times New Roman" w:hint="eastAsia"/>
          <w:color w:val="auto"/>
          <w:kern w:val="2"/>
          <w:highlight w:val="none"/>
        </w:rPr>
        <w:t xml:space="preserve"> （一） 有下列情形之一的，减分</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ascii="宋体" w:hAnsi="宋体" w:cs="宋体" w:hint="eastAsia"/>
          <w:color w:val="auto"/>
          <w:kern w:val="0"/>
          <w:sz w:val="24"/>
          <w:szCs w:val="24"/>
          <w:highlight w:val="none"/>
          <w:lang w:bidi="ar"/>
        </w:rPr>
      </w:pPr>
      <w:r>
        <w:rPr>
          <w:rFonts w:ascii="宋体" w:hAnsi="宋体" w:cs="宋体" w:hint="eastAsia"/>
          <w:color w:val="auto"/>
          <w:kern w:val="0"/>
          <w:sz w:val="24"/>
          <w:szCs w:val="24"/>
          <w:highlight w:val="none"/>
          <w:lang w:bidi="ar"/>
        </w:rPr>
        <w:t xml:space="preserve">  复制磋商文件的技术条款相关部分内容作为其响应文件的一部分的或点对点应答均无具体内容的；</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ascii="宋体" w:hAnsi="宋体" w:cs="宋体" w:hint="eastAsia"/>
          <w:color w:val="auto"/>
          <w:kern w:val="0"/>
          <w:sz w:val="24"/>
          <w:szCs w:val="24"/>
          <w:highlight w:val="none"/>
          <w:lang w:bidi="ar"/>
        </w:rPr>
      </w:pPr>
      <w:r>
        <w:rPr>
          <w:rFonts w:ascii="宋体" w:hAnsi="宋体" w:cs="宋体" w:hint="eastAsia"/>
          <w:color w:val="auto"/>
          <w:kern w:val="0"/>
          <w:sz w:val="24"/>
          <w:szCs w:val="24"/>
          <w:highlight w:val="none"/>
          <w:lang w:bidi="ar"/>
        </w:rPr>
        <w:t xml:space="preserve"> 响应文件前后内容不一致的，包括报价一览表与报价分项一览表内容不一致、点对点应答表与技术资料内容不一致、对同一问题的前后表述不一致等情形的。</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ascii="宋体" w:hAnsi="宋体" w:cs="宋体" w:hint="eastAsia"/>
          <w:color w:val="auto"/>
          <w:kern w:val="0"/>
          <w:sz w:val="24"/>
          <w:szCs w:val="24"/>
          <w:highlight w:val="none"/>
          <w:lang w:bidi="ar"/>
        </w:rPr>
      </w:pPr>
      <w:r>
        <w:rPr>
          <w:rFonts w:ascii="宋体" w:hAnsi="宋体" w:cs="宋体" w:hint="eastAsia"/>
          <w:color w:val="auto"/>
          <w:kern w:val="0"/>
          <w:sz w:val="24"/>
          <w:szCs w:val="24"/>
          <w:highlight w:val="none"/>
          <w:lang w:bidi="ar"/>
        </w:rPr>
        <w:t xml:space="preserve"> 响应文件内容无法辨认的，包括盖章不清楚、印刷不清楚、字迹模糊等情形的。</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ascii="宋体" w:hAnsi="宋体" w:cs="宋体" w:hint="eastAsia"/>
          <w:color w:val="auto"/>
          <w:kern w:val="0"/>
          <w:sz w:val="24"/>
          <w:szCs w:val="24"/>
          <w:highlight w:val="none"/>
          <w:lang w:bidi="ar"/>
        </w:rPr>
      </w:pPr>
      <w:r>
        <w:rPr>
          <w:rFonts w:ascii="宋体" w:hAnsi="宋体" w:cs="宋体" w:hint="eastAsia"/>
          <w:color w:val="auto"/>
          <w:kern w:val="0"/>
          <w:sz w:val="24"/>
          <w:szCs w:val="24"/>
          <w:highlight w:val="none"/>
          <w:lang w:eastAsia="zh-CN" w:bidi="ar"/>
        </w:rPr>
        <w:t>（二）</w:t>
      </w:r>
      <w:r>
        <w:rPr>
          <w:rFonts w:ascii="宋体" w:hAnsi="宋体" w:cs="宋体" w:hint="eastAsia"/>
          <w:color w:val="auto"/>
          <w:kern w:val="0"/>
          <w:sz w:val="24"/>
          <w:szCs w:val="24"/>
          <w:highlight w:val="none"/>
          <w:lang w:bidi="ar"/>
        </w:rPr>
        <w:t>出现以下任何情形取消磋商资格：</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 围标或陪标的。</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 提供虚假材料谋取中标、成交的。</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 不实应答或虚假应标的。</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 未按时提交响应文件的。</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sectPr>
          <w:headerReference w:type="default" r:id="rId36"/>
          <w:footerReference w:type="default" r:id="rId37"/>
          <w:type w:val="nextPage"/>
          <w:pgSz w:w="11906" w:h="16838"/>
          <w:pgMar w:top="1440" w:right="1080" w:bottom="1440" w:left="1080" w:header="851" w:footer="992" w:gutter="0"/>
          <w:pgNumType w:fmt="decimal" w:start="15" w:chapStyle="0" w:chapSep="hyphen"/>
          <w:cols w:space="708"/>
          <w:titlePg w:val="0"/>
          <w:docGrid w:type="lines" w:linePitch="312"/>
        </w:sectPr>
      </w:pPr>
      <w:r>
        <w:rPr>
          <w:rFonts w:ascii="宋体" w:eastAsia="宋体" w:hAnsi="宋体" w:cs="宋体" w:hint="eastAsia"/>
          <w:bCs/>
          <w:color w:val="auto"/>
          <w:highlight w:val="none"/>
          <w:lang w:eastAsia="zh-CN"/>
        </w:rPr>
        <w:t>. 未按照磋商文件要求递交投标保证金的；</w:t>
      </w:r>
    </w:p>
    <w:p>
      <w:pPr>
        <w:pStyle w:val="Default"/>
        <w:keepNext w:val="0"/>
        <w:keepLines w:val="0"/>
        <w:pageBreakBefore w:val="0"/>
        <w:kinsoku/>
        <w:wordWrap/>
        <w:overflowPunct/>
        <w:topLinePunct w:val="0"/>
        <w:bidi w:val="0"/>
        <w:snapToGrid w:val="0"/>
        <w:spacing w:line="360" w:lineRule="auto"/>
        <w:ind w:right="0" w:firstLine="480" w:rightChars="0" w:firstLineChars="20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lang w:eastAsia="zh-CN"/>
        </w:rPr>
        <w:t>. 对于被行政处罚尚在禁止参加政府采购活动期内的供应商。</w:t>
      </w:r>
    </w:p>
    <w:p>
      <w:pPr>
        <w:pStyle w:val="Default"/>
        <w:keepNext w:val="0"/>
        <w:keepLines w:val="0"/>
        <w:pageBreakBefore w:val="0"/>
        <w:kinsoku/>
        <w:wordWrap/>
        <w:overflowPunct/>
        <w:topLinePunct w:val="0"/>
        <w:bidi w:val="0"/>
        <w:snapToGrid w:val="0"/>
        <w:spacing w:line="360" w:lineRule="auto"/>
        <w:ind w:right="0" w:rightChars="0"/>
        <w:jc w:val="both"/>
        <w:textAlignment w:val="auto"/>
        <w:outlineLvl w:val="9"/>
        <w:rPr>
          <w:rFonts w:ascii="宋体" w:eastAsia="宋体" w:hAnsi="宋体" w:cs="宋体" w:hint="eastAsia"/>
          <w:bCs/>
          <w:color w:val="auto"/>
          <w:highlight w:val="none"/>
        </w:rPr>
      </w:pPr>
      <w:r>
        <w:rPr>
          <w:rFonts w:ascii="宋体" w:eastAsia="宋体" w:hAnsi="宋体" w:cs="宋体" w:hint="eastAsia"/>
          <w:bCs/>
          <w:color w:val="auto"/>
          <w:highlight w:val="none"/>
        </w:rPr>
        <w:t>第</w:t>
      </w:r>
      <w:r>
        <w:rPr>
          <w:rFonts w:ascii="宋体" w:eastAsia="宋体" w:hAnsi="宋体" w:cs="宋体" w:hint="eastAsia"/>
          <w:bCs/>
          <w:color w:val="auto"/>
          <w:highlight w:val="none"/>
          <w:lang w:eastAsia="zh-CN"/>
        </w:rPr>
        <w:t>五</w:t>
      </w:r>
      <w:r>
        <w:rPr>
          <w:rFonts w:ascii="宋体" w:eastAsia="宋体" w:hAnsi="宋体" w:cs="宋体" w:hint="eastAsia"/>
          <w:bCs/>
          <w:color w:val="auto"/>
          <w:highlight w:val="none"/>
        </w:rPr>
        <w:t>部分  供应商须保证提供材料真实有效，采购人保留进一步核实的权利，一经发现虚假伪造，取消成交资格。</w:t>
      </w:r>
    </w:p>
    <w:p>
      <w:pPr>
        <w:pStyle w:val="Default"/>
        <w:snapToGrid w:val="0"/>
        <w:spacing w:line="360" w:lineRule="auto"/>
        <w:ind w:firstLine="480" w:firstLineChars="200"/>
        <w:jc w:val="both"/>
        <w:rPr>
          <w:rFonts w:ascii="宋体" w:eastAsia="宋体" w:hAnsi="宋体" w:cs="宋体" w:hint="eastAsia"/>
          <w:b/>
          <w:color w:val="auto"/>
          <w:highlight w:val="none"/>
        </w:rPr>
      </w:pPr>
      <w:r>
        <w:rPr>
          <w:rFonts w:ascii="宋体" w:eastAsia="宋体" w:hAnsi="宋体" w:cs="宋体" w:hint="eastAsia"/>
          <w:b/>
          <w:color w:val="auto"/>
          <w:highlight w:val="none"/>
        </w:rPr>
        <w:t>八、其他注意事项</w:t>
      </w:r>
    </w:p>
    <w:p>
      <w:pPr>
        <w:pStyle w:val="Default"/>
        <w:snapToGrid w:val="0"/>
        <w:spacing w:line="360" w:lineRule="auto"/>
        <w:ind w:firstLine="480" w:firstLineChars="200"/>
        <w:jc w:val="both"/>
        <w:rPr>
          <w:rFonts w:ascii="宋体" w:eastAsia="宋体" w:hAnsi="宋体" w:cs="宋体" w:hint="eastAsia"/>
          <w:bCs/>
          <w:color w:val="auto"/>
          <w:highlight w:val="none"/>
          <w:lang w:val="zh-CN"/>
        </w:rPr>
      </w:pPr>
      <w:r>
        <w:rPr>
          <w:rFonts w:ascii="宋体" w:eastAsia="宋体" w:hAnsi="宋体" w:cs="宋体" w:hint="eastAsia"/>
          <w:bCs/>
          <w:color w:val="auto"/>
          <w:highlight w:val="none"/>
        </w:rPr>
        <w:t>（一）</w:t>
      </w:r>
      <w:r>
        <w:rPr>
          <w:rFonts w:ascii="宋体" w:eastAsia="宋体" w:hAnsi="宋体" w:cs="宋体" w:hint="eastAsia"/>
          <w:bCs/>
          <w:color w:val="auto"/>
          <w:highlight w:val="none"/>
          <w:lang w:eastAsia="zh-CN"/>
        </w:rPr>
        <w:t>参照</w:t>
      </w:r>
      <w:r>
        <w:rPr>
          <w:rFonts w:ascii="宋体" w:eastAsia="宋体" w:hAnsi="宋体" w:cs="宋体" w:hint="eastAsia"/>
          <w:bCs/>
          <w:color w:val="auto"/>
          <w:highlight w:val="none"/>
        </w:rPr>
        <w:t>《国家计委关于印发&lt;招标代理服务收费管理暂行办法&gt;的通知（计价格[]号）》和《国家发展改革委办公厅关于招标代理服务收费有关问题的通知（发改办价格[]号）》的文件规定，本次项目向</w:t>
      </w:r>
      <w:r>
        <w:rPr>
          <w:rFonts w:ascii="宋体" w:eastAsia="宋体" w:hAnsi="宋体" w:cs="宋体" w:hint="eastAsia"/>
          <w:bCs/>
          <w:color w:val="auto"/>
          <w:highlight w:val="none"/>
          <w:lang w:eastAsia="zh-CN"/>
        </w:rPr>
        <w:t>成交</w:t>
      </w:r>
      <w:r>
        <w:rPr>
          <w:rFonts w:ascii="宋体" w:eastAsia="宋体" w:hAnsi="宋体" w:cs="宋体" w:hint="eastAsia"/>
          <w:bCs/>
          <w:color w:val="auto"/>
          <w:highlight w:val="none"/>
        </w:rPr>
        <w:t>供应商收取</w:t>
      </w:r>
      <w:r>
        <w:rPr>
          <w:rFonts w:ascii="宋体" w:eastAsia="宋体" w:hAnsi="宋体" w:cs="宋体" w:hint="eastAsia"/>
          <w:bCs/>
          <w:color w:val="auto"/>
          <w:highlight w:val="none"/>
          <w:lang w:eastAsia="zh-CN"/>
        </w:rPr>
        <w:t>代理</w:t>
      </w:r>
      <w:r>
        <w:rPr>
          <w:rFonts w:ascii="宋体" w:eastAsia="宋体" w:hAnsi="宋体" w:cs="宋体" w:hint="eastAsia"/>
          <w:bCs/>
          <w:color w:val="auto"/>
          <w:highlight w:val="none"/>
        </w:rPr>
        <w:t>服务费</w:t>
      </w:r>
      <w:r>
        <w:rPr>
          <w:rFonts w:ascii="宋体" w:eastAsia="宋体" w:hAnsi="宋体" w:cs="宋体" w:hint="eastAsia"/>
          <w:bCs/>
          <w:color w:val="auto"/>
          <w:highlight w:val="none"/>
          <w:lang w:val="zh-CN"/>
        </w:rPr>
        <w:t>。</w:t>
      </w:r>
    </w:p>
    <w:tbl>
      <w:tblPr>
        <w:tblStyle w:val="TableNormal"/>
        <w:tblpPr w:leftFromText="180" w:rightFromText="180" w:vertAnchor="text" w:horzAnchor="page" w:tblpX="1911" w:tblpY="199"/>
        <w:tblOverlap w:val="never"/>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4468"/>
        <w:gridCol w:w="3612"/>
      </w:tblGrid>
      <w:tr>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432"/>
          <w:tblCellSpacing w:w="0" w:type="dxa"/>
        </w:trPr>
        <w:tc>
          <w:tcPr>
            <w:tcW w:w="4468" w:type="dxa"/>
            <w:tcBorders>
              <w:top w:val="single" w:sz="4" w:space="0" w:color="auto"/>
              <w:left w:val="single" w:sz="6"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lang w:eastAsia="zh-CN"/>
              </w:rPr>
              <w:t>成交</w:t>
            </w:r>
            <w:r>
              <w:rPr>
                <w:rFonts w:ascii="宋体" w:hAnsi="宋体" w:cs="宋体" w:hint="eastAsia"/>
                <w:color w:val="auto"/>
                <w:sz w:val="24"/>
                <w:szCs w:val="24"/>
                <w:highlight w:val="none"/>
              </w:rPr>
              <w:t>金额(万元)</w:t>
            </w:r>
          </w:p>
        </w:tc>
        <w:tc>
          <w:tcPr>
            <w:tcW w:w="3612"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rPr>
              <w:t>费率</w:t>
            </w:r>
          </w:p>
        </w:tc>
      </w:tr>
      <w:tr>
        <w:tblPrEx>
          <w:tblCellSpacing w:w="0" w:type="dxa"/>
          <w:tblLayout w:type="fixed"/>
          <w:tblCellMar>
            <w:top w:w="0" w:type="dxa"/>
            <w:left w:w="0" w:type="dxa"/>
            <w:bottom w:w="0" w:type="dxa"/>
            <w:right w:w="0" w:type="dxa"/>
          </w:tblCellMar>
          <w:tblLook w:val="0000"/>
        </w:tblPrEx>
        <w:trPr>
          <w:trHeight w:val="382"/>
          <w:tblCellSpacing w:w="0" w:type="dxa"/>
        </w:trPr>
        <w:tc>
          <w:tcPr>
            <w:tcW w:w="4468"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rPr>
              <w:t>以下</w:t>
            </w:r>
          </w:p>
        </w:tc>
        <w:tc>
          <w:tcPr>
            <w:tcW w:w="3612"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rPr>
              <w:t>.%</w:t>
            </w:r>
          </w:p>
        </w:tc>
      </w:tr>
      <w:tr>
        <w:tblPrEx>
          <w:tblCellSpacing w:w="0" w:type="dxa"/>
          <w:tblLayout w:type="fixed"/>
          <w:tblCellMar>
            <w:top w:w="0" w:type="dxa"/>
            <w:left w:w="0" w:type="dxa"/>
            <w:bottom w:w="0" w:type="dxa"/>
            <w:right w:w="0" w:type="dxa"/>
          </w:tblCellMar>
          <w:tblLook w:val="0000"/>
        </w:tblPrEx>
        <w:trPr>
          <w:trHeight w:val="382"/>
          <w:tblCellSpacing w:w="0" w:type="dxa"/>
        </w:trPr>
        <w:tc>
          <w:tcPr>
            <w:tcW w:w="4468"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eastAsia="宋体" w:hAnsi="宋体" w:cs="宋体" w:hint="eastAsia"/>
                <w:color w:val="auto"/>
                <w:sz w:val="24"/>
                <w:szCs w:val="24"/>
                <w:highlight w:val="none"/>
              </w:rPr>
            </w:pPr>
            <w:r>
              <w:rPr>
                <w:rFonts w:ascii="宋体" w:hAnsi="宋体" w:cs="宋体" w:hint="eastAsia"/>
                <w:color w:val="auto"/>
                <w:sz w:val="24"/>
                <w:szCs w:val="24"/>
                <w:highlight w:val="none"/>
              </w:rPr>
              <w:t>-</w:t>
            </w:r>
          </w:p>
        </w:tc>
        <w:tc>
          <w:tcPr>
            <w:tcW w:w="3612"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lang w:val="en-US" w:eastAsia="zh-CN"/>
              </w:rPr>
              <w:t>.</w:t>
            </w:r>
            <w:r>
              <w:rPr>
                <w:rFonts w:ascii="宋体" w:hAnsi="宋体" w:cs="宋体" w:hint="eastAsia"/>
                <w:color w:val="auto"/>
                <w:sz w:val="24"/>
                <w:szCs w:val="24"/>
                <w:highlight w:val="none"/>
              </w:rPr>
              <w:t>%</w:t>
            </w:r>
          </w:p>
        </w:tc>
      </w:tr>
      <w:tr>
        <w:tblPrEx>
          <w:tblCellSpacing w:w="0" w:type="dxa"/>
          <w:tblLayout w:type="fixed"/>
          <w:tblCellMar>
            <w:top w:w="0" w:type="dxa"/>
            <w:left w:w="0" w:type="dxa"/>
            <w:bottom w:w="0" w:type="dxa"/>
            <w:right w:w="0" w:type="dxa"/>
          </w:tblCellMar>
          <w:tblLook w:val="0000"/>
        </w:tblPrEx>
        <w:trPr>
          <w:trHeight w:val="430"/>
          <w:tblCellSpacing w:w="0" w:type="dxa"/>
        </w:trPr>
        <w:tc>
          <w:tcPr>
            <w:tcW w:w="4468"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eastAsia="宋体" w:hAnsi="宋体" w:cs="宋体" w:hint="eastAsia"/>
                <w:color w:val="auto"/>
                <w:sz w:val="24"/>
                <w:szCs w:val="24"/>
                <w:highlight w:val="none"/>
              </w:rPr>
            </w:pPr>
            <w:r>
              <w:rPr>
                <w:rFonts w:ascii="宋体" w:hAnsi="宋体" w:cs="宋体" w:hint="eastAsia"/>
                <w:color w:val="auto"/>
                <w:sz w:val="24"/>
                <w:szCs w:val="24"/>
                <w:highlight w:val="none"/>
              </w:rPr>
              <w:t>-</w:t>
            </w:r>
          </w:p>
        </w:tc>
        <w:tc>
          <w:tcPr>
            <w:tcW w:w="3612" w:type="dxa"/>
            <w:tcBorders>
              <w:top w:val="single" w:sz="4" w:space="0" w:color="auto"/>
              <w:left w:val="single" w:sz="4" w:space="0" w:color="auto"/>
              <w:bottom w:val="single" w:sz="4" w:space="0" w:color="auto"/>
              <w:right w:val="single" w:sz="4" w:space="0" w:color="auto"/>
            </w:tcBorders>
            <w:vAlign w:val="center"/>
          </w:tcPr>
          <w:p>
            <w:pPr>
              <w:ind w:firstLine="446"/>
              <w:jc w:val="center"/>
              <w:rPr>
                <w:rFonts w:ascii="宋体" w:hAnsi="宋体" w:cs="宋体" w:hint="eastAsia"/>
                <w:color w:val="auto"/>
                <w:sz w:val="24"/>
                <w:szCs w:val="24"/>
                <w:highlight w:val="none"/>
              </w:rPr>
            </w:pPr>
            <w:r>
              <w:rPr>
                <w:rFonts w:ascii="宋体" w:hAnsi="宋体" w:cs="宋体" w:hint="eastAsia"/>
                <w:color w:val="auto"/>
                <w:sz w:val="24"/>
                <w:szCs w:val="24"/>
                <w:highlight w:val="none"/>
                <w:lang w:val="en-US" w:eastAsia="zh-CN"/>
              </w:rPr>
              <w:t>.</w:t>
            </w:r>
            <w:r>
              <w:rPr>
                <w:rFonts w:ascii="宋体" w:hAnsi="宋体" w:cs="宋体" w:hint="eastAsia"/>
                <w:color w:val="auto"/>
                <w:sz w:val="24"/>
                <w:szCs w:val="24"/>
                <w:highlight w:val="none"/>
              </w:rPr>
              <w:t>%</w:t>
            </w:r>
          </w:p>
        </w:tc>
      </w:tr>
    </w:tbl>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（二）请供应商在开标前随时关注天津政府采购网（tjgp.czds.tj.gov.cn）。若有补充文件，请供应商将</w:t>
      </w:r>
      <w:r>
        <w:rPr>
          <w:rFonts w:ascii="宋体" w:eastAsia="宋体" w:hAnsi="宋体" w:cs="宋体" w:hint="eastAsia"/>
          <w:bCs/>
          <w:color w:val="auto"/>
          <w:highlight w:val="none"/>
        </w:rPr>
        <w:t>“</w:t>
      </w:r>
      <w:r>
        <w:rPr>
          <w:rFonts w:ascii="宋体" w:eastAsia="宋体" w:hAnsi="宋体" w:cs="宋体" w:hint="eastAsia"/>
          <w:bCs/>
          <w:color w:val="auto"/>
          <w:highlight w:val="none"/>
        </w:rPr>
        <w:t>补充文件回执</w:t>
      </w:r>
      <w:r>
        <w:rPr>
          <w:rFonts w:ascii="宋体" w:eastAsia="宋体" w:hAnsi="宋体" w:cs="宋体" w:hint="eastAsia"/>
          <w:bCs/>
          <w:color w:val="auto"/>
          <w:highlight w:val="none"/>
        </w:rPr>
        <w:t>”</w:t>
      </w:r>
      <w:r>
        <w:rPr>
          <w:rFonts w:ascii="宋体" w:eastAsia="宋体" w:hAnsi="宋体" w:cs="宋体" w:hint="eastAsia"/>
          <w:bCs/>
          <w:color w:val="auto"/>
          <w:highlight w:val="none"/>
        </w:rPr>
        <w:t>下载后盖上公章，以邮件形式发送至天津融尚招标代理有限公司。邮箱为：</w:t>
      </w:r>
      <w:hyperlink r:id="rId38" w:history="1">
        <w:r>
          <w:rPr>
            <w:rFonts w:ascii="宋体" w:eastAsia="宋体" w:hAnsi="宋体" w:cs="宋体" w:hint="eastAsia"/>
            <w:bCs/>
            <w:color w:val="auto"/>
            <w:highlight w:val="none"/>
          </w:rPr>
          <w:t>rongshanggongsi@.com。至磋商截止时间仍未收到</w:t>
        </w:r>
        <w:r>
          <w:rPr>
            <w:rFonts w:ascii="宋体" w:eastAsia="宋体" w:hAnsi="宋体" w:cs="宋体" w:hint="eastAsia"/>
            <w:bCs/>
            <w:color w:val="auto"/>
            <w:highlight w:val="none"/>
          </w:rPr>
          <w:t>“</w:t>
        </w:r>
        <w:r>
          <w:rPr>
            <w:rFonts w:ascii="宋体" w:eastAsia="宋体" w:hAnsi="宋体" w:cs="宋体" w:hint="eastAsia"/>
            <w:bCs/>
            <w:color w:val="auto"/>
            <w:highlight w:val="none"/>
          </w:rPr>
          <w:t>补充文件回执</w:t>
        </w:r>
        <w:r>
          <w:rPr>
            <w:rFonts w:ascii="宋体" w:eastAsia="宋体" w:hAnsi="宋体" w:cs="宋体" w:hint="eastAsia"/>
            <w:bCs/>
            <w:color w:val="auto"/>
            <w:highlight w:val="none"/>
          </w:rPr>
          <w:t>”</w:t>
        </w:r>
        <w:r>
          <w:rPr>
            <w:rFonts w:ascii="宋体" w:eastAsia="宋体" w:hAnsi="宋体" w:cs="宋体" w:hint="eastAsia"/>
            <w:bCs/>
            <w:color w:val="auto"/>
            <w:highlight w:val="none"/>
          </w:rPr>
          <w:t>的视为已熟知补充文件内容，接受补充文件所表述内容，并承担由此可能产生的风险。</w:t>
        </w:r>
      </w:hyperlink>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（三）根据天津市财政局</w:t>
      </w:r>
      <w:r>
        <w:rPr>
          <w:rFonts w:ascii="宋体" w:eastAsia="宋体" w:hAnsi="宋体" w:cs="宋体" w:hint="eastAsia"/>
          <w:bCs/>
          <w:color w:val="auto"/>
          <w:highlight w:val="none"/>
          <w:lang w:eastAsia="zh-CN"/>
        </w:rPr>
        <w:t>相关</w:t>
      </w:r>
      <w:r>
        <w:rPr>
          <w:rFonts w:ascii="宋体" w:eastAsia="宋体" w:hAnsi="宋体" w:cs="宋体" w:hint="eastAsia"/>
          <w:bCs/>
          <w:color w:val="auto"/>
          <w:highlight w:val="none"/>
        </w:rPr>
        <w:t>的规定，对投标截止时间后供应商提交、补交的资质性文件，评审时不予承认。</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（四）响应文件编制要求</w:t>
      </w:r>
    </w:p>
    <w:p>
      <w:pPr>
        <w:pStyle w:val="Default"/>
        <w:snapToGrid w:val="0"/>
        <w:spacing w:line="360" w:lineRule="auto"/>
        <w:ind w:firstLine="720" w:firstLineChars="300"/>
        <w:jc w:val="both"/>
        <w:rPr>
          <w:rFonts w:ascii="宋体" w:eastAsia="宋体" w:hAnsi="宋体" w:cs="宋体" w:hint="eastAsia"/>
          <w:bCs/>
          <w:color w:val="auto"/>
          <w:highlight w:val="none"/>
        </w:rPr>
      </w:pPr>
      <w:r>
        <w:rPr>
          <w:rFonts w:ascii="宋体" w:eastAsia="宋体" w:hAnsi="宋体" w:cs="宋体" w:hint="eastAsia"/>
          <w:bCs/>
          <w:color w:val="auto"/>
          <w:highlight w:val="none"/>
        </w:rPr>
        <w:t>第一阶段：一份正本响应文件、贰份副本响应文件，随第一阶段纸质响应文件正本提供第一阶段响应文件电子版光盘一份。其中，第一阶段纸质响应文件共分为资质文件、资信文件及技术文件（不包含任何报价内容及暗示报价内容的资料）。</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lang w:val="en-US" w:eastAsia="zh-CN"/>
        </w:rPr>
        <w:t xml:space="preserve">  </w:t>
      </w:r>
      <w:r>
        <w:rPr>
          <w:rFonts w:ascii="宋体" w:eastAsia="宋体" w:hAnsi="宋体" w:cs="宋体" w:hint="eastAsia"/>
          <w:bCs/>
          <w:color w:val="auto"/>
          <w:highlight w:val="none"/>
        </w:rPr>
        <w:t>第二阶段：一份正本响应文件、贰份副本响应文件，随第二阶段纸质响应文件正本提供第二阶段响应文件电子版光盘一份。其中，第二阶段纸质响应文件只包含报价文件。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（）响应文件编制要求：</w:t>
      </w:r>
      <w:r>
        <w:rPr>
          <w:rFonts w:ascii="宋体" w:eastAsia="宋体" w:hAnsi="宋体" w:cs="宋体" w:hint="eastAsia"/>
          <w:bCs/>
          <w:color w:val="auto"/>
          <w:highlight w:val="none"/>
          <w:lang w:eastAsia="zh-CN"/>
        </w:rPr>
        <w:t>胶装</w:t>
      </w:r>
      <w:r>
        <w:rPr>
          <w:rFonts w:ascii="宋体" w:eastAsia="宋体" w:hAnsi="宋体" w:cs="宋体" w:hint="eastAsia"/>
          <w:bCs/>
          <w:color w:val="auto"/>
          <w:highlight w:val="none"/>
        </w:rPr>
        <w:t>完整</w:t>
      </w:r>
      <w:r>
        <w:rPr>
          <w:rFonts w:ascii="宋体" w:eastAsia="宋体" w:hAnsi="宋体" w:cs="宋体" w:hint="eastAsia"/>
          <w:bCs/>
          <w:color w:val="auto"/>
          <w:highlight w:val="none"/>
          <w:lang w:eastAsia="zh-CN"/>
        </w:rPr>
        <w:t>，</w:t>
      </w:r>
      <w:r>
        <w:rPr>
          <w:rFonts w:ascii="宋体" w:eastAsia="宋体" w:hAnsi="宋体" w:cs="宋体" w:hint="eastAsia"/>
          <w:bCs/>
          <w:color w:val="auto"/>
          <w:highlight w:val="none"/>
        </w:rPr>
        <w:t>活页装订作为废标处理；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（）响应文件编制要求：封皮注明</w:t>
      </w:r>
      <w:r>
        <w:rPr>
          <w:rFonts w:ascii="宋体" w:eastAsia="宋体" w:hAnsi="宋体" w:cs="宋体" w:hint="eastAsia"/>
          <w:bCs/>
          <w:color w:val="auto"/>
          <w:highlight w:val="none"/>
        </w:rPr>
        <w:t>“</w:t>
      </w:r>
      <w:r>
        <w:rPr>
          <w:rFonts w:ascii="宋体" w:eastAsia="宋体" w:hAnsi="宋体" w:cs="宋体" w:hint="eastAsia"/>
          <w:bCs/>
          <w:color w:val="auto"/>
          <w:highlight w:val="none"/>
        </w:rPr>
        <w:t>正本</w:t>
      </w:r>
      <w:r>
        <w:rPr>
          <w:rFonts w:ascii="宋体" w:eastAsia="宋体" w:hAnsi="宋体" w:cs="宋体" w:hint="eastAsia"/>
          <w:bCs/>
          <w:color w:val="auto"/>
          <w:highlight w:val="none"/>
        </w:rPr>
        <w:t>”</w:t>
      </w:r>
      <w:r>
        <w:rPr>
          <w:rFonts w:ascii="宋体" w:eastAsia="宋体" w:hAnsi="宋体" w:cs="宋体" w:hint="eastAsia"/>
          <w:bCs/>
          <w:color w:val="auto"/>
          <w:highlight w:val="none"/>
        </w:rPr>
        <w:t>、</w:t>
      </w:r>
      <w:r>
        <w:rPr>
          <w:rFonts w:ascii="宋体" w:eastAsia="宋体" w:hAnsi="宋体" w:cs="宋体" w:hint="eastAsia"/>
          <w:bCs/>
          <w:color w:val="auto"/>
          <w:highlight w:val="none"/>
        </w:rPr>
        <w:t>“</w:t>
      </w:r>
      <w:r>
        <w:rPr>
          <w:rFonts w:ascii="宋体" w:eastAsia="宋体" w:hAnsi="宋体" w:cs="宋体" w:hint="eastAsia"/>
          <w:bCs/>
          <w:color w:val="auto"/>
          <w:highlight w:val="none"/>
        </w:rPr>
        <w:t>副本</w:t>
      </w:r>
      <w:r>
        <w:rPr>
          <w:rFonts w:ascii="宋体" w:eastAsia="宋体" w:hAnsi="宋体" w:cs="宋体" w:hint="eastAsia"/>
          <w:bCs/>
          <w:color w:val="auto"/>
          <w:highlight w:val="none"/>
        </w:rPr>
        <w:t>”</w:t>
      </w:r>
      <w:r>
        <w:rPr>
          <w:rFonts w:ascii="宋体" w:eastAsia="宋体" w:hAnsi="宋体" w:cs="宋体" w:hint="eastAsia"/>
          <w:bCs/>
          <w:color w:val="auto"/>
          <w:highlight w:val="none"/>
        </w:rPr>
        <w:t>字样。不按要求制作的，作为废标处理；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（）响应文件正</w:t>
      </w:r>
      <w:r>
        <w:rPr>
          <w:rFonts w:ascii="宋体" w:eastAsia="宋体" w:hAnsi="宋体" w:cs="宋体" w:hint="eastAsia"/>
          <w:bCs/>
          <w:color w:val="auto"/>
          <w:highlight w:val="none"/>
          <w:lang w:eastAsia="zh-CN"/>
        </w:rPr>
        <w:t>、副</w:t>
      </w:r>
      <w:r>
        <w:rPr>
          <w:rFonts w:ascii="宋体" w:eastAsia="宋体" w:hAnsi="宋体" w:cs="宋体" w:hint="eastAsia"/>
          <w:bCs/>
          <w:color w:val="auto"/>
          <w:highlight w:val="none"/>
        </w:rPr>
        <w:t>本须逐页加盖单位公章。不按要求制作的，作为废标处理。</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39"/>
          <w:footerReference w:type="default" r:id="rId40"/>
          <w:type w:val="nextPage"/>
          <w:pgSz w:w="11906" w:h="16838"/>
          <w:pgMar w:top="1440" w:right="1080" w:bottom="1440" w:left="1080" w:header="851" w:footer="992" w:gutter="0"/>
          <w:pgNumType w:fmt="decimal" w:start="16" w:chapStyle="0" w:chapSep="hyphen"/>
          <w:cols w:space="708"/>
          <w:titlePg w:val="0"/>
          <w:docGrid w:type="lines" w:linePitch="312"/>
        </w:sectPr>
      </w:pPr>
      <w:r>
        <w:rPr>
          <w:rFonts w:ascii="宋体" w:eastAsia="宋体" w:hAnsi="宋体" w:cs="宋体" w:hint="eastAsia"/>
          <w:bCs/>
          <w:color w:val="auto"/>
          <w:highlight w:val="none"/>
          <w:lang w:val="en-US" w:eastAsia="zh-CN"/>
        </w:rPr>
        <w:t xml:space="preserve">   </w:t>
      </w:r>
      <w:r>
        <w:rPr>
          <w:rFonts w:ascii="宋体" w:eastAsia="宋体" w:hAnsi="宋体" w:cs="宋体" w:hint="eastAsia"/>
          <w:bCs/>
          <w:color w:val="auto"/>
          <w:highlight w:val="none"/>
        </w:rPr>
        <w:t>特别提示：除报价文件外其他纸质响应文件不得包含任何报价内容及暗示报价内容的资料，否则将视为无效投标。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（五）其他</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.本部分如与竞争性磋商文件其他部分有不同之处，以本部分内容为准。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.磋商开始后，不接受供应商及与供应商有关的任何一方递交的材料（磋商小组要求提供的除外）。</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特别提示：除报价文件外其他纸质响应文件不得包含任何报价内容及暗示报价内容的资料，否则将视为无效投标。纸质响应文件中应提供真诚投标承诺书。</w:t>
      </w:r>
      <w:r>
        <w:rPr>
          <w:rFonts w:ascii="宋体" w:eastAsia="宋体" w:hAnsi="宋体" w:cs="宋体" w:hint="eastAsia"/>
          <w:bCs/>
          <w:color w:val="auto"/>
          <w:highlight w:val="none"/>
          <w:lang w:val="en-US" w:eastAsia="zh-CN"/>
        </w:rPr>
        <w:t xml:space="preserve"> </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.未及时交纳服务费的供应商，将被取消参加此后政府采购活动的资格。</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实质性技术条款不得出现负偏离，发生负偏离即做无效标处理。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在合同签订与执行过程中，出现下列情况的，将在天津市政府采购网站上予以公布：</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（）不按时签订合同的；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（）未在规定的时间内将合同送交我</w:t>
      </w:r>
      <w:r>
        <w:rPr>
          <w:rFonts w:ascii="宋体" w:eastAsia="宋体" w:hAnsi="宋体" w:cs="宋体" w:hint="eastAsia"/>
          <w:bCs/>
          <w:color w:val="auto"/>
          <w:highlight w:val="none"/>
          <w:lang w:eastAsia="zh-CN"/>
        </w:rPr>
        <w:t>单位</w:t>
      </w:r>
      <w:r>
        <w:rPr>
          <w:rFonts w:ascii="宋体" w:eastAsia="宋体" w:hAnsi="宋体" w:cs="宋体" w:hint="eastAsia"/>
          <w:bCs/>
          <w:color w:val="auto"/>
          <w:highlight w:val="none"/>
        </w:rPr>
        <w:t>备案的；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（）在合同执行过程中未按合同约定履约。</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供应商认为响应文件、评标过程、中标结果使自己的合法权益受到损害的，可按照《政府采购质疑和投诉办法》（财政部令第号）的规定提出质疑</w:t>
      </w:r>
      <w:r>
        <w:rPr>
          <w:rFonts w:ascii="宋体" w:eastAsia="宋体" w:hAnsi="宋体" w:cs="宋体" w:hint="eastAsia"/>
          <w:bCs/>
          <w:color w:val="auto"/>
          <w:highlight w:val="none"/>
          <w:lang w:val="en-US" w:eastAsia="zh-CN"/>
        </w:rPr>
        <w:t>，</w:t>
      </w:r>
      <w:r>
        <w:rPr>
          <w:rFonts w:ascii="宋体" w:eastAsia="宋体" w:hAnsi="宋体" w:cs="宋体" w:hint="eastAsia"/>
          <w:bCs/>
          <w:color w:val="auto"/>
          <w:highlight w:val="none"/>
        </w:rPr>
        <w:t>相关文件详见天津市政府采购中心网（tjgp.czds.tj.gov.cn）法律法规-地方政策栏目。。</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出现下列情形之一的，采购人或者采购代理机构应当终止竞争性磋商采购活动，发布项目终止公告并说明原因，重新开展采购活动：</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（）因情况变化，不再符合规定的竞争性磋商采购方式适用情形的；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（）出现影响采购公正的违法、违规行为的；</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41"/>
          <w:footerReference w:type="default" r:id="rId42"/>
          <w:type w:val="nextPage"/>
          <w:pgSz w:w="11906" w:h="16838"/>
          <w:pgMar w:top="1440" w:right="1080" w:bottom="1440" w:left="1080" w:header="851" w:footer="992" w:gutter="0"/>
          <w:pgNumType w:fmt="decimal" w:start="17" w:chapStyle="0" w:chapSep="hyphen"/>
          <w:cols w:space="708"/>
          <w:titlePg w:val="0"/>
          <w:docGrid w:type="lines" w:linePitch="312"/>
        </w:sectPr>
      </w:pPr>
      <w:r>
        <w:rPr>
          <w:rFonts w:ascii="宋体" w:eastAsia="宋体" w:hAnsi="宋体" w:cs="宋体" w:hint="eastAsia"/>
          <w:bCs/>
          <w:color w:val="auto"/>
          <w:highlight w:val="none"/>
        </w:rPr>
        <w:t>（）除《政府采购竞争性磋商采购方式管理暂行办法》第二十一条第三款规定的情形外，在采购过程中符合要求的供应商或者报价未超过采购预算的供应商不足家的。</w:t>
      </w:r>
      <w:bookmarkStart w:id="1" w:name="bookmark0"/>
    </w:p>
    <w:p>
      <w:pPr>
        <w:pStyle w:val="Title"/>
        <w:keepNext w:val="0"/>
        <w:keepLines w:val="0"/>
        <w:pageBreakBefore/>
        <w:widowControl w:val="0"/>
        <w:kinsoku/>
        <w:wordWrap/>
        <w:overflowPunct/>
        <w:topLinePunct w:val="0"/>
        <w:autoSpaceDE/>
        <w:autoSpaceDN/>
        <w:bidi w:val="0"/>
        <w:adjustRightInd/>
        <w:snapToGrid/>
        <w:spacing w:line="360" w:lineRule="auto"/>
        <w:ind w:firstLine="480" w:firstLineChars="200"/>
        <w:textAlignment w:val="auto"/>
        <w:outlineLvl w:val="1"/>
        <w:rPr>
          <w:rFonts w:ascii="宋体" w:eastAsia="宋体" w:hAnsi="宋体"/>
          <w:color w:val="auto"/>
          <w:sz w:val="24"/>
          <w:szCs w:val="24"/>
          <w:highlight w:val="none"/>
        </w:rPr>
      </w:pPr>
      <w:bookmarkEnd w:id="1"/>
      <w:r>
        <w:rPr>
          <w:rFonts w:ascii="宋体" w:eastAsia="宋体" w:hAnsi="宋体"/>
          <w:color w:val="auto"/>
          <w:sz w:val="24"/>
          <w:szCs w:val="24"/>
          <w:highlight w:val="none"/>
        </w:rPr>
        <w:t>项目需求书</w:t>
      </w:r>
    </w:p>
    <w:p>
      <w:pPr>
        <w:pStyle w:val="Title"/>
        <w:spacing w:line="360" w:lineRule="auto"/>
        <w:ind w:firstLine="480" w:firstLineChars="200"/>
        <w:jc w:val="both"/>
        <w:outlineLvl w:val="1"/>
        <w:rPr>
          <w:rFonts w:ascii="宋体" w:eastAsia="宋体" w:hAnsi="宋体" w:hint="eastAsia"/>
          <w:color w:val="auto"/>
          <w:sz w:val="24"/>
          <w:szCs w:val="24"/>
          <w:highlight w:val="none"/>
          <w:lang w:val="en-US" w:eastAsia="zh-CN"/>
        </w:rPr>
      </w:pPr>
      <w:r>
        <w:rPr>
          <w:rFonts w:ascii="宋体" w:eastAsia="宋体" w:hAnsi="宋体" w:hint="eastAsia"/>
          <w:color w:val="auto"/>
          <w:sz w:val="24"/>
          <w:szCs w:val="24"/>
          <w:highlight w:val="none"/>
          <w:lang w:val="en-US" w:eastAsia="zh-CN"/>
        </w:rPr>
        <w:t>后附工程量清单（详情见工程量清单）</w:t>
      </w:r>
    </w:p>
    <w:p>
      <w:pPr>
        <w:pStyle w:val="Title"/>
        <w:spacing w:line="360" w:lineRule="auto"/>
        <w:ind w:firstLine="480" w:firstLineChars="200"/>
        <w:jc w:val="both"/>
        <w:outlineLvl w:val="1"/>
        <w:rPr>
          <w:rFonts w:ascii="宋体" w:eastAsia="宋体" w:hAnsi="宋体" w:hint="eastAsia"/>
          <w:color w:val="auto"/>
          <w:sz w:val="24"/>
          <w:szCs w:val="24"/>
          <w:highlight w:val="none"/>
          <w:lang w:val="en-US" w:eastAsia="zh-CN"/>
        </w:rPr>
        <w:sectPr>
          <w:headerReference w:type="default" r:id="rId43"/>
          <w:footerReference w:type="default" r:id="rId44"/>
          <w:type w:val="nextPage"/>
          <w:pgSz w:w="11906" w:h="16838"/>
          <w:pgMar w:top="1440" w:right="1080" w:bottom="1440" w:left="1080" w:header="851" w:footer="992" w:gutter="0"/>
          <w:pgNumType w:fmt="decimal" w:start="18" w:chapStyle="0" w:chapSep="hyphen"/>
          <w:cols w:space="708"/>
          <w:titlePg w:val="0"/>
          <w:docGrid w:type="lines" w:linePitch="312"/>
        </w:sectPr>
      </w:pPr>
    </w:p>
    <w:p>
      <w:pPr>
        <w:pStyle w:val="Default"/>
        <w:keepNext w:val="0"/>
        <w:keepLines w:val="0"/>
        <w:pageBreakBefore/>
        <w:widowControl w:val="0"/>
        <w:kinsoku/>
        <w:wordWrap/>
        <w:overflowPunct/>
        <w:topLinePunct w:val="0"/>
        <w:autoSpaceDE w:val="0"/>
        <w:autoSpaceDN w:val="0"/>
        <w:bidi w:val="0"/>
        <w:adjustRightInd w:val="0"/>
        <w:snapToGrid w:val="0"/>
        <w:spacing w:line="360" w:lineRule="auto"/>
        <w:jc w:val="center"/>
        <w:textAlignment w:val="auto"/>
        <w:outlineLvl w:val="9"/>
        <w:rPr>
          <w:rFonts w:ascii="宋体" w:eastAsia="宋体" w:hAnsi="宋体" w:cs="宋体" w:hint="eastAsia"/>
          <w:b/>
          <w:color w:val="auto"/>
          <w:highlight w:val="none"/>
        </w:rPr>
      </w:pPr>
      <w:r>
        <w:rPr>
          <w:rFonts w:ascii="宋体" w:eastAsia="宋体" w:hAnsi="宋体" w:cs="宋体" w:hint="eastAsia"/>
          <w:b/>
          <w:color w:val="auto"/>
          <w:highlight w:val="none"/>
        </w:rPr>
        <w:t>第三部分  供应商须知</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A 说明</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适用范围</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本竞争性磋商文件仅适用于竞争性磋商文件中所述项目的</w:t>
      </w:r>
      <w:r>
        <w:rPr>
          <w:rFonts w:ascii="宋体" w:eastAsia="宋体" w:hAnsi="宋体" w:cs="宋体" w:hint="eastAsia"/>
          <w:bCs/>
          <w:color w:val="auto"/>
          <w:highlight w:val="none"/>
          <w:lang w:eastAsia="zh-CN"/>
        </w:rPr>
        <w:t>货物和工程</w:t>
      </w:r>
      <w:r>
        <w:rPr>
          <w:rFonts w:ascii="宋体" w:eastAsia="宋体" w:hAnsi="宋体" w:cs="宋体" w:hint="eastAsia"/>
          <w:bCs/>
          <w:color w:val="auto"/>
          <w:highlight w:val="none"/>
        </w:rPr>
        <w:t>的采购。</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定义</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采购人</w:t>
      </w:r>
      <w:r>
        <w:rPr>
          <w:rFonts w:ascii="宋体" w:eastAsia="宋体" w:hAnsi="宋体" w:cs="宋体" w:hint="eastAsia"/>
          <w:bCs/>
          <w:color w:val="auto"/>
          <w:highlight w:val="none"/>
        </w:rPr>
        <w:t>”</w:t>
      </w:r>
      <w:r>
        <w:rPr>
          <w:rFonts w:ascii="宋体" w:eastAsia="宋体" w:hAnsi="宋体" w:cs="宋体" w:hint="eastAsia"/>
          <w:bCs/>
          <w:color w:val="auto"/>
          <w:highlight w:val="none"/>
        </w:rPr>
        <w:t>系指本次磋商活动的采购单位。</w:t>
      </w:r>
      <w:r>
        <w:rPr>
          <w:rFonts w:ascii="宋体" w:eastAsia="宋体" w:hAnsi="宋体" w:cs="宋体" w:hint="eastAsia"/>
          <w:bCs/>
          <w:color w:val="auto"/>
          <w:highlight w:val="none"/>
        </w:rPr>
        <w:t>“</w:t>
      </w:r>
      <w:r>
        <w:rPr>
          <w:rFonts w:ascii="宋体" w:eastAsia="宋体" w:hAnsi="宋体" w:cs="宋体" w:hint="eastAsia"/>
          <w:bCs/>
          <w:color w:val="auto"/>
          <w:highlight w:val="none"/>
        </w:rPr>
        <w:t>采购代理机构</w:t>
      </w:r>
      <w:r>
        <w:rPr>
          <w:rFonts w:ascii="宋体" w:eastAsia="宋体" w:hAnsi="宋体" w:cs="宋体" w:hint="eastAsia"/>
          <w:bCs/>
          <w:color w:val="auto"/>
          <w:highlight w:val="none"/>
        </w:rPr>
        <w:t>”</w:t>
      </w:r>
      <w:r>
        <w:rPr>
          <w:rFonts w:ascii="宋体" w:eastAsia="宋体" w:hAnsi="宋体" w:cs="宋体" w:hint="eastAsia"/>
          <w:bCs/>
          <w:color w:val="auto"/>
          <w:highlight w:val="none"/>
        </w:rPr>
        <w:t>系指组织本次磋商活动的机构，即</w:t>
      </w:r>
      <w:r>
        <w:rPr>
          <w:rFonts w:ascii="宋体" w:eastAsia="宋体" w:hAnsi="宋体" w:cs="宋体" w:hint="eastAsia"/>
          <w:bCs/>
          <w:color w:val="auto"/>
          <w:highlight w:val="none"/>
        </w:rPr>
        <w:t>“</w:t>
      </w:r>
      <w:r>
        <w:rPr>
          <w:rFonts w:ascii="宋体" w:eastAsia="宋体" w:hAnsi="宋体" w:cs="宋体" w:hint="eastAsia"/>
          <w:bCs/>
          <w:color w:val="auto"/>
          <w:highlight w:val="none"/>
        </w:rPr>
        <w:t>天津融尚招标代理有限公司</w:t>
      </w:r>
      <w:r>
        <w:rPr>
          <w:rFonts w:ascii="宋体" w:eastAsia="宋体" w:hAnsi="宋体" w:cs="宋体" w:hint="eastAsia"/>
          <w:bCs/>
          <w:color w:val="auto"/>
          <w:highlight w:val="none"/>
        </w:rPr>
        <w:t>”</w:t>
      </w:r>
      <w:r>
        <w:rPr>
          <w:rFonts w:ascii="宋体" w:eastAsia="宋体" w:hAnsi="宋体" w:cs="宋体" w:hint="eastAsia"/>
          <w:bCs/>
          <w:color w:val="auto"/>
          <w:highlight w:val="none"/>
        </w:rPr>
        <w:t>。采购人及采购代理机构统称</w:t>
      </w:r>
      <w:r>
        <w:rPr>
          <w:rFonts w:ascii="宋体" w:eastAsia="宋体" w:hAnsi="宋体" w:cs="宋体" w:hint="eastAsia"/>
          <w:bCs/>
          <w:color w:val="auto"/>
          <w:highlight w:val="none"/>
        </w:rPr>
        <w:t>“</w:t>
      </w:r>
      <w:r>
        <w:rPr>
          <w:rFonts w:ascii="宋体" w:eastAsia="宋体" w:hAnsi="宋体" w:cs="宋体" w:hint="eastAsia"/>
          <w:bCs/>
          <w:color w:val="auto"/>
          <w:highlight w:val="none"/>
        </w:rPr>
        <w:t>招标采购单位</w:t>
      </w:r>
      <w:r>
        <w:rPr>
          <w:rFonts w:ascii="宋体" w:eastAsia="宋体" w:hAnsi="宋体" w:cs="宋体" w:hint="eastAsia"/>
          <w:bCs/>
          <w:color w:val="auto"/>
          <w:highlight w:val="none"/>
        </w:rPr>
        <w:t>”</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供应商</w:t>
      </w:r>
      <w:r>
        <w:rPr>
          <w:rFonts w:ascii="宋体" w:eastAsia="宋体" w:hAnsi="宋体" w:cs="宋体" w:hint="eastAsia"/>
          <w:bCs/>
          <w:color w:val="auto"/>
          <w:highlight w:val="none"/>
        </w:rPr>
        <w:t>”</w:t>
      </w:r>
      <w:r>
        <w:rPr>
          <w:rFonts w:ascii="宋体" w:eastAsia="宋体" w:hAnsi="宋体" w:cs="宋体" w:hint="eastAsia"/>
          <w:bCs/>
          <w:color w:val="auto"/>
          <w:highlight w:val="none"/>
        </w:rPr>
        <w:t>系指向采购代理机构提交响应文件的供应商。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竞争性磋商文件</w:t>
      </w:r>
      <w:r>
        <w:rPr>
          <w:rFonts w:ascii="宋体" w:eastAsia="宋体" w:hAnsi="宋体" w:cs="宋体" w:hint="eastAsia"/>
          <w:bCs/>
          <w:color w:val="auto"/>
          <w:highlight w:val="none"/>
        </w:rPr>
        <w:t>”</w:t>
      </w:r>
      <w:r>
        <w:rPr>
          <w:rFonts w:ascii="宋体" w:eastAsia="宋体" w:hAnsi="宋体" w:cs="宋体" w:hint="eastAsia"/>
          <w:bCs/>
          <w:color w:val="auto"/>
          <w:highlight w:val="none"/>
        </w:rPr>
        <w:t>系指采购代理机构向供应商发出的采购文件。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响应文件</w:t>
      </w:r>
      <w:r>
        <w:rPr>
          <w:rFonts w:ascii="宋体" w:eastAsia="宋体" w:hAnsi="宋体" w:cs="宋体" w:hint="eastAsia"/>
          <w:bCs/>
          <w:color w:val="auto"/>
          <w:highlight w:val="none"/>
        </w:rPr>
        <w:t>”</w:t>
      </w:r>
      <w:r>
        <w:rPr>
          <w:rFonts w:ascii="宋体" w:eastAsia="宋体" w:hAnsi="宋体" w:cs="宋体" w:hint="eastAsia"/>
          <w:bCs/>
          <w:color w:val="auto"/>
          <w:highlight w:val="none"/>
        </w:rPr>
        <w:t>系指供应商向采购代理机构提交的第一阶段响应文件和第二阶段响应文件。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货物</w:t>
      </w:r>
      <w:r>
        <w:rPr>
          <w:rFonts w:ascii="宋体" w:eastAsia="宋体" w:hAnsi="宋体" w:cs="宋体" w:hint="eastAsia"/>
          <w:bCs/>
          <w:color w:val="auto"/>
          <w:highlight w:val="none"/>
        </w:rPr>
        <w:t>”</w:t>
      </w:r>
      <w:r>
        <w:rPr>
          <w:rFonts w:ascii="宋体" w:eastAsia="宋体" w:hAnsi="宋体" w:cs="宋体" w:hint="eastAsia"/>
          <w:bCs/>
          <w:color w:val="auto"/>
          <w:highlight w:val="none"/>
        </w:rPr>
        <w:t>系指供应商按磋商文件规定，须向采购人提供的各种形态和种类的物品（包括原材料、燃料、设备、产品等）、备品备件、工具、手册及其它有关技术资料和材料。</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w:t>
      </w:r>
      <w:r>
        <w:rPr>
          <w:rFonts w:ascii="宋体" w:eastAsia="宋体" w:hAnsi="宋体" w:cs="宋体" w:hint="eastAsia"/>
          <w:bCs/>
          <w:color w:val="auto"/>
          <w:highlight w:val="none"/>
        </w:rPr>
        <w:t>服务</w:t>
      </w:r>
      <w:r>
        <w:rPr>
          <w:rFonts w:ascii="宋体" w:eastAsia="宋体" w:hAnsi="宋体" w:cs="宋体" w:hint="eastAsia"/>
          <w:bCs/>
          <w:color w:val="auto"/>
          <w:highlight w:val="none"/>
        </w:rPr>
        <w:t>”</w:t>
      </w:r>
      <w:r>
        <w:rPr>
          <w:rFonts w:ascii="宋体" w:eastAsia="宋体" w:hAnsi="宋体" w:cs="宋体" w:hint="eastAsia"/>
          <w:bCs/>
          <w:color w:val="auto"/>
          <w:highlight w:val="none"/>
        </w:rPr>
        <w:t>系指按本竞争性磋商文件规定供应商须承担的相关服务和竞争性磋商文件中规定供应商应承担的相关义务。</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解释权</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本次竞争性磋商的最终解释权归为招标采购单位，当对一个问题有多种解释时以招标采购单位解释为准。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本文件未作须知明示，而又有相关法律、法规规定的，采购单位将对此解释为依据有关法律、法规的规定。 </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合格的供应商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符合《中华人民共和国政府采购法》第二十二条供应商参加政府采购活动应当具备的条件及其他有关法律、法规关于供应商的有关规定，有能力提供磋商采购货物及服务的制造商或供应商。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符合竞争性磋商文件第二部分关于供应商资质要求的规定。</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符合实质性技术条款不得出现负偏离。</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两个以上自然人、法人或者其他组织可以组成一个联合体，以一个供应商的身份共同参加政府采购。</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联合体各方均应当具备《中华人民共和国政府采购法》第二十二条规定的条件。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联合体应当向招标采购单位提交联合协议。</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45"/>
          <w:footerReference w:type="default" r:id="rId46"/>
          <w:type w:val="nextPage"/>
          <w:pgSz w:w="11906" w:h="16838"/>
          <w:pgMar w:top="1440" w:right="1080" w:bottom="1440" w:left="1080" w:header="851" w:footer="992" w:gutter="0"/>
          <w:pgNumType w:fmt="decimal" w:start="19" w:chapStyle="0" w:chapSep="hyphen"/>
          <w:cols w:space="708"/>
          <w:titlePg w:val="0"/>
          <w:docGrid w:type="lines" w:linePitch="312"/>
        </w:sectPr>
      </w:pPr>
      <w:r>
        <w:rPr>
          <w:rFonts w:ascii="宋体" w:eastAsia="宋体" w:hAnsi="宋体" w:cs="宋体" w:hint="eastAsia"/>
          <w:bCs/>
          <w:color w:val="auto"/>
          <w:highlight w:val="none"/>
        </w:rPr>
        <w:t>.. 联合体各方应当共同与采购人订立合同并履约。</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竞争性磋商的费用</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无论磋商过程中的做法和结果如何，供应商自行承担所有与参加竞争性磋商有关的费用。</w:t>
      </w:r>
    </w:p>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bookmarkStart w:id="2" w:name="_Toc430941234"/>
      <w:bookmarkStart w:id="3" w:name="_Toc440442573"/>
      <w:bookmarkStart w:id="4" w:name="_Toc430936003"/>
      <w:bookmarkStart w:id="5" w:name="_Toc4828"/>
      <w:bookmarkStart w:id="6" w:name="_Toc430941821"/>
      <w:bookmarkStart w:id="7" w:name="_Toc440442656"/>
      <w:bookmarkStart w:id="8" w:name="_Toc26124"/>
      <w:bookmarkStart w:id="9" w:name="_Toc430941408"/>
      <w:bookmarkStart w:id="10" w:name="_Toc13683"/>
      <w:r>
        <w:rPr>
          <w:rFonts w:ascii="宋体" w:eastAsia="宋体" w:hAnsi="宋体" w:cs="宋体" w:hint="eastAsia"/>
          <w:bCs/>
          <w:color w:val="auto"/>
          <w:highlight w:val="none"/>
        </w:rPr>
        <w:t>B  竞争性磋商文件说明</w:t>
      </w:r>
      <w:bookmarkEnd w:id="2"/>
      <w:bookmarkEnd w:id="3"/>
      <w:bookmarkEnd w:id="4"/>
      <w:bookmarkEnd w:id="5"/>
      <w:bookmarkEnd w:id="6"/>
      <w:bookmarkEnd w:id="7"/>
      <w:bookmarkEnd w:id="8"/>
      <w:bookmarkEnd w:id="9"/>
      <w:bookmarkEnd w:id="10"/>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竞争性磋商文件的构成</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文件包括供应商资格条件、采购公告、采购方式、采购预算、采购需求、政府采购政策要求、评审程序、评审方法、评审标准、价格构成或者报价要求、响应文件编制要求、保证金交纳数额和形式以及不予退还保证金的情形、磋商过程中可能实质性变动的内容、响应文件提交的截止时间、开启时间及地点以及合同草案条款等。竞争性磋商文件由下述部分组成：</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w:t>
      </w:r>
      <w:r>
        <w:rPr>
          <w:rFonts w:ascii="宋体" w:eastAsia="宋体" w:hAnsi="宋体" w:cs="宋体" w:hint="eastAsia"/>
          <w:bCs/>
          <w:color w:val="auto"/>
          <w:highlight w:val="none"/>
          <w:lang w:eastAsia="zh-CN"/>
        </w:rPr>
        <w:t>公告</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（）磋商项目要求；</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（）供应商须知；</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（）合同草案；</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（）响应文件格式。</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竞争性磋商文件以中文编印。</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除非有特殊要求，竞争性磋商文件不单独提供磋商项目使用地的自然环境、气候条件、公用设施等情况，供应商被视为熟悉上述与履行合同有关的一切情况。</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竞争性磋商文件的修改</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更正公告将构成竞争性磋商文件的一部分，对供应商有约束力。</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在响应文件截止时间前，无论出于何种原因，采购代理机构可依据采购人或供应商要求澄清的问题而修改竞争性磋商文件，并以书面形式通知已购买竞争性磋商文件的每一供应商，供应商在收到该通知后应立即以书面形式予以确认。</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为使供应商在准备响应文件时有合理的时间考虑竞争性磋商文件的修改，采购代理机构可酌情推迟响应文件交截止时间，并以书面形式通知已购买竞争性磋商文件的每一供应商，供应商在收到该通知后应立即以书面形式予以确认。</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竞争性磋商文件的澄清</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47"/>
          <w:footerReference w:type="default" r:id="rId48"/>
          <w:type w:val="nextPage"/>
          <w:pgSz w:w="11906" w:h="16838"/>
          <w:pgMar w:top="1440" w:right="1080" w:bottom="1440" w:left="1080" w:header="851" w:footer="992" w:gutter="0"/>
          <w:pgNumType w:fmt="decimal" w:start="20" w:chapStyle="0" w:chapSep="hyphen"/>
          <w:cols w:space="708"/>
          <w:titlePg w:val="0"/>
          <w:docGrid w:type="lines" w:linePitch="312"/>
        </w:sect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对竞争性磋商文件有疑问，可在响应文件截止时间天前按磋商邀请函中载明的地址以书面形式（包括信函、传真）通知到采购代理机构。或以书面形式予以答复，并采购代理机构将视情况确定采用适当方式予以澄清在其认为必要时，将不标明查询来源的书面答复发给已购买竞争性磋商文件的每一供应商。</w:t>
      </w:r>
    </w:p>
    <w:p>
      <w:pPr>
        <w:pStyle w:val="Default"/>
        <w:snapToGrid w:val="0"/>
        <w:spacing w:line="360" w:lineRule="auto"/>
        <w:ind w:firstLine="480" w:firstLineChars="200"/>
        <w:jc w:val="both"/>
        <w:rPr>
          <w:rFonts w:ascii="宋体" w:eastAsia="宋体" w:hAnsi="宋体" w:cs="宋体" w:hint="eastAsia"/>
          <w:bCs/>
          <w:color w:val="auto"/>
          <w:highlight w:val="none"/>
        </w:rPr>
      </w:pPr>
      <w:bookmarkStart w:id="11" w:name="_Toc440442657"/>
      <w:bookmarkStart w:id="12" w:name="_Toc6140"/>
      <w:bookmarkStart w:id="13" w:name="_Toc430941409"/>
      <w:bookmarkStart w:id="14" w:name="_Toc430941235"/>
      <w:bookmarkStart w:id="15" w:name="_Toc430941822"/>
      <w:bookmarkStart w:id="16" w:name="_Toc4420"/>
      <w:bookmarkStart w:id="17" w:name="_Toc430936004"/>
      <w:bookmarkStart w:id="18" w:name="_Toc440442574"/>
      <w:bookmarkStart w:id="19" w:name="_Toc13737"/>
      <w:r>
        <w:rPr>
          <w:rFonts w:ascii="宋体" w:eastAsia="宋体" w:hAnsi="宋体" w:cs="宋体" w:hint="eastAsia"/>
          <w:bCs/>
          <w:color w:val="auto"/>
          <w:highlight w:val="none"/>
        </w:rPr>
        <w:t>C  响应文件的编写</w:t>
      </w:r>
      <w:bookmarkEnd w:id="11"/>
      <w:bookmarkEnd w:id="12"/>
      <w:bookmarkEnd w:id="13"/>
      <w:bookmarkEnd w:id="14"/>
      <w:bookmarkEnd w:id="15"/>
      <w:bookmarkEnd w:id="16"/>
      <w:bookmarkEnd w:id="17"/>
      <w:bookmarkEnd w:id="18"/>
      <w:bookmarkEnd w:id="19"/>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要求</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供应商应仔细阅读竞争性磋商文件的所有内容，按竞争性磋商文件的要求提供响应文件，并保证所提供的全部资料的真实性，以使其对竞争性磋商文件做出实质性响应，否则，响应文件可能被拒绝。</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供应商应认真填写第五部分格式文件，并保证其真实有效，并承担相应的法律责任。</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磋商语言及计量单位</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和采购代理机构就磋商交换的文件和来往信件，应以中文书写，全部辅助材料及证明材料均应有中文文本，并以中文文本为准。外文资料必须提供中文译文，并保证与原文内容一致，否则供应商将承担相应法律责任。未按上述规定提供中文文本的，磋商小组有权拒绝其投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除在竞争性磋商文件中另有规定，响应文件所使用的计量单位均应使用中华人民共和国法定计量单位。</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响应文件的组成</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第一阶段响应文件应包括以下内容：</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（）资质文件：包括本部分第条规定的所有文件和第二部分资质要求中规定的所有文件（相关资料文件格式参见第五部分）；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（）技术文件：（相关资料文件格式参见第五部分）；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（）其他补充文件：指供应商认为需加以说明的其它内容。供应商也可以根据文件内容编排到其他相关部分中。</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第一阶段响应文件不得包含任何投标报价内容及暗示投标报价内容的资料，否则将视为无效投标。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第二阶段响应文件（报价文件）应包括下列部分：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报价书、报价一览表、报价分项一览表及供应商认为需加以说明的其它内容（相关资料文件格式参见第五部分）。供应商应将第二阶段响应文件单独装订成册。</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响应文件格式</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供应商应按竞争性磋商文件第五部分中提供的两阶段响应文件格式完整、如实编写，未尽事宜可自行补充。</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49"/>
          <w:footerReference w:type="default" r:id="rId50"/>
          <w:type w:val="nextPage"/>
          <w:pgSz w:w="11906" w:h="16838"/>
          <w:pgMar w:top="1440" w:right="1080" w:bottom="1440" w:left="1080" w:header="851" w:footer="992" w:gutter="0"/>
          <w:pgNumType w:fmt="decimal" w:start="21" w:chapStyle="0" w:chapSep="hyphen"/>
          <w:cols w:space="708"/>
          <w:titlePg w:val="0"/>
          <w:docGrid w:type="lines" w:linePitch="312"/>
        </w:sectPr>
      </w:pPr>
      <w:r>
        <w:rPr>
          <w:rFonts w:ascii="宋体" w:eastAsia="宋体" w:hAnsi="宋体" w:cs="宋体" w:hint="eastAsia"/>
          <w:bCs/>
          <w:color w:val="auto"/>
          <w:highlight w:val="none"/>
        </w:rPr>
        <w:t>. 报价</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供应商对磋商所提供的服务要求应提供分项单价及总价。</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除特殊要求外，供应商只允许有一个报价，采购代理机构不接受任何选择性的报价。</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供应商按上述条款要求填写报价以便于磋商小组评审。</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供应商资格证明文件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供应商必须提交证明其有资格进行磋商和有能力履行合同的文件，作为响应文件的一部分。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（）竞争性磋商文件第二部分规定的资质文件；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（）国家及行业对磋商项目规定的特殊资格证明文件；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（）供应商具有履行合同的证明材料；</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（）供应商资信证明材料，即由会计师事务所出具</w:t>
      </w:r>
      <w:r>
        <w:rPr>
          <w:rFonts w:ascii="宋体" w:eastAsia="宋体" w:hAnsi="宋体" w:cs="宋体" w:hint="eastAsia"/>
          <w:bCs/>
          <w:color w:val="auto"/>
          <w:highlight w:val="none"/>
          <w:lang w:eastAsia="zh-CN"/>
        </w:rPr>
        <w:t>的</w:t>
      </w:r>
      <w:r>
        <w:rPr>
          <w:rFonts w:ascii="宋体" w:eastAsia="宋体" w:hAnsi="宋体" w:cs="宋体" w:hint="eastAsia"/>
          <w:bCs/>
          <w:color w:val="auto"/>
          <w:highlight w:val="none"/>
        </w:rPr>
        <w:t>审计报告；</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（）法定代表人（负责人）授权书（格式详见第五部分）。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.所投项目符合竞争性磋商文件规定的证明文件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供应商须提交证明符合竞争性磋商文件规定的技术响应文件，作为响应文件的一部分。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逐条对采购人要求的技术规格进行评议，指出是否做出实质性的响应并说明与技术规格条文的偏离。</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投标保证金</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若竞争性磋商文件第二部分要求提供投标保证金的，供应商应在规定时间内向采购代理机构提交投标保证金，并作为其投标的一部分。联合体投标的，可以由联合体中的一方或者共同提交投标保证金，以一方名义提交投标保证金的，对联合体各方均具有约束力。</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投标保证金用于保护本次磋商免受因供应商的行为而蒙受的损失。</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投标保证金应使用人民币支付，并采取下列方式提交：</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w:t>
      </w:r>
      <w:r>
        <w:rPr>
          <w:rFonts w:ascii="宋体" w:eastAsia="宋体" w:hAnsi="宋体" w:cs="宋体" w:hint="eastAsia"/>
          <w:bCs/>
          <w:color w:val="auto"/>
          <w:highlight w:val="none"/>
          <w:lang w:eastAsia="zh-CN"/>
        </w:rPr>
        <w:t>电汇</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未按规定提交投标保证金的供应商，将被视为未在实质上响应竞争性磋商文件，其投标将被拒绝。</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xml:space="preserve">. </w:t>
      </w:r>
      <w:r>
        <w:rPr>
          <w:rFonts w:ascii="宋体" w:eastAsia="宋体" w:hAnsi="宋体" w:cs="宋体" w:hint="eastAsia"/>
          <w:bCs/>
          <w:color w:val="auto"/>
          <w:highlight w:val="none"/>
        </w:rPr>
        <w:t> </w:t>
      </w:r>
      <w:r>
        <w:rPr>
          <w:rFonts w:ascii="宋体" w:eastAsia="宋体" w:hAnsi="宋体" w:cs="宋体" w:hint="eastAsia"/>
          <w:bCs/>
          <w:color w:val="auto"/>
          <w:highlight w:val="none"/>
        </w:rPr>
        <w:t xml:space="preserve">未成交供应商的投标保证金，供应商可在投标结束当天无息退回。因供应商的原因，未能及时退回投标保证金的，由供应商自行承担有关损失。 </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磋商有效期</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磋商有效期为磋商开始之日起天。响应文件中规定的有效期短于天的，其投标将被拒绝。</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51"/>
          <w:footerReference w:type="default" r:id="rId52"/>
          <w:type w:val="nextPage"/>
          <w:pgSz w:w="11906" w:h="16838"/>
          <w:pgMar w:top="1440" w:right="1080" w:bottom="1440" w:left="1080" w:header="851" w:footer="992" w:gutter="0"/>
          <w:pgNumType w:fmt="decimal" w:start="22" w:chapStyle="0" w:chapSep="hyphen"/>
          <w:cols w:space="708"/>
          <w:titlePg w:val="0"/>
          <w:docGrid w:type="lines" w:linePitch="312"/>
        </w:sect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特殊情况下，采购单位可于磋商有效期满之前，以书面形式向供应商提出延长磋商有效期的要求，答复应以书面形式进行。供应商可以拒绝上述要求，但不被没收投标保证金。对于同意该要求的供应商，既不要求也不允许其修改响应文件，但将要求其相应延长投标保证金的有效</w:t>
      </w:r>
      <w:r>
        <w:rPr>
          <w:rFonts w:ascii="宋体" w:eastAsia="宋体" w:hAnsi="宋体" w:cs="宋体" w:hint="eastAsia"/>
          <w:bCs/>
          <w:color w:val="auto"/>
          <w:highlight w:val="none"/>
        </w:rPr>
        <w:t>期。</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响应文件的签署及规定</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供应商按照磋商文件的要求准备纸质两阶段响应文件（正本和副本）及响应文件电子版光盘，纸质响应文件装订成册。在每一份响应文件上要明确注明</w:t>
      </w:r>
      <w:r>
        <w:rPr>
          <w:rFonts w:ascii="宋体" w:eastAsia="宋体" w:hAnsi="宋体" w:cs="宋体" w:hint="eastAsia"/>
          <w:bCs/>
          <w:color w:val="auto"/>
          <w:highlight w:val="none"/>
        </w:rPr>
        <w:t>“</w:t>
      </w:r>
      <w:r>
        <w:rPr>
          <w:rFonts w:ascii="宋体" w:eastAsia="宋体" w:hAnsi="宋体" w:cs="宋体" w:hint="eastAsia"/>
          <w:bCs/>
          <w:color w:val="auto"/>
          <w:highlight w:val="none"/>
        </w:rPr>
        <w:t>正本</w:t>
      </w:r>
      <w:r>
        <w:rPr>
          <w:rFonts w:ascii="宋体" w:eastAsia="宋体" w:hAnsi="宋体" w:cs="宋体" w:hint="eastAsia"/>
          <w:bCs/>
          <w:color w:val="auto"/>
          <w:highlight w:val="none"/>
        </w:rPr>
        <w:t>”</w:t>
      </w:r>
      <w:r>
        <w:rPr>
          <w:rFonts w:ascii="宋体" w:eastAsia="宋体" w:hAnsi="宋体" w:cs="宋体" w:hint="eastAsia"/>
          <w:bCs/>
          <w:color w:val="auto"/>
          <w:highlight w:val="none"/>
        </w:rPr>
        <w:t>或</w:t>
      </w:r>
      <w:r>
        <w:rPr>
          <w:rFonts w:ascii="宋体" w:eastAsia="宋体" w:hAnsi="宋体" w:cs="宋体" w:hint="eastAsia"/>
          <w:bCs/>
          <w:color w:val="auto"/>
          <w:highlight w:val="none"/>
        </w:rPr>
        <w:t>“</w:t>
      </w:r>
      <w:r>
        <w:rPr>
          <w:rFonts w:ascii="宋体" w:eastAsia="宋体" w:hAnsi="宋体" w:cs="宋体" w:hint="eastAsia"/>
          <w:bCs/>
          <w:color w:val="auto"/>
          <w:highlight w:val="none"/>
        </w:rPr>
        <w:t>副本</w:t>
      </w:r>
      <w:r>
        <w:rPr>
          <w:rFonts w:ascii="宋体" w:eastAsia="宋体" w:hAnsi="宋体" w:cs="宋体" w:hint="eastAsia"/>
          <w:bCs/>
          <w:color w:val="auto"/>
          <w:highlight w:val="none"/>
        </w:rPr>
        <w:t>”</w:t>
      </w:r>
      <w:r>
        <w:rPr>
          <w:rFonts w:ascii="宋体" w:eastAsia="宋体" w:hAnsi="宋体" w:cs="宋体" w:hint="eastAsia"/>
          <w:bCs/>
          <w:color w:val="auto"/>
          <w:highlight w:val="none"/>
        </w:rPr>
        <w:t>字样，正本与副本如有差异，以正本为准。磋商当日在规定时间递交纸质响应文件和电子版文件，方被确认为有效投标。当电子版文件与纸质响应文件不一致时，以纸质文件为准。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响应文件中正本和副本须用不褪色的黑色墨水书写或打印，资信文件、技术文件和商务文件均应在需要签署或盖章的位置由对应人员签字或盖章。</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除供应商对错处作必要修改外，响应文件中不得行间插字、涂抹或增删。若有修改须供应商盖章，并由供应商代表签字。</w:t>
      </w:r>
    </w:p>
    <w:p>
      <w:pPr>
        <w:pStyle w:val="Default"/>
        <w:snapToGrid w:val="0"/>
        <w:spacing w:line="360" w:lineRule="auto"/>
        <w:ind w:firstLine="480" w:firstLineChars="200"/>
        <w:jc w:val="both"/>
        <w:rPr>
          <w:rFonts w:ascii="宋体" w:eastAsia="宋体" w:hAnsi="宋体" w:cs="宋体" w:hint="eastAsia"/>
          <w:bCs/>
          <w:color w:val="auto"/>
          <w:highlight w:val="none"/>
        </w:rPr>
      </w:pPr>
      <w:bookmarkStart w:id="20" w:name="_Toc430941823"/>
      <w:bookmarkStart w:id="21" w:name="_Toc440442575"/>
      <w:bookmarkStart w:id="22" w:name="_Toc430941236"/>
      <w:bookmarkStart w:id="23" w:name="_Toc430941410"/>
      <w:bookmarkStart w:id="24" w:name="_Toc25647"/>
      <w:bookmarkStart w:id="25" w:name="_Toc15296"/>
      <w:bookmarkStart w:id="26" w:name="_Toc440442658"/>
      <w:bookmarkStart w:id="27" w:name="_Toc7461"/>
      <w:bookmarkStart w:id="28" w:name="_Toc430936005"/>
      <w:r>
        <w:rPr>
          <w:rFonts w:ascii="宋体" w:eastAsia="宋体" w:hAnsi="宋体" w:cs="宋体" w:hint="eastAsia"/>
          <w:bCs/>
          <w:color w:val="auto"/>
          <w:highlight w:val="none"/>
        </w:rPr>
        <w:t>D  响应文件的递交</w:t>
      </w:r>
      <w:bookmarkEnd w:id="20"/>
      <w:bookmarkEnd w:id="21"/>
      <w:bookmarkEnd w:id="22"/>
      <w:bookmarkEnd w:id="23"/>
      <w:bookmarkEnd w:id="24"/>
      <w:bookmarkEnd w:id="25"/>
      <w:bookmarkEnd w:id="26"/>
      <w:bookmarkEnd w:id="27"/>
      <w:bookmarkEnd w:id="28"/>
    </w:p>
    <w:p>
      <w:pPr>
        <w:pStyle w:val="Default"/>
        <w:snapToGrid w:val="0"/>
        <w:spacing w:line="360" w:lineRule="auto"/>
        <w:ind w:firstLine="480" w:firstLineChars="200"/>
        <w:jc w:val="both"/>
        <w:rPr>
          <w:rFonts w:ascii="Times New Roman" w:eastAsia="宋体" w:hAnsi="Times New Roman" w:cs="Times New Roman"/>
          <w:color w:val="auto"/>
          <w:highlight w:val="none"/>
        </w:rPr>
      </w:pPr>
      <w:r>
        <w:rPr>
          <w:rFonts w:ascii="Times New Roman" w:eastAsia="宋体" w:hAnsi="Times New Roman" w:cs="Times New Roman" w:hint="eastAsia"/>
          <w:color w:val="auto"/>
          <w:highlight w:val="none"/>
        </w:rPr>
        <w:t>.第一阶段：</w:t>
      </w:r>
    </w:p>
    <w:p>
      <w:pPr>
        <w:pStyle w:val="Default"/>
        <w:snapToGrid w:val="0"/>
        <w:spacing w:line="360" w:lineRule="auto"/>
        <w:ind w:firstLine="480" w:firstLineChars="200"/>
        <w:jc w:val="both"/>
        <w:rPr>
          <w:rFonts w:ascii="Times New Roman" w:eastAsia="宋体" w:hAnsi="Times New Roman" w:cs="Times New Roman"/>
          <w:color w:val="auto"/>
          <w:highlight w:val="none"/>
        </w:rPr>
      </w:pPr>
      <w:r>
        <w:rPr>
          <w:rFonts w:ascii="Times New Roman" w:eastAsia="宋体" w:hAnsi="Times New Roman" w:cs="Times New Roman"/>
          <w:color w:val="auto"/>
          <w:highlight w:val="none"/>
        </w:rPr>
        <w:t>第一阶段响应文件一正</w:t>
      </w:r>
      <w:r>
        <w:rPr>
          <w:rFonts w:ascii="Times New Roman" w:eastAsia="宋体" w:hAnsi="Times New Roman" w:cs="Times New Roman" w:hint="eastAsia"/>
          <w:color w:val="auto"/>
          <w:highlight w:val="none"/>
        </w:rPr>
        <w:t>贰</w:t>
      </w:r>
      <w:r>
        <w:rPr>
          <w:rFonts w:ascii="Times New Roman" w:eastAsia="宋体" w:hAnsi="Times New Roman" w:cs="Times New Roman"/>
          <w:color w:val="auto"/>
          <w:highlight w:val="none"/>
        </w:rPr>
        <w:t>副</w:t>
      </w:r>
      <w:r>
        <w:rPr>
          <w:rFonts w:ascii="Times New Roman" w:eastAsia="宋体" w:hAnsi="Times New Roman" w:cs="Times New Roman" w:hint="eastAsia"/>
          <w:color w:val="auto"/>
          <w:highlight w:val="none"/>
        </w:rPr>
        <w:t>，</w:t>
      </w:r>
      <w:r>
        <w:rPr>
          <w:rFonts w:ascii="Times New Roman" w:eastAsia="宋体" w:hAnsi="Times New Roman" w:cs="Times New Roman"/>
          <w:color w:val="auto"/>
          <w:highlight w:val="none"/>
        </w:rPr>
        <w:t>供应商应当将</w:t>
      </w:r>
      <w:r>
        <w:rPr>
          <w:rFonts w:ascii="Times New Roman" w:eastAsia="宋体" w:hAnsi="Times New Roman" w:cs="Times New Roman" w:hint="eastAsia"/>
          <w:color w:val="auto"/>
          <w:highlight w:val="none"/>
        </w:rPr>
        <w:t>第一阶段</w:t>
      </w:r>
      <w:r>
        <w:rPr>
          <w:rFonts w:ascii="Times New Roman" w:eastAsia="宋体" w:hAnsi="Times New Roman" w:cs="Times New Roman"/>
          <w:color w:val="auto"/>
          <w:highlight w:val="none"/>
        </w:rPr>
        <w:t>响应文件正本和副本分别</w:t>
      </w:r>
      <w:r>
        <w:rPr>
          <w:rFonts w:ascii="Times New Roman" w:eastAsia="宋体" w:hAnsi="Times New Roman" w:cs="Times New Roman" w:hint="eastAsia"/>
          <w:color w:val="auto"/>
          <w:highlight w:val="none"/>
        </w:rPr>
        <w:t>胶装</w:t>
      </w:r>
      <w:r>
        <w:rPr>
          <w:rFonts w:ascii="Times New Roman" w:eastAsia="宋体" w:hAnsi="Times New Roman" w:cs="Times New Roman"/>
          <w:color w:val="auto"/>
          <w:highlight w:val="none"/>
        </w:rPr>
        <w:t>成册，并</w:t>
      </w:r>
      <w:r>
        <w:rPr>
          <w:rFonts w:ascii="Times New Roman" w:eastAsia="宋体" w:hAnsi="Times New Roman" w:cs="Times New Roman" w:hint="eastAsia"/>
          <w:color w:val="auto"/>
          <w:highlight w:val="none"/>
        </w:rPr>
        <w:t>将第一阶段</w:t>
      </w:r>
      <w:r>
        <w:rPr>
          <w:rFonts w:ascii="Times New Roman" w:eastAsia="宋体" w:hAnsi="Times New Roman" w:cs="Times New Roman"/>
          <w:color w:val="auto"/>
          <w:highlight w:val="none"/>
        </w:rPr>
        <w:t>响应文件正本</w:t>
      </w:r>
      <w:r>
        <w:rPr>
          <w:rFonts w:ascii="Times New Roman" w:eastAsia="宋体" w:hAnsi="Times New Roman" w:cs="Times New Roman" w:hint="eastAsia"/>
          <w:color w:val="auto"/>
          <w:highlight w:val="none"/>
        </w:rPr>
        <w:t>和</w:t>
      </w:r>
      <w:r>
        <w:rPr>
          <w:rFonts w:ascii="Times New Roman" w:eastAsia="宋体" w:hAnsi="Times New Roman" w:cs="Times New Roman"/>
          <w:color w:val="auto"/>
          <w:highlight w:val="none"/>
        </w:rPr>
        <w:t>副本</w:t>
      </w:r>
      <w:r>
        <w:rPr>
          <w:rFonts w:ascii="Times New Roman" w:eastAsia="宋体" w:hAnsi="Times New Roman" w:cs="Times New Roman" w:hint="eastAsia"/>
          <w:color w:val="auto"/>
          <w:highlight w:val="none"/>
        </w:rPr>
        <w:t>分别</w:t>
      </w:r>
      <w:r>
        <w:rPr>
          <w:rFonts w:ascii="Times New Roman" w:eastAsia="宋体" w:hAnsi="Times New Roman" w:cs="Times New Roman"/>
          <w:color w:val="auto"/>
          <w:highlight w:val="none"/>
        </w:rPr>
        <w:t>用信封密封完好。</w:t>
      </w:r>
      <w:r>
        <w:rPr>
          <w:rFonts w:ascii="宋体" w:eastAsia="宋体" w:hAnsi="宋体" w:cs="宋体" w:hint="eastAsia"/>
          <w:bCs/>
          <w:color w:val="auto"/>
          <w:highlight w:val="none"/>
        </w:rPr>
        <w:t>每一密封信封上注明</w:t>
      </w:r>
      <w:r>
        <w:rPr>
          <w:rFonts w:ascii="宋体" w:eastAsia="宋体" w:hAnsi="宋体" w:cs="宋体" w:hint="eastAsia"/>
          <w:bCs/>
          <w:color w:val="auto"/>
          <w:highlight w:val="none"/>
        </w:rPr>
        <w:t>“</w:t>
      </w:r>
      <w:r>
        <w:rPr>
          <w:rFonts w:ascii="宋体" w:eastAsia="宋体" w:hAnsi="宋体" w:cs="宋体" w:hint="eastAsia"/>
          <w:bCs/>
          <w:color w:val="auto"/>
          <w:highlight w:val="none"/>
        </w:rPr>
        <w:t>于              正式磋商之前（指磋商</w:t>
      </w:r>
      <w:r>
        <w:rPr>
          <w:rFonts w:ascii="宋体" w:eastAsia="宋体" w:hAnsi="宋体" w:cs="宋体" w:hint="eastAsia"/>
          <w:bCs/>
          <w:color w:val="auto"/>
          <w:highlight w:val="none"/>
          <w:lang w:eastAsia="zh-CN"/>
        </w:rPr>
        <w:t>公告</w:t>
      </w:r>
      <w:r>
        <w:rPr>
          <w:rFonts w:ascii="宋体" w:eastAsia="宋体" w:hAnsi="宋体" w:cs="宋体" w:hint="eastAsia"/>
          <w:bCs/>
          <w:color w:val="auto"/>
          <w:highlight w:val="none"/>
        </w:rPr>
        <w:t>中规定的磋商日期及时间）不准启封</w:t>
      </w:r>
      <w:r>
        <w:rPr>
          <w:rFonts w:ascii="宋体" w:eastAsia="宋体" w:hAnsi="宋体" w:cs="宋体" w:hint="eastAsia"/>
          <w:bCs/>
          <w:color w:val="auto"/>
          <w:highlight w:val="none"/>
        </w:rPr>
        <w:t>”</w:t>
      </w:r>
      <w:r>
        <w:rPr>
          <w:rFonts w:ascii="宋体" w:eastAsia="宋体" w:hAnsi="宋体" w:cs="宋体" w:hint="eastAsia"/>
          <w:bCs/>
          <w:color w:val="auto"/>
          <w:highlight w:val="none"/>
        </w:rPr>
        <w:t>的字样，同时在密封处盖公章</w:t>
      </w:r>
      <w:r>
        <w:rPr>
          <w:rFonts w:ascii="宋体" w:eastAsia="宋体" w:hAnsi="宋体" w:cs="宋体" w:hint="eastAsia"/>
          <w:bCs/>
          <w:color w:val="auto"/>
          <w:highlight w:val="none"/>
          <w:lang w:eastAsia="zh-CN"/>
        </w:rPr>
        <w:t>及法定代表人印章</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Times New Roman" w:eastAsia="宋体" w:hAnsi="Times New Roman" w:cs="Times New Roman"/>
          <w:color w:val="auto"/>
          <w:highlight w:val="none"/>
        </w:rPr>
      </w:pPr>
      <w:r>
        <w:rPr>
          <w:rFonts w:ascii="Times New Roman" w:eastAsia="宋体" w:hAnsi="Times New Roman" w:cs="Times New Roman" w:hint="eastAsia"/>
          <w:color w:val="auto"/>
          <w:highlight w:val="none"/>
        </w:rPr>
        <w:t xml:space="preserve"> . 第二阶段：</w:t>
      </w:r>
    </w:p>
    <w:p>
      <w:pPr>
        <w:pStyle w:val="Default"/>
        <w:snapToGrid w:val="0"/>
        <w:spacing w:line="360" w:lineRule="auto"/>
        <w:ind w:firstLine="480" w:firstLineChars="200"/>
        <w:jc w:val="both"/>
        <w:rPr>
          <w:rFonts w:ascii="Times New Roman" w:eastAsia="宋体" w:hAnsi="Times New Roman" w:cs="Times New Roman"/>
          <w:color w:val="auto"/>
          <w:highlight w:val="none"/>
        </w:rPr>
      </w:pPr>
      <w:r>
        <w:rPr>
          <w:rFonts w:ascii="Times New Roman" w:eastAsia="宋体" w:hAnsi="Times New Roman" w:cs="Times New Roman"/>
          <w:color w:val="auto"/>
          <w:highlight w:val="none"/>
        </w:rPr>
        <w:t>第</w:t>
      </w:r>
      <w:r>
        <w:rPr>
          <w:rFonts w:ascii="Times New Roman" w:eastAsia="宋体" w:hAnsi="Times New Roman" w:cs="Times New Roman" w:hint="eastAsia"/>
          <w:color w:val="auto"/>
          <w:highlight w:val="none"/>
        </w:rPr>
        <w:t>二</w:t>
      </w:r>
      <w:r>
        <w:rPr>
          <w:rFonts w:ascii="Times New Roman" w:eastAsia="宋体" w:hAnsi="Times New Roman" w:cs="Times New Roman"/>
          <w:color w:val="auto"/>
          <w:highlight w:val="none"/>
        </w:rPr>
        <w:t>阶段响应文件一正</w:t>
      </w:r>
      <w:r>
        <w:rPr>
          <w:rFonts w:ascii="Times New Roman" w:eastAsia="宋体" w:hAnsi="Times New Roman" w:cs="Times New Roman" w:hint="eastAsia"/>
          <w:color w:val="auto"/>
          <w:highlight w:val="none"/>
        </w:rPr>
        <w:t>贰</w:t>
      </w:r>
      <w:r>
        <w:rPr>
          <w:rFonts w:ascii="Times New Roman" w:eastAsia="宋体" w:hAnsi="Times New Roman" w:cs="Times New Roman"/>
          <w:color w:val="auto"/>
          <w:highlight w:val="none"/>
        </w:rPr>
        <w:t>副</w:t>
      </w:r>
      <w:r>
        <w:rPr>
          <w:rFonts w:ascii="Times New Roman" w:eastAsia="宋体" w:hAnsi="Times New Roman" w:cs="Times New Roman" w:hint="eastAsia"/>
          <w:color w:val="auto"/>
          <w:highlight w:val="none"/>
        </w:rPr>
        <w:t>，</w:t>
      </w:r>
      <w:r>
        <w:rPr>
          <w:rFonts w:ascii="Times New Roman" w:eastAsia="宋体" w:hAnsi="Times New Roman" w:cs="Times New Roman"/>
          <w:color w:val="auto"/>
          <w:highlight w:val="none"/>
        </w:rPr>
        <w:t>供应商应当将</w:t>
      </w:r>
      <w:r>
        <w:rPr>
          <w:rFonts w:ascii="Times New Roman" w:eastAsia="宋体" w:hAnsi="Times New Roman" w:cs="Times New Roman" w:hint="eastAsia"/>
          <w:color w:val="auto"/>
          <w:highlight w:val="none"/>
        </w:rPr>
        <w:t>第二阶段</w:t>
      </w:r>
      <w:r>
        <w:rPr>
          <w:rFonts w:ascii="Times New Roman" w:eastAsia="宋体" w:hAnsi="Times New Roman" w:cs="Times New Roman"/>
          <w:color w:val="auto"/>
          <w:highlight w:val="none"/>
        </w:rPr>
        <w:t>响应文件正本和副本分别</w:t>
      </w:r>
      <w:r>
        <w:rPr>
          <w:rFonts w:ascii="Times New Roman" w:eastAsia="宋体" w:hAnsi="Times New Roman" w:cs="Times New Roman" w:hint="eastAsia"/>
          <w:color w:val="auto"/>
          <w:highlight w:val="none"/>
        </w:rPr>
        <w:t>胶装</w:t>
      </w:r>
      <w:r>
        <w:rPr>
          <w:rFonts w:ascii="Times New Roman" w:eastAsia="宋体" w:hAnsi="Times New Roman" w:cs="Times New Roman"/>
          <w:color w:val="auto"/>
          <w:highlight w:val="none"/>
        </w:rPr>
        <w:t>成册，并</w:t>
      </w:r>
      <w:r>
        <w:rPr>
          <w:rFonts w:ascii="Times New Roman" w:eastAsia="宋体" w:hAnsi="Times New Roman" w:cs="Times New Roman" w:hint="eastAsia"/>
          <w:color w:val="auto"/>
          <w:highlight w:val="none"/>
        </w:rPr>
        <w:t>将第二阶段</w:t>
      </w:r>
      <w:r>
        <w:rPr>
          <w:rFonts w:ascii="Times New Roman" w:eastAsia="宋体" w:hAnsi="Times New Roman" w:cs="Times New Roman"/>
          <w:color w:val="auto"/>
          <w:highlight w:val="none"/>
        </w:rPr>
        <w:t>响应文件正本</w:t>
      </w:r>
      <w:r>
        <w:rPr>
          <w:rFonts w:ascii="Times New Roman" w:eastAsia="宋体" w:hAnsi="Times New Roman" w:cs="Times New Roman" w:hint="eastAsia"/>
          <w:color w:val="auto"/>
          <w:highlight w:val="none"/>
        </w:rPr>
        <w:t>和</w:t>
      </w:r>
      <w:r>
        <w:rPr>
          <w:rFonts w:ascii="Times New Roman" w:eastAsia="宋体" w:hAnsi="Times New Roman" w:cs="Times New Roman"/>
          <w:color w:val="auto"/>
          <w:highlight w:val="none"/>
        </w:rPr>
        <w:t>副本</w:t>
      </w:r>
      <w:r>
        <w:rPr>
          <w:rFonts w:ascii="Times New Roman" w:eastAsia="宋体" w:hAnsi="Times New Roman" w:cs="Times New Roman" w:hint="eastAsia"/>
          <w:color w:val="auto"/>
          <w:highlight w:val="none"/>
        </w:rPr>
        <w:t>分别</w:t>
      </w:r>
      <w:r>
        <w:rPr>
          <w:rFonts w:ascii="Times New Roman" w:eastAsia="宋体" w:hAnsi="Times New Roman" w:cs="Times New Roman"/>
          <w:color w:val="auto"/>
          <w:highlight w:val="none"/>
        </w:rPr>
        <w:t>用信封密封完好。</w:t>
      </w:r>
      <w:r>
        <w:rPr>
          <w:rFonts w:ascii="宋体" w:eastAsia="宋体" w:hAnsi="宋体" w:cs="宋体" w:hint="eastAsia"/>
          <w:bCs/>
          <w:color w:val="auto"/>
          <w:highlight w:val="none"/>
        </w:rPr>
        <w:t>每一密封信封上注明</w:t>
      </w:r>
      <w:r>
        <w:rPr>
          <w:rFonts w:ascii="宋体" w:eastAsia="宋体" w:hAnsi="宋体" w:cs="宋体" w:hint="eastAsia"/>
          <w:bCs/>
          <w:color w:val="auto"/>
          <w:highlight w:val="none"/>
        </w:rPr>
        <w:t>“</w:t>
      </w:r>
      <w:r>
        <w:rPr>
          <w:rFonts w:ascii="宋体" w:eastAsia="宋体" w:hAnsi="宋体" w:cs="宋体" w:hint="eastAsia"/>
          <w:bCs/>
          <w:color w:val="auto"/>
          <w:highlight w:val="none"/>
        </w:rPr>
        <w:t>于              正式磋商之前（指磋商</w:t>
      </w:r>
      <w:r>
        <w:rPr>
          <w:rFonts w:ascii="宋体" w:eastAsia="宋体" w:hAnsi="宋体" w:cs="宋体" w:hint="eastAsia"/>
          <w:bCs/>
          <w:color w:val="auto"/>
          <w:highlight w:val="none"/>
          <w:lang w:eastAsia="zh-CN"/>
        </w:rPr>
        <w:t>公告</w:t>
      </w:r>
      <w:r>
        <w:rPr>
          <w:rFonts w:ascii="宋体" w:eastAsia="宋体" w:hAnsi="宋体" w:cs="宋体" w:hint="eastAsia"/>
          <w:bCs/>
          <w:color w:val="auto"/>
          <w:highlight w:val="none"/>
        </w:rPr>
        <w:t>中规定的磋商日期及时间）不准启封</w:t>
      </w:r>
      <w:r>
        <w:rPr>
          <w:rFonts w:ascii="宋体" w:eastAsia="宋体" w:hAnsi="宋体" w:cs="宋体" w:hint="eastAsia"/>
          <w:bCs/>
          <w:color w:val="auto"/>
          <w:highlight w:val="none"/>
        </w:rPr>
        <w:t>”</w:t>
      </w:r>
      <w:r>
        <w:rPr>
          <w:rFonts w:ascii="宋体" w:eastAsia="宋体" w:hAnsi="宋体" w:cs="宋体" w:hint="eastAsia"/>
          <w:bCs/>
          <w:color w:val="auto"/>
          <w:highlight w:val="none"/>
        </w:rPr>
        <w:t>的字样，同时在密封处盖公章</w:t>
      </w:r>
      <w:r>
        <w:rPr>
          <w:rFonts w:ascii="宋体" w:eastAsia="宋体" w:hAnsi="宋体" w:cs="宋体" w:hint="eastAsia"/>
          <w:bCs/>
          <w:color w:val="auto"/>
          <w:highlight w:val="none"/>
          <w:lang w:eastAsia="zh-CN"/>
        </w:rPr>
        <w:t>及法定代表人印章</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.供应商应将电子版光盘文件单独密封并放入正本内，密封信封上注明</w:t>
      </w:r>
      <w:r>
        <w:rPr>
          <w:rFonts w:ascii="宋体" w:eastAsia="宋体" w:hAnsi="宋体" w:cs="宋体" w:hint="eastAsia"/>
          <w:bCs/>
          <w:color w:val="auto"/>
          <w:highlight w:val="none"/>
        </w:rPr>
        <w:t>“</w:t>
      </w:r>
      <w:r>
        <w:rPr>
          <w:rFonts w:ascii="宋体" w:eastAsia="宋体" w:hAnsi="宋体" w:cs="宋体" w:hint="eastAsia"/>
          <w:bCs/>
          <w:color w:val="auto"/>
          <w:highlight w:val="none"/>
        </w:rPr>
        <w:t>于              正式磋商之前（指磋商</w:t>
      </w:r>
      <w:r>
        <w:rPr>
          <w:rFonts w:ascii="宋体" w:eastAsia="宋体" w:hAnsi="宋体" w:cs="宋体" w:hint="eastAsia"/>
          <w:bCs/>
          <w:color w:val="auto"/>
          <w:highlight w:val="none"/>
          <w:lang w:eastAsia="zh-CN"/>
        </w:rPr>
        <w:t>公告</w:t>
      </w:r>
      <w:r>
        <w:rPr>
          <w:rFonts w:ascii="宋体" w:eastAsia="宋体" w:hAnsi="宋体" w:cs="宋体" w:hint="eastAsia"/>
          <w:bCs/>
          <w:color w:val="auto"/>
          <w:highlight w:val="none"/>
        </w:rPr>
        <w:t>中规定的磋商日期及时间）不准启封</w:t>
      </w:r>
      <w:r>
        <w:rPr>
          <w:rFonts w:ascii="宋体" w:eastAsia="宋体" w:hAnsi="宋体" w:cs="宋体" w:hint="eastAsia"/>
          <w:bCs/>
          <w:color w:val="auto"/>
          <w:highlight w:val="none"/>
        </w:rPr>
        <w:t>”</w:t>
      </w:r>
      <w:r>
        <w:rPr>
          <w:rFonts w:ascii="宋体" w:eastAsia="宋体" w:hAnsi="宋体" w:cs="宋体" w:hint="eastAsia"/>
          <w:bCs/>
          <w:color w:val="auto"/>
          <w:highlight w:val="none"/>
        </w:rPr>
        <w:t>的字样，同时在密封处盖公章</w:t>
      </w:r>
      <w:r>
        <w:rPr>
          <w:rFonts w:ascii="宋体" w:eastAsia="宋体" w:hAnsi="宋体" w:cs="宋体" w:hint="eastAsia"/>
          <w:bCs/>
          <w:color w:val="auto"/>
          <w:highlight w:val="none"/>
          <w:lang w:eastAsia="zh-CN"/>
        </w:rPr>
        <w:t>及法定代表人印章</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.供应商应在每一密封上注明正本或副本或电子版光盘、项目名称、项目编号、第</w:t>
      </w:r>
      <w:r>
        <w:rPr>
          <w:rFonts w:ascii="宋体" w:eastAsia="宋体" w:hAnsi="宋体" w:cs="宋体" w:hint="eastAsia"/>
          <w:bCs/>
          <w:color w:val="auto"/>
          <w:highlight w:val="none"/>
          <w:u w:val="single"/>
        </w:rPr>
        <w:t xml:space="preserve">   </w:t>
      </w:r>
      <w:r>
        <w:rPr>
          <w:rFonts w:ascii="宋体" w:eastAsia="宋体" w:hAnsi="宋体" w:cs="宋体" w:hint="eastAsia"/>
          <w:bCs/>
          <w:color w:val="auto"/>
          <w:highlight w:val="none"/>
        </w:rPr>
        <w:t>阶段、供应商名称、供应商地址、邮编、联系电话、供应商代表、法定代表人等内容。</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电子版光盘文件应采用Word无加密版格式。</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.未按竞争性磋商文件规定要求密封和标记的，字迹模糊无法辨认的，均将视为无效投标，并对供应商误投或过早启封概不负责。</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53"/>
          <w:footerReference w:type="default" r:id="rId54"/>
          <w:type w:val="nextPage"/>
          <w:pgSz w:w="11906" w:h="16838"/>
          <w:pgMar w:top="1440" w:right="1080" w:bottom="1440" w:left="1080" w:header="851" w:footer="992" w:gutter="0"/>
          <w:pgNumType w:fmt="decimal" w:start="23" w:chapStyle="0" w:chapSep="hyphen"/>
          <w:cols w:space="708"/>
          <w:titlePg w:val="0"/>
          <w:docGrid w:type="lines" w:linePitch="312"/>
        </w:sectPr>
      </w:pPr>
      <w:r>
        <w:rPr>
          <w:rFonts w:ascii="宋体" w:eastAsia="宋体" w:hAnsi="宋体" w:cs="宋体" w:hint="eastAsia"/>
          <w:bCs/>
          <w:color w:val="auto"/>
          <w:highlight w:val="none"/>
        </w:rPr>
        <w:t>.电话、传真及其它形式的投标概不接受。</w:t>
      </w:r>
    </w:p>
    <w:p>
      <w:pPr>
        <w:pStyle w:val="Default"/>
        <w:snapToGrid w:val="0"/>
        <w:spacing w:line="360" w:lineRule="auto"/>
        <w:ind w:firstLine="480" w:firstLineChars="200"/>
        <w:jc w:val="both"/>
        <w:rPr>
          <w:rFonts w:ascii="Times New Roman" w:eastAsia="宋体" w:hAnsi="Times New Roman" w:cs="Times New Roman"/>
          <w:color w:val="auto"/>
          <w:highlight w:val="none"/>
        </w:rPr>
      </w:pPr>
      <w:r>
        <w:rPr>
          <w:rFonts w:ascii="宋体" w:eastAsia="宋体" w:hAnsi="宋体" w:cs="宋体" w:hint="eastAsia"/>
          <w:bCs/>
          <w:color w:val="auto"/>
          <w:highlight w:val="none"/>
        </w:rPr>
        <w:t>.每个供应商只能提交一份响应文件。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递交响应文件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如响应文件由专人送交，供应商应将响应文件按.-.中的规定进行密封和标记后，按磋商注明的时间和地址送至采购代理机构。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采购代理机构在磋商邀请函中规定的地址收到第一阶段和第二阶段响应文件的时间应不迟于磋商邀请函中规定的响应文件截止时间。</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迟交的响应文件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按规定采购代理机构将拒绝或原封退回在其规定的文件截止时间后收到的任何响应文件。</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响应文件的修改和撤消</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供应商在递交响应文件后可对其响应文件进行修改或撤回，但采购代理机构须在投标截止时间之前收到该修改或撤消的书面通知。</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供应商的修改或撤回的书面通知应按本须知第条和第条的规定进行编制、签署、密封、标注和递送，并注明</w:t>
      </w:r>
      <w:r>
        <w:rPr>
          <w:rFonts w:ascii="宋体" w:eastAsia="宋体" w:hAnsi="宋体" w:cs="宋体" w:hint="eastAsia"/>
          <w:bCs/>
          <w:color w:val="auto"/>
          <w:highlight w:val="none"/>
        </w:rPr>
        <w:t>“</w:t>
      </w:r>
      <w:r>
        <w:rPr>
          <w:rFonts w:ascii="宋体" w:eastAsia="宋体" w:hAnsi="宋体" w:cs="宋体" w:hint="eastAsia"/>
          <w:bCs/>
          <w:color w:val="auto"/>
          <w:highlight w:val="none"/>
        </w:rPr>
        <w:t>修改响应文件</w:t>
      </w:r>
      <w:r>
        <w:rPr>
          <w:rFonts w:ascii="宋体" w:eastAsia="宋体" w:hAnsi="宋体" w:cs="宋体" w:hint="eastAsia"/>
          <w:bCs/>
          <w:color w:val="auto"/>
          <w:highlight w:val="none"/>
        </w:rPr>
        <w:t>”</w:t>
      </w:r>
      <w:r>
        <w:rPr>
          <w:rFonts w:ascii="宋体" w:eastAsia="宋体" w:hAnsi="宋体" w:cs="宋体" w:hint="eastAsia"/>
          <w:bCs/>
          <w:color w:val="auto"/>
          <w:highlight w:val="none"/>
        </w:rPr>
        <w:t>或</w:t>
      </w:r>
      <w:r>
        <w:rPr>
          <w:rFonts w:ascii="宋体" w:eastAsia="宋体" w:hAnsi="宋体" w:cs="宋体" w:hint="eastAsia"/>
          <w:bCs/>
          <w:color w:val="auto"/>
          <w:highlight w:val="none"/>
        </w:rPr>
        <w:t>“</w:t>
      </w:r>
      <w:r>
        <w:rPr>
          <w:rFonts w:ascii="宋体" w:eastAsia="宋体" w:hAnsi="宋体" w:cs="宋体" w:hint="eastAsia"/>
          <w:bCs/>
          <w:color w:val="auto"/>
          <w:highlight w:val="none"/>
        </w:rPr>
        <w:t>撤回投标</w:t>
      </w:r>
      <w:r>
        <w:rPr>
          <w:rFonts w:ascii="宋体" w:eastAsia="宋体" w:hAnsi="宋体" w:cs="宋体" w:hint="eastAsia"/>
          <w:bCs/>
          <w:color w:val="auto"/>
          <w:highlight w:val="none"/>
        </w:rPr>
        <w:t>”</w:t>
      </w:r>
      <w:r>
        <w:rPr>
          <w:rFonts w:ascii="宋体" w:eastAsia="宋体" w:hAnsi="宋体" w:cs="宋体" w:hint="eastAsia"/>
          <w:bCs/>
          <w:color w:val="auto"/>
          <w:highlight w:val="none"/>
        </w:rPr>
        <w:t>字样。</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在投标截止时间之后，未经采购代理机构许可，供应商不得对其响应文件进行修改。</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供应商不得在投标截止时间起至响应文件有效期届满前撤消其投标。</w:t>
      </w:r>
    </w:p>
    <w:p>
      <w:pPr>
        <w:pStyle w:val="Default"/>
        <w:snapToGrid w:val="0"/>
        <w:spacing w:line="360" w:lineRule="auto"/>
        <w:ind w:firstLine="480" w:firstLineChars="200"/>
        <w:jc w:val="both"/>
        <w:rPr>
          <w:rFonts w:ascii="宋体" w:eastAsia="宋体" w:hAnsi="宋体" w:cs="宋体" w:hint="eastAsia"/>
          <w:bCs/>
          <w:color w:val="auto"/>
          <w:highlight w:val="none"/>
        </w:rPr>
      </w:pPr>
    </w:p>
    <w:p>
      <w:pPr>
        <w:pStyle w:val="Default"/>
        <w:snapToGrid w:val="0"/>
        <w:spacing w:line="360" w:lineRule="auto"/>
        <w:ind w:firstLine="480" w:firstLineChars="200"/>
        <w:jc w:val="both"/>
        <w:rPr>
          <w:rFonts w:ascii="宋体" w:eastAsia="宋体" w:hAnsi="宋体" w:cs="宋体" w:hint="eastAsia"/>
          <w:bCs/>
          <w:color w:val="auto"/>
          <w:highlight w:val="none"/>
        </w:rPr>
      </w:pPr>
      <w:bookmarkStart w:id="29" w:name="_Toc30033"/>
      <w:bookmarkStart w:id="30" w:name="_Toc430941411"/>
      <w:bookmarkStart w:id="31" w:name="_Toc440442659"/>
      <w:bookmarkStart w:id="32" w:name="_Toc430936006"/>
      <w:bookmarkStart w:id="33" w:name="_Toc15650"/>
      <w:bookmarkStart w:id="34" w:name="_Toc13433"/>
      <w:bookmarkStart w:id="35" w:name="_Toc430941824"/>
      <w:bookmarkStart w:id="36" w:name="_Toc430941237"/>
      <w:bookmarkStart w:id="37" w:name="_Toc440442576"/>
      <w:r>
        <w:rPr>
          <w:rFonts w:ascii="宋体" w:eastAsia="宋体" w:hAnsi="宋体" w:cs="宋体" w:hint="eastAsia"/>
          <w:bCs/>
          <w:color w:val="auto"/>
          <w:highlight w:val="none"/>
        </w:rPr>
        <w:t>E  磋商程序及评标方法</w:t>
      </w:r>
      <w:bookmarkEnd w:id="29"/>
      <w:bookmarkEnd w:id="30"/>
      <w:bookmarkEnd w:id="31"/>
      <w:bookmarkEnd w:id="32"/>
      <w:bookmarkEnd w:id="33"/>
      <w:bookmarkEnd w:id="34"/>
      <w:bookmarkEnd w:id="35"/>
      <w:bookmarkEnd w:id="36"/>
      <w:bookmarkEnd w:id="37"/>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响应文件的开启</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采购代理机构在磋商邀请函中规定的时间和地点组织磋商，供应商代表必须出席，以接受身份查验。</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磋商过程中，由采购代理机构将组织。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按规定，同意撤回的响应文件将不予开封并原封退回。</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采购代理机构按规定作开标记录，存档备查。</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磋商小组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采购代理机构将根据采购项目的特点组建磋商小组，其成员由政府采购管理部门抽取的有关技术、经济等方面的专家和采购人代表组成，其中专家的人数不少于成员总数的三分之二。</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小组负责审查响应文件是否符合竞争性磋商文件的要求，并进行审查、询问、评估和比较。磋商小组认为必要时，可向供应商进行询问。磋商期间，供应商代表必须在场准备接受询问，对提出的问题进行澄清，并作出书面答复。</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55"/>
          <w:footerReference w:type="default" r:id="rId56"/>
          <w:type w:val="nextPage"/>
          <w:pgSz w:w="11906" w:h="16838"/>
          <w:pgMar w:top="1440" w:right="1080" w:bottom="1440" w:left="1080" w:header="851" w:footer="992" w:gutter="0"/>
          <w:pgNumType w:fmt="decimal" w:start="24" w:chapStyle="0" w:chapSep="hyphen"/>
          <w:cols w:space="708"/>
          <w:titlePg w:val="0"/>
          <w:docGrid w:type="lines" w:linePitch="312"/>
        </w:sect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磋商小组负责完成全部磋商过程，向采购代理机构提出经所有磋商小组成员签字的书面磋商小组意</w:t>
      </w:r>
      <w:r>
        <w:rPr>
          <w:rFonts w:ascii="宋体" w:eastAsia="宋体" w:hAnsi="宋体" w:cs="宋体" w:hint="eastAsia"/>
          <w:bCs/>
          <w:color w:val="auto"/>
          <w:highlight w:val="none"/>
        </w:rPr>
        <w:t>见。</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对响应文件的初步审查和响应性的确定</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资格性检查。磋商开始后，采购代理机构将组织磋商小组审查响应文件的内容是否完整，要求的投标保证金（若竞争性磋商文件第二部分要求提交投标保证金的）是否已提供，文件签署是否正确，响应文件是否符合竞争性磋商文件的要求。</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供应商如出现下列情况之一的，将予以供应商废标处理：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（）竞争性磋商文件要求提供投标保证金的，供应商未提供投标保证金或投标保证金金额不足或投标保证金投标保函的有效期短于投标有效期的；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（）超出经营范围投标的；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（）响应文件（正本）中资格证明文件（第二部分中规定须提交的资格证明文件）不全或未实质性响应竞争性磋商文件要求的；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（）响应文件无法定代表人（负责人）或其有效委托的被授权人的签字，或未按竞争性磋商文件的要求加盖公章的，或授权期限不符合要求的；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（）不满足竞争性磋商文件实质性要求的；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（）投标有效期短于竞争性磋商文件要求的；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（）响应文件中提供虚假或失实资料的；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（）第一阶段响应文件中含有报价或暗示报价内容的；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（）供应商应将</w:t>
      </w:r>
      <w:r>
        <w:rPr>
          <w:rFonts w:ascii="宋体" w:eastAsia="宋体" w:hAnsi="宋体" w:cs="宋体" w:hint="eastAsia"/>
          <w:bCs/>
          <w:color w:val="auto"/>
          <w:highlight w:val="none"/>
          <w:lang w:eastAsia="zh-CN"/>
        </w:rPr>
        <w:t>响应</w:t>
      </w:r>
      <w:r>
        <w:rPr>
          <w:rFonts w:ascii="宋体" w:eastAsia="宋体" w:hAnsi="宋体" w:cs="宋体" w:hint="eastAsia"/>
          <w:bCs/>
          <w:color w:val="auto"/>
          <w:highlight w:val="none"/>
        </w:rPr>
        <w:t>文件单独</w:t>
      </w:r>
      <w:r>
        <w:rPr>
          <w:rFonts w:ascii="宋体" w:eastAsia="宋体" w:hAnsi="宋体" w:cs="宋体" w:hint="eastAsia"/>
          <w:bCs/>
          <w:color w:val="auto"/>
          <w:highlight w:val="none"/>
          <w:lang w:eastAsia="zh-CN"/>
        </w:rPr>
        <w:t>胶装</w:t>
      </w:r>
      <w:r>
        <w:rPr>
          <w:rFonts w:ascii="宋体" w:eastAsia="宋体" w:hAnsi="宋体" w:cs="宋体" w:hint="eastAsia"/>
          <w:bCs/>
          <w:color w:val="auto"/>
          <w:highlight w:val="none"/>
        </w:rPr>
        <w:t>成册，并编写</w:t>
      </w:r>
      <w:r>
        <w:rPr>
          <w:rFonts w:ascii="宋体" w:eastAsia="宋体" w:hAnsi="宋体" w:cs="宋体" w:hint="eastAsia"/>
          <w:bCs/>
          <w:color w:val="auto"/>
          <w:highlight w:val="none"/>
        </w:rPr>
        <w:t>“</w:t>
      </w:r>
      <w:r>
        <w:rPr>
          <w:rFonts w:ascii="宋体" w:eastAsia="宋体" w:hAnsi="宋体" w:cs="宋体" w:hint="eastAsia"/>
          <w:bCs/>
          <w:color w:val="auto"/>
          <w:highlight w:val="none"/>
          <w:lang w:eastAsia="zh-CN"/>
        </w:rPr>
        <w:t>响应</w:t>
      </w:r>
      <w:r>
        <w:rPr>
          <w:rFonts w:ascii="宋体" w:eastAsia="宋体" w:hAnsi="宋体" w:cs="宋体" w:hint="eastAsia"/>
          <w:bCs/>
          <w:color w:val="auto"/>
          <w:highlight w:val="none"/>
        </w:rPr>
        <w:t>文件资料目录</w:t>
      </w:r>
      <w:r>
        <w:rPr>
          <w:rFonts w:ascii="宋体" w:eastAsia="宋体" w:hAnsi="宋体" w:cs="宋体" w:hint="eastAsia"/>
          <w:bCs/>
          <w:color w:val="auto"/>
          <w:highlight w:val="none"/>
        </w:rPr>
        <w:t>”</w:t>
      </w:r>
      <w:r>
        <w:rPr>
          <w:rFonts w:ascii="宋体" w:eastAsia="宋体" w:hAnsi="宋体" w:cs="宋体" w:hint="eastAsia"/>
          <w:bCs/>
          <w:color w:val="auto"/>
          <w:highlight w:val="none"/>
        </w:rPr>
        <w:t>，页码与目录不符的；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（）第一阶段和第二阶段没有分开</w:t>
      </w:r>
      <w:r>
        <w:rPr>
          <w:rFonts w:ascii="宋体" w:eastAsia="宋体" w:hAnsi="宋体" w:cs="宋体" w:hint="eastAsia"/>
          <w:bCs/>
          <w:color w:val="auto"/>
          <w:highlight w:val="none"/>
          <w:lang w:eastAsia="zh-CN"/>
        </w:rPr>
        <w:t>胶装</w:t>
      </w:r>
      <w:r>
        <w:rPr>
          <w:rFonts w:ascii="宋体" w:eastAsia="宋体" w:hAnsi="宋体" w:cs="宋体" w:hint="eastAsia"/>
          <w:bCs/>
          <w:color w:val="auto"/>
          <w:highlight w:val="none"/>
        </w:rPr>
        <w:t>、包封的；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（）正本和副本没有分开单独包封的；</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w:t>
      </w:r>
      <w:r>
        <w:rPr>
          <w:rFonts w:ascii="宋体" w:eastAsia="宋体" w:hAnsi="宋体" w:cs="宋体" w:hint="eastAsia"/>
          <w:bCs/>
          <w:color w:val="auto"/>
          <w:highlight w:val="none"/>
          <w:lang w:eastAsia="zh-CN"/>
        </w:rPr>
        <w:t>每阶段响应文件</w:t>
      </w:r>
      <w:r>
        <w:rPr>
          <w:rFonts w:ascii="宋体" w:eastAsia="宋体" w:hAnsi="宋体" w:cs="宋体" w:hint="eastAsia"/>
          <w:bCs/>
          <w:color w:val="auto"/>
          <w:highlight w:val="none"/>
        </w:rPr>
        <w:t>没有按照磋商文件要求提供一正两副及电子版响应文件</w:t>
      </w:r>
      <w:r>
        <w:rPr>
          <w:rFonts w:ascii="宋体" w:eastAsia="宋体" w:hAnsi="宋体" w:cs="宋体" w:hint="eastAsia"/>
          <w:bCs/>
          <w:color w:val="auto"/>
          <w:highlight w:val="none"/>
        </w:rPr>
        <w:t>的</w:t>
      </w:r>
      <w:r>
        <w:rPr>
          <w:rFonts w:ascii="宋体" w:eastAsia="宋体" w:hAnsi="宋体" w:cs="宋体" w:hint="eastAsia"/>
          <w:bCs/>
          <w:color w:val="auto"/>
          <w:highlight w:val="none"/>
        </w:rPr>
        <w:t>。</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两阶段磋商程序. 响应文件初审</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磋商小组和监督委员按照本部分第条的规定对各供应商的响应文件进行初步审查和响应性确定，不符合竞争性磋商文件要求的供应商取消磋商资格。</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竞争性磋商采用两阶段磋商的方式进行，第一阶段进行资信、技术部分内容（不含价格）的磋商。第二阶段进行价格磋商。第一阶段磋商结束后，响应文件中技术方案和资信内容无重大偏离的供应商方可进入第二阶段的价格磋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第一阶段技术和资信磋商</w:t>
      </w:r>
    </w:p>
    <w:p>
      <w:pPr>
        <w:pStyle w:val="Default"/>
        <w:snapToGrid w:val="0"/>
        <w:spacing w:line="360" w:lineRule="auto"/>
        <w:ind w:firstLine="480" w:firstLineChars="200"/>
        <w:jc w:val="both"/>
        <w:rPr>
          <w:rFonts w:ascii="宋体" w:eastAsia="宋体" w:hAnsi="宋体" w:cs="宋体" w:hint="eastAsia"/>
          <w:bCs/>
          <w:color w:val="auto"/>
          <w:highlight w:val="none"/>
        </w:rPr>
        <w:sectPr>
          <w:headerReference w:type="default" r:id="rId57"/>
          <w:footerReference w:type="default" r:id="rId58"/>
          <w:type w:val="nextPage"/>
          <w:pgSz w:w="11906" w:h="16838"/>
          <w:pgMar w:top="1440" w:right="1080" w:bottom="1440" w:left="1080" w:header="851" w:footer="992" w:gutter="0"/>
          <w:pgNumType w:fmt="decimal" w:start="25" w:chapStyle="0" w:chapSep="hyphen"/>
          <w:cols w:space="708"/>
          <w:titlePg w:val="0"/>
          <w:docGrid w:type="lines" w:linePitch="312"/>
        </w:sectPr>
      </w:pP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（）磋商开始后，首先由磋商小组对初审合格的响应文件进行审阅。要求提供样品的，采购代理机构将组织磋商小组成员对样品进行查验；</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为了有助于对投标内容进行审查、评估和比较，磋商小组有权向供应商询问，请供应商澄清其文件内容，或就文件内容与供应商进行进一步磋商。供应商有责任按照采购代理机构通知的时间、地点指派专人进行答疑、澄清及磋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磋商过程中，磋商小组根据磋商的情况可以做出修改竞争性磋商文件的决定，采购代理机构会以书面形式通知所有参加磋商的供应商。供应商应根据磋商小组的要求，以书面形式在规定时间内做出响应，未做出响应的响应文件将被视为无效投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（）澄清或磋商的答复，应全部以书面形式在规定的时间内完成，并须由供应商代表签署，作为响应文件的一部分，对供应商具有约束力。</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第二阶段价格磋商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（）采购代理机构将对第二阶段报价文件进行审核，看其是否有计算上或累加上的算术错误，修改错误的原则如下：</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①</w:t>
      </w:r>
      <w:r>
        <w:rPr>
          <w:rFonts w:ascii="宋体" w:eastAsia="宋体" w:hAnsi="宋体" w:cs="宋体" w:hint="eastAsia"/>
          <w:bCs/>
          <w:color w:val="auto"/>
          <w:highlight w:val="none"/>
        </w:rPr>
        <w:t>报价文件中报价一览表内容与报价文件中报价分项一览表内容不一致的，以报价一览表为准；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②</w:t>
      </w:r>
      <w:r>
        <w:rPr>
          <w:rFonts w:ascii="宋体" w:eastAsia="宋体" w:hAnsi="宋体" w:cs="宋体" w:hint="eastAsia"/>
          <w:bCs/>
          <w:color w:val="auto"/>
          <w:highlight w:val="none"/>
        </w:rPr>
        <w:t>报价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采购代理机构将要求供应商按上述修改错误的方法调整报价，供应商同意后，调整后的报价对供应商起约束作用。如果供应商不接受修改后的报价，其投标将被拒绝。</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（）进入价格磋商的供应商有均等的二次报价机会，供应商应在磋商小组规定的时间内完成报价，超过规定时间的报价将被拒绝；</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（）每一轮报价的修改全部为书面的，并须由供应商代表签署，作为报价文件的一部分，对供应商具有约束力。</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（）投标报价以大写为准，大写金额中出现错误，视为无效投标。</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磋商原则和评标方法</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磋商小组将根据竞争性磋商文件确定的磋商原则和评标方法对确定为实质上响应竞争性磋商文件要求的投标进行评估和比较。</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 磋商原则</w:t>
      </w:r>
    </w:p>
    <w:p>
      <w:pPr>
        <w:pStyle w:val="Default"/>
        <w:snapToGrid w:val="0"/>
        <w:spacing w:line="360" w:lineRule="auto"/>
        <w:ind w:firstLine="480" w:firstLineChars="200"/>
        <w:jc w:val="both"/>
        <w:rPr>
          <w:rFonts w:ascii="宋体" w:eastAsia="宋体" w:hAnsi="宋体" w:cs="宋体" w:hint="eastAsia"/>
          <w:bCs/>
          <w:color w:val="auto"/>
          <w:highlight w:val="none"/>
        </w:rPr>
      </w:pPr>
      <w:r>
        <w:rPr>
          <w:rFonts w:ascii="宋体" w:eastAsia="宋体" w:hAnsi="宋体" w:cs="宋体" w:hint="eastAsia"/>
          <w:bCs/>
          <w:color w:val="auto"/>
          <w:highlight w:val="none"/>
        </w:rPr>
        <w:t>（）竞争性磋商文件是评定成交的依据，磋商工作严格按照竞争性磋商文件的要求和条件进行；</w:t>
      </w:r>
      <w:r>
        <w:rPr>
          <w:rFonts w:ascii="宋体" w:eastAsia="宋体" w:hAnsi="宋体" w:cs="宋体" w:hint="eastAsia"/>
          <w:bCs/>
          <w:color w:val="auto"/>
          <w:highlight w:val="none"/>
        </w:rPr>
        <w:br/>
      </w:r>
      <w:r>
        <w:rPr>
          <w:rFonts w:ascii="宋体" w:eastAsia="宋体" w:hAnsi="宋体" w:cs="宋体" w:hint="eastAsia"/>
          <w:bCs/>
          <w:color w:val="auto"/>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https://d.book118.com/388037124031006035</w:t>
        </w:r>
      </w:hyperlink>
    </w:p>
    <w:p>
      <w:pPr>
        <w:pStyle w:val="Default"/>
        <w:snapToGrid w:val="0"/>
        <w:spacing w:line="360" w:lineRule="auto"/>
        <w:ind w:firstLine="480" w:firstLineChars="200"/>
        <w:jc w:val="both"/>
        <w:rPr>
          <w:rFonts w:ascii="宋体" w:eastAsia="宋体" w:hAnsi="宋体" w:cs="宋体" w:hint="eastAsia"/>
          <w:bCs/>
          <w:color w:val="auto"/>
          <w:highlight w:val="none"/>
        </w:rPr>
      </w:pPr>
    </w:p>
    <w:sectPr>
      <w:headerReference w:type="default" r:id="rId60"/>
      <w:footerReference w:type="default" r:id="rId61"/>
      <w:type w:val="nextPage"/>
      <w:pgSz w:w="11906" w:h="16838"/>
      <w:pgMar w:top="1440" w:right="1080" w:bottom="1440" w:left="1080" w:header="851" w:footer="992" w:gutter="0"/>
      <w:pgNumType w:fmt="decimal" w:start="26" w:chapStyle="0" w:chapSep="hyphen"/>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AFF" w:usb1="C0007841" w:usb2="00000009" w:usb3="00000000" w:csb0="400401FF" w:csb1="FFFF0000"/>
  </w:font>
  <w:font w:name="宋体">
    <w:panose1 w:val="02010600030101010101"/>
    <w:charset w:val="88"/>
    <w:family w:val="auto"/>
    <w:pitch w:val="default"/>
    <w:sig w:usb0="00000003" w:usb1="288F0000" w:usb2="00000006" w:usb3="00000000" w:csb0="00140001" w:csb1="00000000"/>
  </w:font>
  <w:font w:name="Wingdings">
    <w:panose1 w:val="05000000000000000000"/>
    <w:charset w:val="02"/>
    <w:family w:val="auto"/>
    <w:pitch w:val="default"/>
    <w:sig w:usb0="00000000" w:usb1="00000000" w:usb2="00000000" w:usb3="00000000" w:csb0="80000000" w:csb1="00000000"/>
  </w:font>
  <w:font w:name="MingLiU">
    <w:panose1 w:val="02020509000000000000"/>
    <w:charset w:val="88"/>
    <w:family w:val="modern"/>
    <w:pitch w:val="default"/>
    <w:sig w:usb0="A00002FF" w:usb1="28CFFCFA" w:usb2="00000016" w:usb3="00000000" w:csb0="00100001" w:csb1="00000000"/>
  </w:font>
  <w:font w:name="Lucida Sans Unicode">
    <w:panose1 w:val="020B0602030504020204"/>
    <w:charset w:val="00"/>
    <w:family w:val="swiss"/>
    <w:pitch w:val="default"/>
    <w:sig w:usb0="80001AFF" w:usb1="0000396B" w:usb2="00000000" w:usb3="00000000" w:csb0="200000BF" w:csb1="D7F7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
    <w:altName w:val="微软雅黑"/>
    <w:panose1 w:val="00000000000000000000"/>
    <w:charset w:val="86"/>
    <w:family w:val="auto"/>
    <w:pitch w:val="default"/>
    <w:sig w:usb0="00000003" w:usb1="080E0000" w:usb2="00000010" w:usb3="00000000" w:csb0="00040001" w:csb1="00000000"/>
  </w:font>
  <w:font w:name="Calibri">
    <w:panose1 w:val="020F0502020204030204"/>
    <w:charset w:val="00"/>
    <w:family w:val="swiss"/>
    <w:pitch w:val="default"/>
    <w:sig w:usb0="E10002FF" w:usb1="4000ACFF" w:usb2="00000009" w:usb3="00000000" w:csb0="2000019F" w:csb1="00000000"/>
  </w:font>
  <w:font w:name="方正行楷简体">
    <w:altName w:val="微软雅黑"/>
    <w:panose1 w:val="03000509000000000000"/>
    <w:charset w:val="86"/>
    <w:family w:val="auto"/>
    <w:pitch w:val="default"/>
    <w:sig w:usb0="00000001" w:usb1="080E0000" w:usb2="00000010" w:usb3="00000000" w:csb0="00040000" w:csb1="00000000"/>
  </w:font>
  <w:font w:name="华文行楷">
    <w:altName w:val="微软雅黑"/>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方正楷体简体">
    <w:altName w:val="宋体"/>
    <w:panose1 w:val="03000509000000000000"/>
    <w:charset w:val="86"/>
    <w:family w:val="auto"/>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中国招标行业门户网站</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30"/>
        <w:lang w:eastAsia="zh-CN"/>
      </w:rPr>
    </w:pPr>
    <w:r>
      <w:rPr>
        <w:rFonts w:hint="eastAsia"/>
        <w:sz w:val="30"/>
        <w:lang w:eastAsia="zh-CN"/>
      </w:rPr>
      <w:t>千里马招标网www.qianlima.com</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color w:val="000000"/>
        <w:shd w:val="clear" w:color="auto" w:fill="FFFFFF"/>
      </w:rPr>
    </w:pPr>
    <w:r>
      <w:rPr>
        <w:rFonts w:hint="eastAsia"/>
      </w:rPr>
      <w:t xml:space="preserve"> 竞争性磋商文件                                                     天津融尚招标代理有限公司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color w:val="000000"/>
        <w:shd w:val="clear" w:color="auto" w:fill="FFFFFF"/>
      </w:rPr>
    </w:pPr>
    <w:r>
      <w:rPr>
        <w:rFonts w:hint="eastAsia"/>
      </w:rPr>
      <w:t xml:space="preserve"> 竞争性磋商文件                                                     天津融尚招标代理有限公司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color w:val="000000"/>
        <w:shd w:val="clear" w:color="auto" w:fill="FFFFFF"/>
      </w:rPr>
    </w:pPr>
    <w:r>
      <w:rPr>
        <w:rFonts w:hint="eastAsia"/>
      </w:rPr>
      <w:t xml:space="preserve"> 竞争性磋商文件                                                     天津融尚招标代理有限公司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color w:val="000000"/>
        <w:shd w:val="clear" w:color="auto" w:fill="FFFFFF"/>
      </w:rPr>
    </w:pPr>
    <w:r>
      <w:rPr>
        <w:rFonts w:hint="eastAsia"/>
      </w:rPr>
      <w:t xml:space="preserve"> 竞争性磋商文件                                                     天津融尚招标代理有限公司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color w:val="000000"/>
        <w:shd w:val="clear" w:color="auto" w:fill="FFFFFF"/>
      </w:rPr>
    </w:pPr>
    <w:r>
      <w:rPr>
        <w:rFonts w:hint="eastAsia"/>
      </w:rPr>
      <w:t xml:space="preserve"> 竞争性磋商文件                                                     天津融尚招标代理有限公司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both"/>
    </w:pPr>
    <w:r>
      <w:rPr>
        <w:rFonts w:hint="eastAsia"/>
      </w:rPr>
      <w:t xml:space="preserve">竞争性磋商文件                                                                      天津融尚招标代理有限公司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275F8"/>
    <w:multiLevelType w:val="singleLevel"/>
    <w:tmpl w:val="145275F8"/>
    <w:lvl w:ilvl="0">
      <w:start w:val="1"/>
      <w:numFmt w:val="decimal"/>
      <w:suff w:val="nothing"/>
      <w:lvlText w:val="%1、"/>
      <w:lvlJc w:val="left"/>
    </w:lvl>
  </w:abstractNum>
  <w:abstractNum w:abstractNumId="1">
    <w:nsid w:val="58C8B12C"/>
    <w:multiLevelType w:val="singleLevel"/>
    <w:tmpl w:val="58C8B12C"/>
    <w:lvl w:ilvl="0">
      <w:start w:val="5"/>
      <w:numFmt w:val="chineseCounting"/>
      <w:suff w:val="nothing"/>
      <w:lvlText w:val="%1、"/>
      <w:lvlJc w:val="left"/>
    </w:lvl>
  </w:abstractNum>
  <w:abstractNum w:abstractNumId="2">
    <w:nsid w:val="590C31B7"/>
    <w:multiLevelType w:val="singleLevel"/>
    <w:tmpl w:val="590C31B7"/>
    <w:lvl w:ilvl="0">
      <w:start w:val="7"/>
      <w:numFmt w:val="chineseCounting"/>
      <w:suff w:val="nothing"/>
      <w:lvlText w:val="（%1）"/>
      <w:lvlJc w:val="left"/>
    </w:lvl>
  </w:abstractNum>
  <w:abstractNum w:abstractNumId="3">
    <w:nsid w:val="595B037B"/>
    <w:multiLevelType w:val="singleLevel"/>
    <w:tmpl w:val="595B037B"/>
    <w:lvl w:ilvl="0">
      <w:start w:val="2"/>
      <w:numFmt w:val="chineseCounting"/>
      <w:suff w:val="nothing"/>
      <w:lvlText w:val="（%1）"/>
      <w:lvlJc w:val="left"/>
    </w:lvl>
  </w:abstractNum>
  <w:abstractNum w:abstractNumId="4">
    <w:nsid w:val="6A7D127D"/>
    <w:multiLevelType w:val="multilevel"/>
    <w:tmpl w:val="6A7D127D"/>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F60"/>
    <w:rsid w:val="00002AF8"/>
    <w:rsid w:val="00020457"/>
    <w:rsid w:val="00027822"/>
    <w:rsid w:val="00037B48"/>
    <w:rsid w:val="000429C5"/>
    <w:rsid w:val="00051E4B"/>
    <w:rsid w:val="000543B6"/>
    <w:rsid w:val="00056BDE"/>
    <w:rsid w:val="000674F3"/>
    <w:rsid w:val="00090C10"/>
    <w:rsid w:val="000D35DE"/>
    <w:rsid w:val="000D4CC8"/>
    <w:rsid w:val="000E3C78"/>
    <w:rsid w:val="000E47E0"/>
    <w:rsid w:val="001075D3"/>
    <w:rsid w:val="00114A58"/>
    <w:rsid w:val="00135AB9"/>
    <w:rsid w:val="00144645"/>
    <w:rsid w:val="00170315"/>
    <w:rsid w:val="0018019D"/>
    <w:rsid w:val="001867C1"/>
    <w:rsid w:val="00195C2E"/>
    <w:rsid w:val="001B6319"/>
    <w:rsid w:val="001C1FB1"/>
    <w:rsid w:val="001C21A7"/>
    <w:rsid w:val="001D0714"/>
    <w:rsid w:val="001E4CBE"/>
    <w:rsid w:val="001E66F7"/>
    <w:rsid w:val="001E6C80"/>
    <w:rsid w:val="001E7554"/>
    <w:rsid w:val="001F3177"/>
    <w:rsid w:val="00212D65"/>
    <w:rsid w:val="00214801"/>
    <w:rsid w:val="002266E9"/>
    <w:rsid w:val="00230010"/>
    <w:rsid w:val="002300AB"/>
    <w:rsid w:val="00241E56"/>
    <w:rsid w:val="002668A0"/>
    <w:rsid w:val="00272742"/>
    <w:rsid w:val="00275502"/>
    <w:rsid w:val="00286D16"/>
    <w:rsid w:val="002914FC"/>
    <w:rsid w:val="00294943"/>
    <w:rsid w:val="002A1EFF"/>
    <w:rsid w:val="002B122C"/>
    <w:rsid w:val="002C56E5"/>
    <w:rsid w:val="002D102D"/>
    <w:rsid w:val="002D3C68"/>
    <w:rsid w:val="00304421"/>
    <w:rsid w:val="0030473C"/>
    <w:rsid w:val="0034277C"/>
    <w:rsid w:val="00342BFF"/>
    <w:rsid w:val="003565EC"/>
    <w:rsid w:val="00367D82"/>
    <w:rsid w:val="003701FB"/>
    <w:rsid w:val="00371D52"/>
    <w:rsid w:val="003743A1"/>
    <w:rsid w:val="00374CA9"/>
    <w:rsid w:val="003F4098"/>
    <w:rsid w:val="004027FA"/>
    <w:rsid w:val="00416619"/>
    <w:rsid w:val="004246EF"/>
    <w:rsid w:val="00441C5C"/>
    <w:rsid w:val="00446C7A"/>
    <w:rsid w:val="00454A5E"/>
    <w:rsid w:val="00471DB9"/>
    <w:rsid w:val="00480FAC"/>
    <w:rsid w:val="00484CFE"/>
    <w:rsid w:val="00485C9D"/>
    <w:rsid w:val="004A7BF8"/>
    <w:rsid w:val="004B554A"/>
    <w:rsid w:val="004C1A28"/>
    <w:rsid w:val="004C52E9"/>
    <w:rsid w:val="004C640D"/>
    <w:rsid w:val="004D10AF"/>
    <w:rsid w:val="004D1B3E"/>
    <w:rsid w:val="00502D50"/>
    <w:rsid w:val="005133B8"/>
    <w:rsid w:val="00514770"/>
    <w:rsid w:val="00516176"/>
    <w:rsid w:val="005166C8"/>
    <w:rsid w:val="00521AB3"/>
    <w:rsid w:val="00530422"/>
    <w:rsid w:val="00540C6A"/>
    <w:rsid w:val="00545C87"/>
    <w:rsid w:val="005745E1"/>
    <w:rsid w:val="00574787"/>
    <w:rsid w:val="00576D3E"/>
    <w:rsid w:val="00585C64"/>
    <w:rsid w:val="005A0675"/>
    <w:rsid w:val="005B3BC3"/>
    <w:rsid w:val="005C2620"/>
    <w:rsid w:val="005C49A3"/>
    <w:rsid w:val="005D4086"/>
    <w:rsid w:val="005E095E"/>
    <w:rsid w:val="005E3940"/>
    <w:rsid w:val="005F6D79"/>
    <w:rsid w:val="006076B8"/>
    <w:rsid w:val="006457A5"/>
    <w:rsid w:val="00646F96"/>
    <w:rsid w:val="0066615D"/>
    <w:rsid w:val="00672114"/>
    <w:rsid w:val="00673845"/>
    <w:rsid w:val="006B51FF"/>
    <w:rsid w:val="006B768A"/>
    <w:rsid w:val="006C1177"/>
    <w:rsid w:val="006C308C"/>
    <w:rsid w:val="006C7B2F"/>
    <w:rsid w:val="006F65DC"/>
    <w:rsid w:val="00716F0F"/>
    <w:rsid w:val="00720BC1"/>
    <w:rsid w:val="00721024"/>
    <w:rsid w:val="00724543"/>
    <w:rsid w:val="00725447"/>
    <w:rsid w:val="007260A9"/>
    <w:rsid w:val="00733AFC"/>
    <w:rsid w:val="00744A72"/>
    <w:rsid w:val="00782C83"/>
    <w:rsid w:val="00785883"/>
    <w:rsid w:val="007953C9"/>
    <w:rsid w:val="007A0372"/>
    <w:rsid w:val="007A6E05"/>
    <w:rsid w:val="007C34BB"/>
    <w:rsid w:val="007C6079"/>
    <w:rsid w:val="007C7630"/>
    <w:rsid w:val="007E1B3C"/>
    <w:rsid w:val="007F6425"/>
    <w:rsid w:val="00817A4B"/>
    <w:rsid w:val="0083379C"/>
    <w:rsid w:val="008351AB"/>
    <w:rsid w:val="00835CE4"/>
    <w:rsid w:val="008617C0"/>
    <w:rsid w:val="00867254"/>
    <w:rsid w:val="0089512F"/>
    <w:rsid w:val="008C2813"/>
    <w:rsid w:val="008D3728"/>
    <w:rsid w:val="008E67C2"/>
    <w:rsid w:val="008F66C7"/>
    <w:rsid w:val="008F6B5B"/>
    <w:rsid w:val="00903C92"/>
    <w:rsid w:val="0092148B"/>
    <w:rsid w:val="009270C7"/>
    <w:rsid w:val="00940A1A"/>
    <w:rsid w:val="009416EC"/>
    <w:rsid w:val="00946660"/>
    <w:rsid w:val="00952448"/>
    <w:rsid w:val="00963A05"/>
    <w:rsid w:val="00975309"/>
    <w:rsid w:val="00993152"/>
    <w:rsid w:val="009A13DD"/>
    <w:rsid w:val="009B22F4"/>
    <w:rsid w:val="009B42E1"/>
    <w:rsid w:val="009B4416"/>
    <w:rsid w:val="009B655A"/>
    <w:rsid w:val="009C2544"/>
    <w:rsid w:val="009C2FC0"/>
    <w:rsid w:val="009C5989"/>
    <w:rsid w:val="009F0303"/>
    <w:rsid w:val="009F11B1"/>
    <w:rsid w:val="009F6C81"/>
    <w:rsid w:val="00A15C6F"/>
    <w:rsid w:val="00A32E68"/>
    <w:rsid w:val="00A41B81"/>
    <w:rsid w:val="00A45DA2"/>
    <w:rsid w:val="00A461FB"/>
    <w:rsid w:val="00A72FBC"/>
    <w:rsid w:val="00A80B6B"/>
    <w:rsid w:val="00A81E1F"/>
    <w:rsid w:val="00AA5745"/>
    <w:rsid w:val="00AA7907"/>
    <w:rsid w:val="00AB63D1"/>
    <w:rsid w:val="00AC6CC5"/>
    <w:rsid w:val="00AC735C"/>
    <w:rsid w:val="00AD5EB5"/>
    <w:rsid w:val="00AF08DB"/>
    <w:rsid w:val="00AF1954"/>
    <w:rsid w:val="00AF1C29"/>
    <w:rsid w:val="00B05AD7"/>
    <w:rsid w:val="00B113FE"/>
    <w:rsid w:val="00B33320"/>
    <w:rsid w:val="00B34445"/>
    <w:rsid w:val="00B4190A"/>
    <w:rsid w:val="00B61A4D"/>
    <w:rsid w:val="00B66293"/>
    <w:rsid w:val="00B734FC"/>
    <w:rsid w:val="00B73EF5"/>
    <w:rsid w:val="00B817B2"/>
    <w:rsid w:val="00B81DB9"/>
    <w:rsid w:val="00B85A1C"/>
    <w:rsid w:val="00B85E19"/>
    <w:rsid w:val="00B87F06"/>
    <w:rsid w:val="00BC3F21"/>
    <w:rsid w:val="00BE4B2E"/>
    <w:rsid w:val="00BE7ED8"/>
    <w:rsid w:val="00C0018B"/>
    <w:rsid w:val="00C00BB4"/>
    <w:rsid w:val="00C00C92"/>
    <w:rsid w:val="00C158EF"/>
    <w:rsid w:val="00C378BE"/>
    <w:rsid w:val="00C47BB5"/>
    <w:rsid w:val="00C543F0"/>
    <w:rsid w:val="00C70878"/>
    <w:rsid w:val="00C815FC"/>
    <w:rsid w:val="00C86EA9"/>
    <w:rsid w:val="00CA2CFA"/>
    <w:rsid w:val="00CA7CF0"/>
    <w:rsid w:val="00CB1D69"/>
    <w:rsid w:val="00CD5370"/>
    <w:rsid w:val="00CE0678"/>
    <w:rsid w:val="00CE32F1"/>
    <w:rsid w:val="00CE4328"/>
    <w:rsid w:val="00D06EF5"/>
    <w:rsid w:val="00D372EF"/>
    <w:rsid w:val="00D63A07"/>
    <w:rsid w:val="00D71400"/>
    <w:rsid w:val="00D7307D"/>
    <w:rsid w:val="00D7492F"/>
    <w:rsid w:val="00D75744"/>
    <w:rsid w:val="00D8092C"/>
    <w:rsid w:val="00D8470B"/>
    <w:rsid w:val="00D86801"/>
    <w:rsid w:val="00DB5538"/>
    <w:rsid w:val="00DE5B56"/>
    <w:rsid w:val="00DF0C1F"/>
    <w:rsid w:val="00DF0FCD"/>
    <w:rsid w:val="00DF52EF"/>
    <w:rsid w:val="00DF79BB"/>
    <w:rsid w:val="00E2137A"/>
    <w:rsid w:val="00E21A18"/>
    <w:rsid w:val="00E22087"/>
    <w:rsid w:val="00E24A37"/>
    <w:rsid w:val="00E3271F"/>
    <w:rsid w:val="00E37F66"/>
    <w:rsid w:val="00E411D0"/>
    <w:rsid w:val="00E47992"/>
    <w:rsid w:val="00E5003D"/>
    <w:rsid w:val="00E574A3"/>
    <w:rsid w:val="00E60A8E"/>
    <w:rsid w:val="00E63CFF"/>
    <w:rsid w:val="00E67982"/>
    <w:rsid w:val="00E703F7"/>
    <w:rsid w:val="00E744F8"/>
    <w:rsid w:val="00E83304"/>
    <w:rsid w:val="00E83F5A"/>
    <w:rsid w:val="00E8676A"/>
    <w:rsid w:val="00E87793"/>
    <w:rsid w:val="00E9015D"/>
    <w:rsid w:val="00EA3D68"/>
    <w:rsid w:val="00EC6F1B"/>
    <w:rsid w:val="00EF38ED"/>
    <w:rsid w:val="00F0026F"/>
    <w:rsid w:val="00F10860"/>
    <w:rsid w:val="00F141C1"/>
    <w:rsid w:val="00F476AF"/>
    <w:rsid w:val="00F47CCB"/>
    <w:rsid w:val="00F550D9"/>
    <w:rsid w:val="00F97F7C"/>
    <w:rsid w:val="00FA4B3E"/>
    <w:rsid w:val="00FA7656"/>
    <w:rsid w:val="00FB716F"/>
    <w:rsid w:val="00FD4D42"/>
    <w:rsid w:val="00FD5E1D"/>
    <w:rsid w:val="00FE148C"/>
    <w:rsid w:val="00FE1B84"/>
    <w:rsid w:val="00FF1870"/>
    <w:rsid w:val="00FF2F4B"/>
    <w:rsid w:val="00FF373D"/>
    <w:rsid w:val="01322127"/>
    <w:rsid w:val="01362B20"/>
    <w:rsid w:val="015C1057"/>
    <w:rsid w:val="015D7D1F"/>
    <w:rsid w:val="016745F0"/>
    <w:rsid w:val="01683C46"/>
    <w:rsid w:val="0173145A"/>
    <w:rsid w:val="01791D4D"/>
    <w:rsid w:val="017B79E9"/>
    <w:rsid w:val="019D3104"/>
    <w:rsid w:val="01B9258B"/>
    <w:rsid w:val="01BF0936"/>
    <w:rsid w:val="01C3628E"/>
    <w:rsid w:val="01C93D03"/>
    <w:rsid w:val="01D27C02"/>
    <w:rsid w:val="01D81997"/>
    <w:rsid w:val="01E87F6C"/>
    <w:rsid w:val="020762BD"/>
    <w:rsid w:val="021A4640"/>
    <w:rsid w:val="02291B48"/>
    <w:rsid w:val="023C475C"/>
    <w:rsid w:val="024C2EF0"/>
    <w:rsid w:val="028E154F"/>
    <w:rsid w:val="02987F92"/>
    <w:rsid w:val="02AD0DCC"/>
    <w:rsid w:val="02BE2033"/>
    <w:rsid w:val="030C69C4"/>
    <w:rsid w:val="0322740D"/>
    <w:rsid w:val="032E4AB3"/>
    <w:rsid w:val="03301B52"/>
    <w:rsid w:val="0337593B"/>
    <w:rsid w:val="033907C1"/>
    <w:rsid w:val="034D5176"/>
    <w:rsid w:val="0354321E"/>
    <w:rsid w:val="03601375"/>
    <w:rsid w:val="036613ED"/>
    <w:rsid w:val="037D504D"/>
    <w:rsid w:val="03930327"/>
    <w:rsid w:val="03BA7509"/>
    <w:rsid w:val="03F34EB2"/>
    <w:rsid w:val="03F678F2"/>
    <w:rsid w:val="0400508F"/>
    <w:rsid w:val="041131B1"/>
    <w:rsid w:val="041658BC"/>
    <w:rsid w:val="0427073E"/>
    <w:rsid w:val="043A7908"/>
    <w:rsid w:val="044104CC"/>
    <w:rsid w:val="04462E66"/>
    <w:rsid w:val="044B3AB8"/>
    <w:rsid w:val="044C28A5"/>
    <w:rsid w:val="045C5BBE"/>
    <w:rsid w:val="04655421"/>
    <w:rsid w:val="04704D18"/>
    <w:rsid w:val="04814B04"/>
    <w:rsid w:val="04BD428F"/>
    <w:rsid w:val="04C140FB"/>
    <w:rsid w:val="04D13543"/>
    <w:rsid w:val="04DF2BDA"/>
    <w:rsid w:val="04FB4CDC"/>
    <w:rsid w:val="05084CA7"/>
    <w:rsid w:val="050C362F"/>
    <w:rsid w:val="051D52CB"/>
    <w:rsid w:val="052A434C"/>
    <w:rsid w:val="053D0869"/>
    <w:rsid w:val="05406FF6"/>
    <w:rsid w:val="054C5C2F"/>
    <w:rsid w:val="05583362"/>
    <w:rsid w:val="05694585"/>
    <w:rsid w:val="05865655"/>
    <w:rsid w:val="06197FCD"/>
    <w:rsid w:val="061C1864"/>
    <w:rsid w:val="062203EC"/>
    <w:rsid w:val="063067D9"/>
    <w:rsid w:val="063328DD"/>
    <w:rsid w:val="0636074C"/>
    <w:rsid w:val="064A7FEE"/>
    <w:rsid w:val="064F774F"/>
    <w:rsid w:val="06957C1D"/>
    <w:rsid w:val="06CA50D0"/>
    <w:rsid w:val="06EE76AB"/>
    <w:rsid w:val="07110940"/>
    <w:rsid w:val="071A6A30"/>
    <w:rsid w:val="071C227D"/>
    <w:rsid w:val="071F5F57"/>
    <w:rsid w:val="07243EB2"/>
    <w:rsid w:val="072F528A"/>
    <w:rsid w:val="07572C6D"/>
    <w:rsid w:val="076B57DC"/>
    <w:rsid w:val="07724241"/>
    <w:rsid w:val="07905DF7"/>
    <w:rsid w:val="07920E26"/>
    <w:rsid w:val="07941DDC"/>
    <w:rsid w:val="07A75906"/>
    <w:rsid w:val="07AF0522"/>
    <w:rsid w:val="07BD6473"/>
    <w:rsid w:val="07C57A00"/>
    <w:rsid w:val="07D8388F"/>
    <w:rsid w:val="07E1137B"/>
    <w:rsid w:val="07E74EFD"/>
    <w:rsid w:val="082C2BD8"/>
    <w:rsid w:val="083B1DA8"/>
    <w:rsid w:val="085F58A7"/>
    <w:rsid w:val="085F7390"/>
    <w:rsid w:val="0869526B"/>
    <w:rsid w:val="08747268"/>
    <w:rsid w:val="087F4194"/>
    <w:rsid w:val="088447F6"/>
    <w:rsid w:val="089A1530"/>
    <w:rsid w:val="08A011D5"/>
    <w:rsid w:val="08D75BE8"/>
    <w:rsid w:val="08D76963"/>
    <w:rsid w:val="08E84AEF"/>
    <w:rsid w:val="090769A3"/>
    <w:rsid w:val="093A55D0"/>
    <w:rsid w:val="093A61A9"/>
    <w:rsid w:val="093A694B"/>
    <w:rsid w:val="093F2077"/>
    <w:rsid w:val="095B0EAD"/>
    <w:rsid w:val="09626763"/>
    <w:rsid w:val="097045EE"/>
    <w:rsid w:val="097C7260"/>
    <w:rsid w:val="097E178D"/>
    <w:rsid w:val="098F2035"/>
    <w:rsid w:val="09912DDC"/>
    <w:rsid w:val="09C01F91"/>
    <w:rsid w:val="09C85705"/>
    <w:rsid w:val="09CF791C"/>
    <w:rsid w:val="09F2758F"/>
    <w:rsid w:val="0A11691C"/>
    <w:rsid w:val="0A187C7C"/>
    <w:rsid w:val="0A325300"/>
    <w:rsid w:val="0A345319"/>
    <w:rsid w:val="0A47428E"/>
    <w:rsid w:val="0A557467"/>
    <w:rsid w:val="0A5C1E74"/>
    <w:rsid w:val="0A5D067D"/>
    <w:rsid w:val="0A6E2724"/>
    <w:rsid w:val="0A771AEE"/>
    <w:rsid w:val="0A7A06CC"/>
    <w:rsid w:val="0A7A1CDF"/>
    <w:rsid w:val="0A8D24B8"/>
    <w:rsid w:val="0AB55783"/>
    <w:rsid w:val="0AB81EC8"/>
    <w:rsid w:val="0ACD740B"/>
    <w:rsid w:val="0AD95074"/>
    <w:rsid w:val="0AFF3F2E"/>
    <w:rsid w:val="0B0617D1"/>
    <w:rsid w:val="0B1A31F5"/>
    <w:rsid w:val="0B1C7F89"/>
    <w:rsid w:val="0B1F3833"/>
    <w:rsid w:val="0B2E2E4E"/>
    <w:rsid w:val="0B47121D"/>
    <w:rsid w:val="0B8B1531"/>
    <w:rsid w:val="0B8D724D"/>
    <w:rsid w:val="0B9768B5"/>
    <w:rsid w:val="0BCE4BB3"/>
    <w:rsid w:val="0BDA79B8"/>
    <w:rsid w:val="0BE81714"/>
    <w:rsid w:val="0BF41574"/>
    <w:rsid w:val="0C197693"/>
    <w:rsid w:val="0C3B1818"/>
    <w:rsid w:val="0C4220F8"/>
    <w:rsid w:val="0C454918"/>
    <w:rsid w:val="0C475FC6"/>
    <w:rsid w:val="0C8153AE"/>
    <w:rsid w:val="0C94508B"/>
    <w:rsid w:val="0C970B86"/>
    <w:rsid w:val="0C9A554C"/>
    <w:rsid w:val="0CB905B4"/>
    <w:rsid w:val="0CC01DA7"/>
    <w:rsid w:val="0CE92AD3"/>
    <w:rsid w:val="0D2C5E82"/>
    <w:rsid w:val="0D400251"/>
    <w:rsid w:val="0D4641E1"/>
    <w:rsid w:val="0D502750"/>
    <w:rsid w:val="0D883133"/>
    <w:rsid w:val="0D8B473B"/>
    <w:rsid w:val="0D992F6C"/>
    <w:rsid w:val="0DB7223E"/>
    <w:rsid w:val="0DC164F8"/>
    <w:rsid w:val="0DC900B0"/>
    <w:rsid w:val="0DD8257C"/>
    <w:rsid w:val="0E086FCD"/>
    <w:rsid w:val="0E0C1171"/>
    <w:rsid w:val="0E24616E"/>
    <w:rsid w:val="0E257A1A"/>
    <w:rsid w:val="0E2D4A18"/>
    <w:rsid w:val="0E370737"/>
    <w:rsid w:val="0E516196"/>
    <w:rsid w:val="0E5D4A94"/>
    <w:rsid w:val="0E6152C9"/>
    <w:rsid w:val="0E6515AD"/>
    <w:rsid w:val="0E8D5500"/>
    <w:rsid w:val="0E976805"/>
    <w:rsid w:val="0EA705F7"/>
    <w:rsid w:val="0EB24061"/>
    <w:rsid w:val="0EBE5BBC"/>
    <w:rsid w:val="0EC417BD"/>
    <w:rsid w:val="0EE12C17"/>
    <w:rsid w:val="0EEB747F"/>
    <w:rsid w:val="0F2564F8"/>
    <w:rsid w:val="0F380AD9"/>
    <w:rsid w:val="0F3C1C34"/>
    <w:rsid w:val="0F3E4613"/>
    <w:rsid w:val="0F4F623C"/>
    <w:rsid w:val="0F7A165E"/>
    <w:rsid w:val="0F7E5F43"/>
    <w:rsid w:val="0F882584"/>
    <w:rsid w:val="0F8C5D3D"/>
    <w:rsid w:val="0FB53BBF"/>
    <w:rsid w:val="0FD668D5"/>
    <w:rsid w:val="10162EAA"/>
    <w:rsid w:val="102D4647"/>
    <w:rsid w:val="105524E1"/>
    <w:rsid w:val="106925DB"/>
    <w:rsid w:val="10707E8D"/>
    <w:rsid w:val="10926BFA"/>
    <w:rsid w:val="109D3501"/>
    <w:rsid w:val="10A03758"/>
    <w:rsid w:val="10A854CA"/>
    <w:rsid w:val="10AC4510"/>
    <w:rsid w:val="10B74809"/>
    <w:rsid w:val="10C74E9C"/>
    <w:rsid w:val="10D8110A"/>
    <w:rsid w:val="10D87376"/>
    <w:rsid w:val="110171BE"/>
    <w:rsid w:val="110B39F5"/>
    <w:rsid w:val="1110700C"/>
    <w:rsid w:val="11134203"/>
    <w:rsid w:val="111B713E"/>
    <w:rsid w:val="11277309"/>
    <w:rsid w:val="11286FA8"/>
    <w:rsid w:val="113103C0"/>
    <w:rsid w:val="113B40B3"/>
    <w:rsid w:val="11454849"/>
    <w:rsid w:val="115823C0"/>
    <w:rsid w:val="11643C65"/>
    <w:rsid w:val="116F5AE8"/>
    <w:rsid w:val="118561F9"/>
    <w:rsid w:val="118D3D1B"/>
    <w:rsid w:val="119F0CB7"/>
    <w:rsid w:val="11BE4B8D"/>
    <w:rsid w:val="11C13EC4"/>
    <w:rsid w:val="11CE5BE4"/>
    <w:rsid w:val="11DF4B52"/>
    <w:rsid w:val="120D2E60"/>
    <w:rsid w:val="121D6A28"/>
    <w:rsid w:val="123D3772"/>
    <w:rsid w:val="124A2FDA"/>
    <w:rsid w:val="12597FA9"/>
    <w:rsid w:val="12743E9D"/>
    <w:rsid w:val="12770533"/>
    <w:rsid w:val="128D7E2B"/>
    <w:rsid w:val="12B36537"/>
    <w:rsid w:val="12BD4E9B"/>
    <w:rsid w:val="12FD4E9F"/>
    <w:rsid w:val="12FE646E"/>
    <w:rsid w:val="1304507C"/>
    <w:rsid w:val="13173342"/>
    <w:rsid w:val="131939B5"/>
    <w:rsid w:val="131B789C"/>
    <w:rsid w:val="134C7CAE"/>
    <w:rsid w:val="135643F1"/>
    <w:rsid w:val="13612D38"/>
    <w:rsid w:val="1362078B"/>
    <w:rsid w:val="136F70BC"/>
    <w:rsid w:val="137A3620"/>
    <w:rsid w:val="137B55FD"/>
    <w:rsid w:val="137D3853"/>
    <w:rsid w:val="13834980"/>
    <w:rsid w:val="13BC1754"/>
    <w:rsid w:val="13C23B7E"/>
    <w:rsid w:val="13D67658"/>
    <w:rsid w:val="13FD3C58"/>
    <w:rsid w:val="13FF6DF6"/>
    <w:rsid w:val="14004A61"/>
    <w:rsid w:val="1402140E"/>
    <w:rsid w:val="14257C35"/>
    <w:rsid w:val="14471490"/>
    <w:rsid w:val="144B4837"/>
    <w:rsid w:val="14591903"/>
    <w:rsid w:val="14891A54"/>
    <w:rsid w:val="149F6709"/>
    <w:rsid w:val="14A1076E"/>
    <w:rsid w:val="14B3184A"/>
    <w:rsid w:val="14B64313"/>
    <w:rsid w:val="14C275A0"/>
    <w:rsid w:val="14C84D00"/>
    <w:rsid w:val="14CA1459"/>
    <w:rsid w:val="14EA1F9B"/>
    <w:rsid w:val="14EE7BCB"/>
    <w:rsid w:val="14F5760D"/>
    <w:rsid w:val="15163E22"/>
    <w:rsid w:val="151F0357"/>
    <w:rsid w:val="152914B2"/>
    <w:rsid w:val="155E2E6D"/>
    <w:rsid w:val="155F083D"/>
    <w:rsid w:val="1583654C"/>
    <w:rsid w:val="1596075C"/>
    <w:rsid w:val="1596660B"/>
    <w:rsid w:val="15A53A0D"/>
    <w:rsid w:val="15A9651B"/>
    <w:rsid w:val="15BF588F"/>
    <w:rsid w:val="15CB7A99"/>
    <w:rsid w:val="15D44689"/>
    <w:rsid w:val="15D70F21"/>
    <w:rsid w:val="164654AB"/>
    <w:rsid w:val="1649080B"/>
    <w:rsid w:val="165713EC"/>
    <w:rsid w:val="165E3908"/>
    <w:rsid w:val="166C7ED5"/>
    <w:rsid w:val="167210D1"/>
    <w:rsid w:val="16832C0C"/>
    <w:rsid w:val="168B34AD"/>
    <w:rsid w:val="169A4FDB"/>
    <w:rsid w:val="16A23E00"/>
    <w:rsid w:val="16B9226E"/>
    <w:rsid w:val="16C34742"/>
    <w:rsid w:val="16C71E38"/>
    <w:rsid w:val="16CD788B"/>
    <w:rsid w:val="16DE2F19"/>
    <w:rsid w:val="17022DC5"/>
    <w:rsid w:val="17097118"/>
    <w:rsid w:val="17143879"/>
    <w:rsid w:val="17204E3B"/>
    <w:rsid w:val="1737138B"/>
    <w:rsid w:val="175A041A"/>
    <w:rsid w:val="17605D90"/>
    <w:rsid w:val="17633DC1"/>
    <w:rsid w:val="17637FC5"/>
    <w:rsid w:val="176C4A2A"/>
    <w:rsid w:val="176F1A52"/>
    <w:rsid w:val="17774AC6"/>
    <w:rsid w:val="17B25993"/>
    <w:rsid w:val="17B42F1E"/>
    <w:rsid w:val="17F935DE"/>
    <w:rsid w:val="182E7763"/>
    <w:rsid w:val="18333CC4"/>
    <w:rsid w:val="185E1F76"/>
    <w:rsid w:val="187A3166"/>
    <w:rsid w:val="18816A6E"/>
    <w:rsid w:val="18887A82"/>
    <w:rsid w:val="188C7A86"/>
    <w:rsid w:val="18921A3E"/>
    <w:rsid w:val="189307A1"/>
    <w:rsid w:val="18932F43"/>
    <w:rsid w:val="18A9675D"/>
    <w:rsid w:val="18AB0536"/>
    <w:rsid w:val="18B55E28"/>
    <w:rsid w:val="18CC21DB"/>
    <w:rsid w:val="18E024AA"/>
    <w:rsid w:val="18F80FFF"/>
    <w:rsid w:val="192010AB"/>
    <w:rsid w:val="19283748"/>
    <w:rsid w:val="19484AF1"/>
    <w:rsid w:val="196C6597"/>
    <w:rsid w:val="197802A1"/>
    <w:rsid w:val="198D6CEA"/>
    <w:rsid w:val="199244EB"/>
    <w:rsid w:val="199D0C9F"/>
    <w:rsid w:val="199E5272"/>
    <w:rsid w:val="19A41107"/>
    <w:rsid w:val="19A90601"/>
    <w:rsid w:val="19B12824"/>
    <w:rsid w:val="19B44A49"/>
    <w:rsid w:val="19BE2DA5"/>
    <w:rsid w:val="19EE7369"/>
    <w:rsid w:val="1A082C47"/>
    <w:rsid w:val="1A2641E2"/>
    <w:rsid w:val="1A2925FB"/>
    <w:rsid w:val="1A2D3926"/>
    <w:rsid w:val="1A702D09"/>
    <w:rsid w:val="1A7A65A8"/>
    <w:rsid w:val="1AAC2652"/>
    <w:rsid w:val="1ABB7A92"/>
    <w:rsid w:val="1AE72C21"/>
    <w:rsid w:val="1AEF20CF"/>
    <w:rsid w:val="1AFA5FB8"/>
    <w:rsid w:val="1B15250B"/>
    <w:rsid w:val="1B1529E7"/>
    <w:rsid w:val="1B1D1E91"/>
    <w:rsid w:val="1B1D3C0F"/>
    <w:rsid w:val="1B485BDC"/>
    <w:rsid w:val="1B550C0F"/>
    <w:rsid w:val="1B8E2B57"/>
    <w:rsid w:val="1B9C7EF9"/>
    <w:rsid w:val="1C081BCA"/>
    <w:rsid w:val="1C142288"/>
    <w:rsid w:val="1C170D6C"/>
    <w:rsid w:val="1C387B4D"/>
    <w:rsid w:val="1C4B0810"/>
    <w:rsid w:val="1C7F5F76"/>
    <w:rsid w:val="1C865BB1"/>
    <w:rsid w:val="1C917E76"/>
    <w:rsid w:val="1C99277E"/>
    <w:rsid w:val="1CAC0FF1"/>
    <w:rsid w:val="1CC90156"/>
    <w:rsid w:val="1CCA6F19"/>
    <w:rsid w:val="1CE369B6"/>
    <w:rsid w:val="1CE66FB1"/>
    <w:rsid w:val="1CEF37FB"/>
    <w:rsid w:val="1D060FBA"/>
    <w:rsid w:val="1D0B5EAD"/>
    <w:rsid w:val="1D362B47"/>
    <w:rsid w:val="1D3805BF"/>
    <w:rsid w:val="1D4767F9"/>
    <w:rsid w:val="1D683E8D"/>
    <w:rsid w:val="1D740BD2"/>
    <w:rsid w:val="1D8170D2"/>
    <w:rsid w:val="1D9449D4"/>
    <w:rsid w:val="1DA22BCA"/>
    <w:rsid w:val="1DA62EAA"/>
    <w:rsid w:val="1DBE419C"/>
    <w:rsid w:val="1DEB087E"/>
    <w:rsid w:val="1DEC228A"/>
    <w:rsid w:val="1E040C78"/>
    <w:rsid w:val="1E1C0E6B"/>
    <w:rsid w:val="1E273968"/>
    <w:rsid w:val="1E310F61"/>
    <w:rsid w:val="1E311E92"/>
    <w:rsid w:val="1E345313"/>
    <w:rsid w:val="1E374197"/>
    <w:rsid w:val="1E395E7A"/>
    <w:rsid w:val="1E3C7646"/>
    <w:rsid w:val="1E64710F"/>
    <w:rsid w:val="1E6A13DD"/>
    <w:rsid w:val="1E7D429C"/>
    <w:rsid w:val="1EC1749A"/>
    <w:rsid w:val="1EC407C1"/>
    <w:rsid w:val="1ED80166"/>
    <w:rsid w:val="1EF378C1"/>
    <w:rsid w:val="1F003704"/>
    <w:rsid w:val="1F0D730F"/>
    <w:rsid w:val="1F1B059A"/>
    <w:rsid w:val="1F21511C"/>
    <w:rsid w:val="1F482116"/>
    <w:rsid w:val="1F484A1E"/>
    <w:rsid w:val="1F5D0982"/>
    <w:rsid w:val="1F6A063F"/>
    <w:rsid w:val="1F6C17D5"/>
    <w:rsid w:val="1F6E40A3"/>
    <w:rsid w:val="1F736C39"/>
    <w:rsid w:val="1F830F2C"/>
    <w:rsid w:val="1FB13D4E"/>
    <w:rsid w:val="1FC77EA6"/>
    <w:rsid w:val="1FCA3A9F"/>
    <w:rsid w:val="1FD05640"/>
    <w:rsid w:val="1FE20C48"/>
    <w:rsid w:val="20157334"/>
    <w:rsid w:val="20251C28"/>
    <w:rsid w:val="203F7C2E"/>
    <w:rsid w:val="204F2BD2"/>
    <w:rsid w:val="205856AA"/>
    <w:rsid w:val="205E5BD8"/>
    <w:rsid w:val="207D1D54"/>
    <w:rsid w:val="2089794C"/>
    <w:rsid w:val="20960E93"/>
    <w:rsid w:val="20B20EF5"/>
    <w:rsid w:val="20BF1CA2"/>
    <w:rsid w:val="20C03571"/>
    <w:rsid w:val="20F54C7D"/>
    <w:rsid w:val="21063B64"/>
    <w:rsid w:val="210C4E10"/>
    <w:rsid w:val="21343619"/>
    <w:rsid w:val="213B632C"/>
    <w:rsid w:val="214D12D3"/>
    <w:rsid w:val="21501F28"/>
    <w:rsid w:val="216A17A2"/>
    <w:rsid w:val="216F4A14"/>
    <w:rsid w:val="218B6C28"/>
    <w:rsid w:val="21D528C3"/>
    <w:rsid w:val="21EA3DDE"/>
    <w:rsid w:val="220F016C"/>
    <w:rsid w:val="220F2D6F"/>
    <w:rsid w:val="22140D99"/>
    <w:rsid w:val="221C0515"/>
    <w:rsid w:val="22250FE9"/>
    <w:rsid w:val="22364FD8"/>
    <w:rsid w:val="22C46FB6"/>
    <w:rsid w:val="22EC7F49"/>
    <w:rsid w:val="22F922BF"/>
    <w:rsid w:val="23021B85"/>
    <w:rsid w:val="230258FF"/>
    <w:rsid w:val="231E7AE8"/>
    <w:rsid w:val="23472AFB"/>
    <w:rsid w:val="23930D5B"/>
    <w:rsid w:val="23AD0003"/>
    <w:rsid w:val="23B1504A"/>
    <w:rsid w:val="23EC3344"/>
    <w:rsid w:val="23FF22CA"/>
    <w:rsid w:val="24040854"/>
    <w:rsid w:val="240E7D9F"/>
    <w:rsid w:val="242B5520"/>
    <w:rsid w:val="243276B7"/>
    <w:rsid w:val="243B3BB7"/>
    <w:rsid w:val="24510E4D"/>
    <w:rsid w:val="24534554"/>
    <w:rsid w:val="24A47B1A"/>
    <w:rsid w:val="24A50F80"/>
    <w:rsid w:val="24BF5A8F"/>
    <w:rsid w:val="24EE2C9F"/>
    <w:rsid w:val="24F17318"/>
    <w:rsid w:val="250719C3"/>
    <w:rsid w:val="2511282B"/>
    <w:rsid w:val="252D51B0"/>
    <w:rsid w:val="25306708"/>
    <w:rsid w:val="25315ACC"/>
    <w:rsid w:val="253E7433"/>
    <w:rsid w:val="255B0DAC"/>
    <w:rsid w:val="256B25A5"/>
    <w:rsid w:val="258476EB"/>
    <w:rsid w:val="25913C88"/>
    <w:rsid w:val="259A6308"/>
    <w:rsid w:val="25C77BA8"/>
    <w:rsid w:val="25D049D5"/>
    <w:rsid w:val="25D44FDD"/>
    <w:rsid w:val="25D555D6"/>
    <w:rsid w:val="25D56014"/>
    <w:rsid w:val="25E2042B"/>
    <w:rsid w:val="26095FD1"/>
    <w:rsid w:val="261C50E4"/>
    <w:rsid w:val="262B44B6"/>
    <w:rsid w:val="26343E85"/>
    <w:rsid w:val="26427BFE"/>
    <w:rsid w:val="264B2057"/>
    <w:rsid w:val="2650289B"/>
    <w:rsid w:val="267957C0"/>
    <w:rsid w:val="268831EE"/>
    <w:rsid w:val="268A4D31"/>
    <w:rsid w:val="268E4DDC"/>
    <w:rsid w:val="269D2935"/>
    <w:rsid w:val="26B35186"/>
    <w:rsid w:val="26C43627"/>
    <w:rsid w:val="26D17BBC"/>
    <w:rsid w:val="26F674CB"/>
    <w:rsid w:val="270757F2"/>
    <w:rsid w:val="27096690"/>
    <w:rsid w:val="273E5896"/>
    <w:rsid w:val="276E4667"/>
    <w:rsid w:val="276F2B98"/>
    <w:rsid w:val="278A28A4"/>
    <w:rsid w:val="279571EC"/>
    <w:rsid w:val="27A12014"/>
    <w:rsid w:val="27A71BDD"/>
    <w:rsid w:val="27BD6574"/>
    <w:rsid w:val="27C813B7"/>
    <w:rsid w:val="27FF0950"/>
    <w:rsid w:val="2809351B"/>
    <w:rsid w:val="28146933"/>
    <w:rsid w:val="282539EA"/>
    <w:rsid w:val="282C72CC"/>
    <w:rsid w:val="282D40B0"/>
    <w:rsid w:val="282D5BB9"/>
    <w:rsid w:val="283745C1"/>
    <w:rsid w:val="28446317"/>
    <w:rsid w:val="284871B2"/>
    <w:rsid w:val="28586296"/>
    <w:rsid w:val="286F0738"/>
    <w:rsid w:val="28782BE9"/>
    <w:rsid w:val="28834F2D"/>
    <w:rsid w:val="288D092D"/>
    <w:rsid w:val="28AA228E"/>
    <w:rsid w:val="28B90662"/>
    <w:rsid w:val="28C66121"/>
    <w:rsid w:val="28E46E57"/>
    <w:rsid w:val="28F36EF0"/>
    <w:rsid w:val="28FC2604"/>
    <w:rsid w:val="28FF2B28"/>
    <w:rsid w:val="290350C4"/>
    <w:rsid w:val="291B78D4"/>
    <w:rsid w:val="291E790D"/>
    <w:rsid w:val="2922144A"/>
    <w:rsid w:val="293D1B41"/>
    <w:rsid w:val="294B3909"/>
    <w:rsid w:val="29707960"/>
    <w:rsid w:val="297622DF"/>
    <w:rsid w:val="299C6EBA"/>
    <w:rsid w:val="29A30958"/>
    <w:rsid w:val="29AD7ADD"/>
    <w:rsid w:val="29BB6969"/>
    <w:rsid w:val="29C81E33"/>
    <w:rsid w:val="29E04D33"/>
    <w:rsid w:val="29FA23C4"/>
    <w:rsid w:val="2A04479E"/>
    <w:rsid w:val="2A113EBA"/>
    <w:rsid w:val="2A4C479B"/>
    <w:rsid w:val="2A6B3AA3"/>
    <w:rsid w:val="2A7B607B"/>
    <w:rsid w:val="2AA03283"/>
    <w:rsid w:val="2AB73A48"/>
    <w:rsid w:val="2B465465"/>
    <w:rsid w:val="2B476F87"/>
    <w:rsid w:val="2B547876"/>
    <w:rsid w:val="2B8823C4"/>
    <w:rsid w:val="2B957304"/>
    <w:rsid w:val="2BA109E5"/>
    <w:rsid w:val="2BC8320E"/>
    <w:rsid w:val="2BDD2B61"/>
    <w:rsid w:val="2BE42A56"/>
    <w:rsid w:val="2BF877AF"/>
    <w:rsid w:val="2BF94904"/>
    <w:rsid w:val="2C0F6701"/>
    <w:rsid w:val="2C262B27"/>
    <w:rsid w:val="2C4A53F8"/>
    <w:rsid w:val="2C676820"/>
    <w:rsid w:val="2C6F3A05"/>
    <w:rsid w:val="2C6F68C9"/>
    <w:rsid w:val="2C86560F"/>
    <w:rsid w:val="2CAB6CF6"/>
    <w:rsid w:val="2CCB3417"/>
    <w:rsid w:val="2CE270E7"/>
    <w:rsid w:val="2D0D2A84"/>
    <w:rsid w:val="2D353527"/>
    <w:rsid w:val="2D986EA2"/>
    <w:rsid w:val="2DA24528"/>
    <w:rsid w:val="2DA475B0"/>
    <w:rsid w:val="2DA81736"/>
    <w:rsid w:val="2DB04BEE"/>
    <w:rsid w:val="2DBD33DC"/>
    <w:rsid w:val="2DBE658B"/>
    <w:rsid w:val="2DD0153D"/>
    <w:rsid w:val="2DD91CD2"/>
    <w:rsid w:val="2DE227BD"/>
    <w:rsid w:val="2DEA7360"/>
    <w:rsid w:val="2E0B30C4"/>
    <w:rsid w:val="2E3A325E"/>
    <w:rsid w:val="2E3F4C1D"/>
    <w:rsid w:val="2E486A63"/>
    <w:rsid w:val="2E655191"/>
    <w:rsid w:val="2E791CCC"/>
    <w:rsid w:val="2E880F82"/>
    <w:rsid w:val="2E945782"/>
    <w:rsid w:val="2EA7691A"/>
    <w:rsid w:val="2EC10CD1"/>
    <w:rsid w:val="2EE07AA3"/>
    <w:rsid w:val="2EE97A5D"/>
    <w:rsid w:val="2EFF1207"/>
    <w:rsid w:val="2F02336C"/>
    <w:rsid w:val="2F1F5BB8"/>
    <w:rsid w:val="2F3858CE"/>
    <w:rsid w:val="2F3E2F3B"/>
    <w:rsid w:val="2F505CA2"/>
    <w:rsid w:val="2F663ABC"/>
    <w:rsid w:val="2F7F02F7"/>
    <w:rsid w:val="2F8816DD"/>
    <w:rsid w:val="2F8B082D"/>
    <w:rsid w:val="2F9644A0"/>
    <w:rsid w:val="2FA76CCB"/>
    <w:rsid w:val="2FAE5CF3"/>
    <w:rsid w:val="2FB260D5"/>
    <w:rsid w:val="2FCC6C74"/>
    <w:rsid w:val="2FDB2EE4"/>
    <w:rsid w:val="2FDD2B1C"/>
    <w:rsid w:val="30366674"/>
    <w:rsid w:val="304B5939"/>
    <w:rsid w:val="305025CF"/>
    <w:rsid w:val="306E2FAB"/>
    <w:rsid w:val="307D4CD2"/>
    <w:rsid w:val="30A81DEC"/>
    <w:rsid w:val="30B763BB"/>
    <w:rsid w:val="30CD2FE4"/>
    <w:rsid w:val="30D53951"/>
    <w:rsid w:val="30D84A9E"/>
    <w:rsid w:val="30EA522B"/>
    <w:rsid w:val="30EB7020"/>
    <w:rsid w:val="30F77E64"/>
    <w:rsid w:val="310B0702"/>
    <w:rsid w:val="310B2A86"/>
    <w:rsid w:val="31175395"/>
    <w:rsid w:val="31300710"/>
    <w:rsid w:val="314A3498"/>
    <w:rsid w:val="31524195"/>
    <w:rsid w:val="31731B2E"/>
    <w:rsid w:val="3188565A"/>
    <w:rsid w:val="31950E8C"/>
    <w:rsid w:val="319A4AB2"/>
    <w:rsid w:val="319E59C2"/>
    <w:rsid w:val="31C47AFC"/>
    <w:rsid w:val="31CC79E0"/>
    <w:rsid w:val="31D97F9F"/>
    <w:rsid w:val="31FD54E2"/>
    <w:rsid w:val="32113AB2"/>
    <w:rsid w:val="321524B8"/>
    <w:rsid w:val="324D0A5B"/>
    <w:rsid w:val="324E1176"/>
    <w:rsid w:val="325555FE"/>
    <w:rsid w:val="32571840"/>
    <w:rsid w:val="32790E11"/>
    <w:rsid w:val="328C2AC7"/>
    <w:rsid w:val="32B4071F"/>
    <w:rsid w:val="32C72A14"/>
    <w:rsid w:val="32D718BE"/>
    <w:rsid w:val="32D824DC"/>
    <w:rsid w:val="32D974BB"/>
    <w:rsid w:val="32E072C4"/>
    <w:rsid w:val="332534DE"/>
    <w:rsid w:val="33352498"/>
    <w:rsid w:val="33363221"/>
    <w:rsid w:val="333A2190"/>
    <w:rsid w:val="334621CC"/>
    <w:rsid w:val="337A6AF1"/>
    <w:rsid w:val="33B02416"/>
    <w:rsid w:val="33B33368"/>
    <w:rsid w:val="33B72C02"/>
    <w:rsid w:val="33C2135A"/>
    <w:rsid w:val="33CD45C9"/>
    <w:rsid w:val="33E54933"/>
    <w:rsid w:val="33EE3958"/>
    <w:rsid w:val="33F26F4D"/>
    <w:rsid w:val="33F75BEF"/>
    <w:rsid w:val="34014EAF"/>
    <w:rsid w:val="34123641"/>
    <w:rsid w:val="341267CA"/>
    <w:rsid w:val="34280D9D"/>
    <w:rsid w:val="34696140"/>
    <w:rsid w:val="34C22FBB"/>
    <w:rsid w:val="34DC357D"/>
    <w:rsid w:val="34E465EF"/>
    <w:rsid w:val="34E82DCD"/>
    <w:rsid w:val="34FB6AD7"/>
    <w:rsid w:val="34FD27E7"/>
    <w:rsid w:val="3500643A"/>
    <w:rsid w:val="35044910"/>
    <w:rsid w:val="35336352"/>
    <w:rsid w:val="3535751F"/>
    <w:rsid w:val="3538487B"/>
    <w:rsid w:val="35486BE4"/>
    <w:rsid w:val="35541C10"/>
    <w:rsid w:val="35582D1D"/>
    <w:rsid w:val="355F307F"/>
    <w:rsid w:val="35651F0D"/>
    <w:rsid w:val="357238AC"/>
    <w:rsid w:val="3578742B"/>
    <w:rsid w:val="359C5795"/>
    <w:rsid w:val="35A327C2"/>
    <w:rsid w:val="35AF25DB"/>
    <w:rsid w:val="35B008E3"/>
    <w:rsid w:val="35C44443"/>
    <w:rsid w:val="35D0705B"/>
    <w:rsid w:val="35D671BB"/>
    <w:rsid w:val="35EF4224"/>
    <w:rsid w:val="35F36982"/>
    <w:rsid w:val="35FC72E9"/>
    <w:rsid w:val="36441A97"/>
    <w:rsid w:val="36644C1A"/>
    <w:rsid w:val="367C2CD9"/>
    <w:rsid w:val="368E262A"/>
    <w:rsid w:val="36960839"/>
    <w:rsid w:val="369E361E"/>
    <w:rsid w:val="36AA3474"/>
    <w:rsid w:val="36AA506F"/>
    <w:rsid w:val="36B90B9F"/>
    <w:rsid w:val="36BB4163"/>
    <w:rsid w:val="36BC0296"/>
    <w:rsid w:val="36DD6DBB"/>
    <w:rsid w:val="36F2250E"/>
    <w:rsid w:val="370765AC"/>
    <w:rsid w:val="370F7358"/>
    <w:rsid w:val="374F44F7"/>
    <w:rsid w:val="3781474E"/>
    <w:rsid w:val="379B224B"/>
    <w:rsid w:val="379C5497"/>
    <w:rsid w:val="37B86FAD"/>
    <w:rsid w:val="37C66BB8"/>
    <w:rsid w:val="37CD5E82"/>
    <w:rsid w:val="37E51C14"/>
    <w:rsid w:val="37FD44DE"/>
    <w:rsid w:val="38061E6D"/>
    <w:rsid w:val="38073C2B"/>
    <w:rsid w:val="38143303"/>
    <w:rsid w:val="381907F9"/>
    <w:rsid w:val="381C14C0"/>
    <w:rsid w:val="38207A3A"/>
    <w:rsid w:val="382B6E97"/>
    <w:rsid w:val="38304D08"/>
    <w:rsid w:val="38556784"/>
    <w:rsid w:val="386438BA"/>
    <w:rsid w:val="388F420C"/>
    <w:rsid w:val="38990E3D"/>
    <w:rsid w:val="389A0AAF"/>
    <w:rsid w:val="38A24668"/>
    <w:rsid w:val="38C11436"/>
    <w:rsid w:val="38C66E9D"/>
    <w:rsid w:val="38D11641"/>
    <w:rsid w:val="38E73A56"/>
    <w:rsid w:val="38EA2711"/>
    <w:rsid w:val="393C6481"/>
    <w:rsid w:val="394F686C"/>
    <w:rsid w:val="39850D28"/>
    <w:rsid w:val="39A4591D"/>
    <w:rsid w:val="39D84F88"/>
    <w:rsid w:val="39E74173"/>
    <w:rsid w:val="39EF0981"/>
    <w:rsid w:val="39FD5985"/>
    <w:rsid w:val="3A192481"/>
    <w:rsid w:val="3A1F711D"/>
    <w:rsid w:val="3A556CFB"/>
    <w:rsid w:val="3A666E2D"/>
    <w:rsid w:val="3A722934"/>
    <w:rsid w:val="3A7637AF"/>
    <w:rsid w:val="3A835E28"/>
    <w:rsid w:val="3AB23A28"/>
    <w:rsid w:val="3ACD42CC"/>
    <w:rsid w:val="3AE7741E"/>
    <w:rsid w:val="3B4063D5"/>
    <w:rsid w:val="3B5F057D"/>
    <w:rsid w:val="3B604D88"/>
    <w:rsid w:val="3B617B5F"/>
    <w:rsid w:val="3B782BD9"/>
    <w:rsid w:val="3B7D1066"/>
    <w:rsid w:val="3B871C8D"/>
    <w:rsid w:val="3B9113BD"/>
    <w:rsid w:val="3BA40EFC"/>
    <w:rsid w:val="3BA67FF1"/>
    <w:rsid w:val="3BA908D9"/>
    <w:rsid w:val="3BB306F7"/>
    <w:rsid w:val="3BCF7C90"/>
    <w:rsid w:val="3BE4689E"/>
    <w:rsid w:val="3BE970CC"/>
    <w:rsid w:val="3C2405A4"/>
    <w:rsid w:val="3C3D539E"/>
    <w:rsid w:val="3C5B1042"/>
    <w:rsid w:val="3C641157"/>
    <w:rsid w:val="3C644054"/>
    <w:rsid w:val="3C691E75"/>
    <w:rsid w:val="3C7118FB"/>
    <w:rsid w:val="3C810034"/>
    <w:rsid w:val="3C833FD8"/>
    <w:rsid w:val="3C853F86"/>
    <w:rsid w:val="3C8A3B33"/>
    <w:rsid w:val="3CA63F69"/>
    <w:rsid w:val="3CAD49F8"/>
    <w:rsid w:val="3CB95056"/>
    <w:rsid w:val="3CD04D6E"/>
    <w:rsid w:val="3CD148B3"/>
    <w:rsid w:val="3CD53BBB"/>
    <w:rsid w:val="3CDD0F70"/>
    <w:rsid w:val="3D0E2BAA"/>
    <w:rsid w:val="3D131BB1"/>
    <w:rsid w:val="3D1D6437"/>
    <w:rsid w:val="3D2A56A1"/>
    <w:rsid w:val="3D365D10"/>
    <w:rsid w:val="3D5E5D2E"/>
    <w:rsid w:val="3D672E3B"/>
    <w:rsid w:val="3D693907"/>
    <w:rsid w:val="3D7C27AB"/>
    <w:rsid w:val="3D800F53"/>
    <w:rsid w:val="3D8528C0"/>
    <w:rsid w:val="3D8C5E83"/>
    <w:rsid w:val="3D8F4394"/>
    <w:rsid w:val="3D9762C2"/>
    <w:rsid w:val="3DC26A8D"/>
    <w:rsid w:val="3DE4267B"/>
    <w:rsid w:val="3E152578"/>
    <w:rsid w:val="3E2048CB"/>
    <w:rsid w:val="3E2E3D0B"/>
    <w:rsid w:val="3E391515"/>
    <w:rsid w:val="3E6761DF"/>
    <w:rsid w:val="3E6C2999"/>
    <w:rsid w:val="3E6F0EF5"/>
    <w:rsid w:val="3E7C35FA"/>
    <w:rsid w:val="3E7C3ED3"/>
    <w:rsid w:val="3E80311C"/>
    <w:rsid w:val="3E8A4A43"/>
    <w:rsid w:val="3E8E44CD"/>
    <w:rsid w:val="3E963E2A"/>
    <w:rsid w:val="3EB335F2"/>
    <w:rsid w:val="3EC630F3"/>
    <w:rsid w:val="3ECF2820"/>
    <w:rsid w:val="3ED727E9"/>
    <w:rsid w:val="3EFE6E4D"/>
    <w:rsid w:val="3F3212FE"/>
    <w:rsid w:val="3F324502"/>
    <w:rsid w:val="3F3A6AF1"/>
    <w:rsid w:val="3F4615D0"/>
    <w:rsid w:val="3F544AD1"/>
    <w:rsid w:val="3F57449F"/>
    <w:rsid w:val="3F597C41"/>
    <w:rsid w:val="3F5B01B2"/>
    <w:rsid w:val="3F6425F7"/>
    <w:rsid w:val="3F82539F"/>
    <w:rsid w:val="3FAA006E"/>
    <w:rsid w:val="3FBE37A3"/>
    <w:rsid w:val="3FE86E3B"/>
    <w:rsid w:val="3FF30DB3"/>
    <w:rsid w:val="40150249"/>
    <w:rsid w:val="401B4DA2"/>
    <w:rsid w:val="40264BC7"/>
    <w:rsid w:val="4028650A"/>
    <w:rsid w:val="40303352"/>
    <w:rsid w:val="40347469"/>
    <w:rsid w:val="405D19EF"/>
    <w:rsid w:val="40726EEA"/>
    <w:rsid w:val="4076288B"/>
    <w:rsid w:val="408D2229"/>
    <w:rsid w:val="40B97CC1"/>
    <w:rsid w:val="40BC079D"/>
    <w:rsid w:val="40E56304"/>
    <w:rsid w:val="41020C66"/>
    <w:rsid w:val="410656E3"/>
    <w:rsid w:val="411714A5"/>
    <w:rsid w:val="413C4BF1"/>
    <w:rsid w:val="41586783"/>
    <w:rsid w:val="416B5F4A"/>
    <w:rsid w:val="4189780E"/>
    <w:rsid w:val="419E6510"/>
    <w:rsid w:val="41B677D3"/>
    <w:rsid w:val="41D94618"/>
    <w:rsid w:val="41DB0434"/>
    <w:rsid w:val="42042938"/>
    <w:rsid w:val="42084CF0"/>
    <w:rsid w:val="420A324B"/>
    <w:rsid w:val="42277A5A"/>
    <w:rsid w:val="423B32CC"/>
    <w:rsid w:val="42444B7C"/>
    <w:rsid w:val="42562789"/>
    <w:rsid w:val="42823836"/>
    <w:rsid w:val="42A45577"/>
    <w:rsid w:val="42A92F36"/>
    <w:rsid w:val="42C16DE9"/>
    <w:rsid w:val="42E10756"/>
    <w:rsid w:val="42E10DA1"/>
    <w:rsid w:val="42E258A7"/>
    <w:rsid w:val="42F725A6"/>
    <w:rsid w:val="43144731"/>
    <w:rsid w:val="43343CF5"/>
    <w:rsid w:val="4337149D"/>
    <w:rsid w:val="436001E0"/>
    <w:rsid w:val="43652179"/>
    <w:rsid w:val="4378284D"/>
    <w:rsid w:val="43837732"/>
    <w:rsid w:val="438D4F5D"/>
    <w:rsid w:val="439B685F"/>
    <w:rsid w:val="43AD3D23"/>
    <w:rsid w:val="43C34D88"/>
    <w:rsid w:val="43C40D27"/>
    <w:rsid w:val="43FB44E7"/>
    <w:rsid w:val="43FE07AC"/>
    <w:rsid w:val="44037930"/>
    <w:rsid w:val="44162536"/>
    <w:rsid w:val="44180AA7"/>
    <w:rsid w:val="44557510"/>
    <w:rsid w:val="445D0498"/>
    <w:rsid w:val="445E445E"/>
    <w:rsid w:val="4476772A"/>
    <w:rsid w:val="449675F3"/>
    <w:rsid w:val="44AB0AA4"/>
    <w:rsid w:val="44B57EEB"/>
    <w:rsid w:val="44BC01AA"/>
    <w:rsid w:val="451B5F65"/>
    <w:rsid w:val="45287E7A"/>
    <w:rsid w:val="452A08E1"/>
    <w:rsid w:val="4540276E"/>
    <w:rsid w:val="454916ED"/>
    <w:rsid w:val="455759C3"/>
    <w:rsid w:val="45951D70"/>
    <w:rsid w:val="459B7776"/>
    <w:rsid w:val="459F0ECF"/>
    <w:rsid w:val="45A7568D"/>
    <w:rsid w:val="45AB7FD7"/>
    <w:rsid w:val="45C64EBD"/>
    <w:rsid w:val="45C74602"/>
    <w:rsid w:val="45C80B1D"/>
    <w:rsid w:val="45CE1E6D"/>
    <w:rsid w:val="45F019B8"/>
    <w:rsid w:val="46126775"/>
    <w:rsid w:val="46297542"/>
    <w:rsid w:val="462C2599"/>
    <w:rsid w:val="464038AE"/>
    <w:rsid w:val="466040D8"/>
    <w:rsid w:val="46610754"/>
    <w:rsid w:val="46721D20"/>
    <w:rsid w:val="468B5C16"/>
    <w:rsid w:val="46A83790"/>
    <w:rsid w:val="46A9110A"/>
    <w:rsid w:val="46AA4DBE"/>
    <w:rsid w:val="46AA6E5B"/>
    <w:rsid w:val="46D144CE"/>
    <w:rsid w:val="46D40F87"/>
    <w:rsid w:val="46D97A5C"/>
    <w:rsid w:val="46F0618C"/>
    <w:rsid w:val="470078B7"/>
    <w:rsid w:val="47124B32"/>
    <w:rsid w:val="471F644F"/>
    <w:rsid w:val="472F2D9A"/>
    <w:rsid w:val="473E4F44"/>
    <w:rsid w:val="47402AE0"/>
    <w:rsid w:val="47425523"/>
    <w:rsid w:val="47446C7B"/>
    <w:rsid w:val="475D30EF"/>
    <w:rsid w:val="477247A5"/>
    <w:rsid w:val="47735BF7"/>
    <w:rsid w:val="477E6C54"/>
    <w:rsid w:val="478624CB"/>
    <w:rsid w:val="4795340B"/>
    <w:rsid w:val="47A17B65"/>
    <w:rsid w:val="47C277FF"/>
    <w:rsid w:val="47D039DE"/>
    <w:rsid w:val="47D75F45"/>
    <w:rsid w:val="47D837C1"/>
    <w:rsid w:val="47E32E37"/>
    <w:rsid w:val="47F0574C"/>
    <w:rsid w:val="48051A70"/>
    <w:rsid w:val="480A595E"/>
    <w:rsid w:val="48117754"/>
    <w:rsid w:val="48127F84"/>
    <w:rsid w:val="483705E7"/>
    <w:rsid w:val="484B7DD6"/>
    <w:rsid w:val="485F5F9C"/>
    <w:rsid w:val="48601AEA"/>
    <w:rsid w:val="48695189"/>
    <w:rsid w:val="488407FD"/>
    <w:rsid w:val="488A75F2"/>
    <w:rsid w:val="489E55F0"/>
    <w:rsid w:val="48A378DB"/>
    <w:rsid w:val="48B659D0"/>
    <w:rsid w:val="48C90A92"/>
    <w:rsid w:val="48D42184"/>
    <w:rsid w:val="48E577F1"/>
    <w:rsid w:val="48ED2D87"/>
    <w:rsid w:val="492178A7"/>
    <w:rsid w:val="492E13F5"/>
    <w:rsid w:val="49482E63"/>
    <w:rsid w:val="49484127"/>
    <w:rsid w:val="4960332A"/>
    <w:rsid w:val="49726145"/>
    <w:rsid w:val="497A5766"/>
    <w:rsid w:val="499C3D6C"/>
    <w:rsid w:val="49C57746"/>
    <w:rsid w:val="49C6456F"/>
    <w:rsid w:val="49E37617"/>
    <w:rsid w:val="49E6564B"/>
    <w:rsid w:val="49F3428E"/>
    <w:rsid w:val="4A166C9C"/>
    <w:rsid w:val="4A1F070F"/>
    <w:rsid w:val="4A22382F"/>
    <w:rsid w:val="4A227D95"/>
    <w:rsid w:val="4A2E6E81"/>
    <w:rsid w:val="4AA071E0"/>
    <w:rsid w:val="4AEF129C"/>
    <w:rsid w:val="4AF3690F"/>
    <w:rsid w:val="4AFB20EB"/>
    <w:rsid w:val="4B032626"/>
    <w:rsid w:val="4B0C4D47"/>
    <w:rsid w:val="4B2A28AB"/>
    <w:rsid w:val="4B2F482F"/>
    <w:rsid w:val="4B324B32"/>
    <w:rsid w:val="4B34166F"/>
    <w:rsid w:val="4B3A3436"/>
    <w:rsid w:val="4B48786A"/>
    <w:rsid w:val="4B514303"/>
    <w:rsid w:val="4B6E139E"/>
    <w:rsid w:val="4B766A14"/>
    <w:rsid w:val="4B787E78"/>
    <w:rsid w:val="4B9E2B13"/>
    <w:rsid w:val="4BC20A25"/>
    <w:rsid w:val="4BC368C5"/>
    <w:rsid w:val="4BCA408C"/>
    <w:rsid w:val="4BD900CA"/>
    <w:rsid w:val="4BFC6DA7"/>
    <w:rsid w:val="4C016EB6"/>
    <w:rsid w:val="4C147333"/>
    <w:rsid w:val="4C16252E"/>
    <w:rsid w:val="4C33200D"/>
    <w:rsid w:val="4C55781D"/>
    <w:rsid w:val="4C6770D6"/>
    <w:rsid w:val="4C6B24D1"/>
    <w:rsid w:val="4C6B540D"/>
    <w:rsid w:val="4C7E25B9"/>
    <w:rsid w:val="4C8E2D20"/>
    <w:rsid w:val="4C957022"/>
    <w:rsid w:val="4C99228A"/>
    <w:rsid w:val="4CB209AA"/>
    <w:rsid w:val="4CBC2742"/>
    <w:rsid w:val="4CCB7CDF"/>
    <w:rsid w:val="4CDD266E"/>
    <w:rsid w:val="4CF654D3"/>
    <w:rsid w:val="4CFB12A7"/>
    <w:rsid w:val="4D01375B"/>
    <w:rsid w:val="4D044616"/>
    <w:rsid w:val="4D154C1C"/>
    <w:rsid w:val="4D2759AE"/>
    <w:rsid w:val="4D313805"/>
    <w:rsid w:val="4D3260BD"/>
    <w:rsid w:val="4D7B6616"/>
    <w:rsid w:val="4D905098"/>
    <w:rsid w:val="4DC104D9"/>
    <w:rsid w:val="4DEA4DAF"/>
    <w:rsid w:val="4DF54180"/>
    <w:rsid w:val="4DF970DA"/>
    <w:rsid w:val="4E2B3137"/>
    <w:rsid w:val="4E3220B4"/>
    <w:rsid w:val="4E334955"/>
    <w:rsid w:val="4E543EDE"/>
    <w:rsid w:val="4E782245"/>
    <w:rsid w:val="4E7A0C57"/>
    <w:rsid w:val="4E7E000C"/>
    <w:rsid w:val="4EB365CB"/>
    <w:rsid w:val="4EBD6194"/>
    <w:rsid w:val="4EC66A16"/>
    <w:rsid w:val="4ECC1013"/>
    <w:rsid w:val="4ECF6CE9"/>
    <w:rsid w:val="4ED13E33"/>
    <w:rsid w:val="4ED77219"/>
    <w:rsid w:val="4EDA181A"/>
    <w:rsid w:val="4EE66A4A"/>
    <w:rsid w:val="4F206031"/>
    <w:rsid w:val="4F2D4219"/>
    <w:rsid w:val="4F3E13D1"/>
    <w:rsid w:val="4F664600"/>
    <w:rsid w:val="4F9701FD"/>
    <w:rsid w:val="4F9C5161"/>
    <w:rsid w:val="4FA05FBA"/>
    <w:rsid w:val="4FBB4189"/>
    <w:rsid w:val="4FC35BE5"/>
    <w:rsid w:val="4FC849C4"/>
    <w:rsid w:val="4FCE47A4"/>
    <w:rsid w:val="4FCF4190"/>
    <w:rsid w:val="4FDC5F7B"/>
    <w:rsid w:val="4FFD08FF"/>
    <w:rsid w:val="50022E4E"/>
    <w:rsid w:val="50146A7E"/>
    <w:rsid w:val="50160938"/>
    <w:rsid w:val="50257404"/>
    <w:rsid w:val="5045439F"/>
    <w:rsid w:val="506A5658"/>
    <w:rsid w:val="507B021A"/>
    <w:rsid w:val="50821559"/>
    <w:rsid w:val="50871FD5"/>
    <w:rsid w:val="50906188"/>
    <w:rsid w:val="50AD622E"/>
    <w:rsid w:val="50C71C88"/>
    <w:rsid w:val="50CC7698"/>
    <w:rsid w:val="50D21E9D"/>
    <w:rsid w:val="50EB73AD"/>
    <w:rsid w:val="50EB771D"/>
    <w:rsid w:val="50EE2F99"/>
    <w:rsid w:val="51081223"/>
    <w:rsid w:val="510D7AC7"/>
    <w:rsid w:val="51166053"/>
    <w:rsid w:val="51462E0F"/>
    <w:rsid w:val="51541D17"/>
    <w:rsid w:val="519B3113"/>
    <w:rsid w:val="51B054DF"/>
    <w:rsid w:val="51CE733D"/>
    <w:rsid w:val="51D30A11"/>
    <w:rsid w:val="51E32AE6"/>
    <w:rsid w:val="51F80F65"/>
    <w:rsid w:val="52081CE4"/>
    <w:rsid w:val="52156E91"/>
    <w:rsid w:val="52247D69"/>
    <w:rsid w:val="523C30E2"/>
    <w:rsid w:val="52693E02"/>
    <w:rsid w:val="526B24A7"/>
    <w:rsid w:val="52710618"/>
    <w:rsid w:val="52771364"/>
    <w:rsid w:val="52881C83"/>
    <w:rsid w:val="529A4B3F"/>
    <w:rsid w:val="530037FE"/>
    <w:rsid w:val="531A6CAA"/>
    <w:rsid w:val="532A40F7"/>
    <w:rsid w:val="532C7A5A"/>
    <w:rsid w:val="53373A5F"/>
    <w:rsid w:val="53471819"/>
    <w:rsid w:val="53885510"/>
    <w:rsid w:val="53897D17"/>
    <w:rsid w:val="538F2CF7"/>
    <w:rsid w:val="53944D78"/>
    <w:rsid w:val="539E5E5F"/>
    <w:rsid w:val="53DD01B1"/>
    <w:rsid w:val="53DE37A4"/>
    <w:rsid w:val="53E221BE"/>
    <w:rsid w:val="53F948E2"/>
    <w:rsid w:val="54061AB2"/>
    <w:rsid w:val="54181C1B"/>
    <w:rsid w:val="54356020"/>
    <w:rsid w:val="543C53A3"/>
    <w:rsid w:val="546B7C88"/>
    <w:rsid w:val="547646C3"/>
    <w:rsid w:val="547A3C50"/>
    <w:rsid w:val="54835D37"/>
    <w:rsid w:val="5483733F"/>
    <w:rsid w:val="5496196D"/>
    <w:rsid w:val="54962F9D"/>
    <w:rsid w:val="54A370AE"/>
    <w:rsid w:val="54B465AD"/>
    <w:rsid w:val="54DA7D88"/>
    <w:rsid w:val="54EB6872"/>
    <w:rsid w:val="54F44BF2"/>
    <w:rsid w:val="54FD4587"/>
    <w:rsid w:val="55052865"/>
    <w:rsid w:val="5510723F"/>
    <w:rsid w:val="551A68B6"/>
    <w:rsid w:val="551B0CA9"/>
    <w:rsid w:val="553C1836"/>
    <w:rsid w:val="554C0474"/>
    <w:rsid w:val="558753BF"/>
    <w:rsid w:val="55895E9F"/>
    <w:rsid w:val="558F3D5C"/>
    <w:rsid w:val="55A77ED1"/>
    <w:rsid w:val="55B459E7"/>
    <w:rsid w:val="55B57C59"/>
    <w:rsid w:val="55E30162"/>
    <w:rsid w:val="55F0247D"/>
    <w:rsid w:val="5602244A"/>
    <w:rsid w:val="560716E3"/>
    <w:rsid w:val="560D23E5"/>
    <w:rsid w:val="56151E75"/>
    <w:rsid w:val="563100DE"/>
    <w:rsid w:val="563C2D49"/>
    <w:rsid w:val="563C76CA"/>
    <w:rsid w:val="563F5F63"/>
    <w:rsid w:val="56542C55"/>
    <w:rsid w:val="56667F96"/>
    <w:rsid w:val="56676BC0"/>
    <w:rsid w:val="567A62A2"/>
    <w:rsid w:val="567B18D8"/>
    <w:rsid w:val="567C6900"/>
    <w:rsid w:val="568A2E18"/>
    <w:rsid w:val="56AE18F7"/>
    <w:rsid w:val="56B67838"/>
    <w:rsid w:val="56BA0BEF"/>
    <w:rsid w:val="56DD3F2A"/>
    <w:rsid w:val="56EF557D"/>
    <w:rsid w:val="570342C8"/>
    <w:rsid w:val="570C580E"/>
    <w:rsid w:val="570F59A0"/>
    <w:rsid w:val="573F62AF"/>
    <w:rsid w:val="575C44F9"/>
    <w:rsid w:val="57650999"/>
    <w:rsid w:val="5775075F"/>
    <w:rsid w:val="57870983"/>
    <w:rsid w:val="5787635B"/>
    <w:rsid w:val="57BE739F"/>
    <w:rsid w:val="57CB4C3F"/>
    <w:rsid w:val="58013C8B"/>
    <w:rsid w:val="581A003F"/>
    <w:rsid w:val="581D0C41"/>
    <w:rsid w:val="58294B2C"/>
    <w:rsid w:val="58443D1D"/>
    <w:rsid w:val="585B3695"/>
    <w:rsid w:val="5880011C"/>
    <w:rsid w:val="58841D77"/>
    <w:rsid w:val="58903570"/>
    <w:rsid w:val="58A02214"/>
    <w:rsid w:val="58D06745"/>
    <w:rsid w:val="58D364F3"/>
    <w:rsid w:val="58E10AF1"/>
    <w:rsid w:val="58EB52E9"/>
    <w:rsid w:val="58F8047A"/>
    <w:rsid w:val="58FE634E"/>
    <w:rsid w:val="59055D28"/>
    <w:rsid w:val="591A66F3"/>
    <w:rsid w:val="592407C5"/>
    <w:rsid w:val="593D3D07"/>
    <w:rsid w:val="59554635"/>
    <w:rsid w:val="59592DAD"/>
    <w:rsid w:val="595C6EFD"/>
    <w:rsid w:val="59615829"/>
    <w:rsid w:val="5962680F"/>
    <w:rsid w:val="596419E0"/>
    <w:rsid w:val="596D7642"/>
    <w:rsid w:val="59A67BF4"/>
    <w:rsid w:val="59AC4D8F"/>
    <w:rsid w:val="59B33E76"/>
    <w:rsid w:val="59B91AFA"/>
    <w:rsid w:val="59BB1ABC"/>
    <w:rsid w:val="59BF0EDD"/>
    <w:rsid w:val="59E0342E"/>
    <w:rsid w:val="59EE0DCE"/>
    <w:rsid w:val="59F45AE6"/>
    <w:rsid w:val="59FC32F6"/>
    <w:rsid w:val="5A1D55D9"/>
    <w:rsid w:val="5A1F4559"/>
    <w:rsid w:val="5A3068E8"/>
    <w:rsid w:val="5A5A3E2F"/>
    <w:rsid w:val="5A612EFF"/>
    <w:rsid w:val="5A9F148A"/>
    <w:rsid w:val="5AAA7FA5"/>
    <w:rsid w:val="5AC22362"/>
    <w:rsid w:val="5AD44E1E"/>
    <w:rsid w:val="5AEA638E"/>
    <w:rsid w:val="5AF45E8A"/>
    <w:rsid w:val="5B2306DF"/>
    <w:rsid w:val="5B2337A1"/>
    <w:rsid w:val="5B2E6672"/>
    <w:rsid w:val="5B4A02BB"/>
    <w:rsid w:val="5B4B02A9"/>
    <w:rsid w:val="5B6D67BC"/>
    <w:rsid w:val="5BA94D89"/>
    <w:rsid w:val="5BD95FEF"/>
    <w:rsid w:val="5BED75F3"/>
    <w:rsid w:val="5C036D46"/>
    <w:rsid w:val="5C3C2F01"/>
    <w:rsid w:val="5C491502"/>
    <w:rsid w:val="5C59330C"/>
    <w:rsid w:val="5C8A2D25"/>
    <w:rsid w:val="5CB87BB1"/>
    <w:rsid w:val="5CCE6479"/>
    <w:rsid w:val="5CE076B2"/>
    <w:rsid w:val="5CE77CD7"/>
    <w:rsid w:val="5CFB42CE"/>
    <w:rsid w:val="5D227166"/>
    <w:rsid w:val="5D2F24D4"/>
    <w:rsid w:val="5D3B388B"/>
    <w:rsid w:val="5D473BF2"/>
    <w:rsid w:val="5D5F49C6"/>
    <w:rsid w:val="5D7A78C2"/>
    <w:rsid w:val="5D8D483C"/>
    <w:rsid w:val="5D8F589B"/>
    <w:rsid w:val="5D967F46"/>
    <w:rsid w:val="5DAA542E"/>
    <w:rsid w:val="5DAE0C79"/>
    <w:rsid w:val="5DB17EB8"/>
    <w:rsid w:val="5DC92422"/>
    <w:rsid w:val="5DD221B0"/>
    <w:rsid w:val="5DE004B7"/>
    <w:rsid w:val="5DFA2931"/>
    <w:rsid w:val="5E0F0DCC"/>
    <w:rsid w:val="5E17145F"/>
    <w:rsid w:val="5E200EA1"/>
    <w:rsid w:val="5E6B15C4"/>
    <w:rsid w:val="5E6E3C07"/>
    <w:rsid w:val="5E7260F1"/>
    <w:rsid w:val="5E753A9F"/>
    <w:rsid w:val="5E9F3234"/>
    <w:rsid w:val="5EA71314"/>
    <w:rsid w:val="5EB06285"/>
    <w:rsid w:val="5ECF1CBD"/>
    <w:rsid w:val="5EE305D2"/>
    <w:rsid w:val="5EEF0FBF"/>
    <w:rsid w:val="5F0472D4"/>
    <w:rsid w:val="5F055A94"/>
    <w:rsid w:val="5F057F75"/>
    <w:rsid w:val="5F1168EB"/>
    <w:rsid w:val="5F320CD8"/>
    <w:rsid w:val="5F331E61"/>
    <w:rsid w:val="5F3547EC"/>
    <w:rsid w:val="5F3C38D7"/>
    <w:rsid w:val="5F426937"/>
    <w:rsid w:val="5F427A17"/>
    <w:rsid w:val="5F6F4130"/>
    <w:rsid w:val="5F951D3B"/>
    <w:rsid w:val="5F9F2E99"/>
    <w:rsid w:val="5FBD7FE3"/>
    <w:rsid w:val="5FD5737C"/>
    <w:rsid w:val="5FDA7BDF"/>
    <w:rsid w:val="5FE31C28"/>
    <w:rsid w:val="60073D7F"/>
    <w:rsid w:val="6020238A"/>
    <w:rsid w:val="60252C60"/>
    <w:rsid w:val="603937D2"/>
    <w:rsid w:val="604E5410"/>
    <w:rsid w:val="605D126B"/>
    <w:rsid w:val="60751DD5"/>
    <w:rsid w:val="608B5B53"/>
    <w:rsid w:val="608E6004"/>
    <w:rsid w:val="609F0AC6"/>
    <w:rsid w:val="60A17807"/>
    <w:rsid w:val="60A621CC"/>
    <w:rsid w:val="60B33829"/>
    <w:rsid w:val="60C16366"/>
    <w:rsid w:val="60C63D81"/>
    <w:rsid w:val="60D55303"/>
    <w:rsid w:val="60E808EF"/>
    <w:rsid w:val="611C1DE5"/>
    <w:rsid w:val="612C1166"/>
    <w:rsid w:val="614A1628"/>
    <w:rsid w:val="61725CAA"/>
    <w:rsid w:val="61862EA8"/>
    <w:rsid w:val="618F10DB"/>
    <w:rsid w:val="618F603C"/>
    <w:rsid w:val="61C033E1"/>
    <w:rsid w:val="61C3289A"/>
    <w:rsid w:val="61CB4BBB"/>
    <w:rsid w:val="61CE73CF"/>
    <w:rsid w:val="61CF1D83"/>
    <w:rsid w:val="61D1009D"/>
    <w:rsid w:val="61F347A3"/>
    <w:rsid w:val="61F635ED"/>
    <w:rsid w:val="61FE6750"/>
    <w:rsid w:val="6212378C"/>
    <w:rsid w:val="62186EB3"/>
    <w:rsid w:val="621E038F"/>
    <w:rsid w:val="62511DC0"/>
    <w:rsid w:val="625925A7"/>
    <w:rsid w:val="6282379E"/>
    <w:rsid w:val="62C43493"/>
    <w:rsid w:val="62EA5EFB"/>
    <w:rsid w:val="62F76054"/>
    <w:rsid w:val="62FD2DAD"/>
    <w:rsid w:val="630228A7"/>
    <w:rsid w:val="63196A49"/>
    <w:rsid w:val="63342C42"/>
    <w:rsid w:val="63442AB9"/>
    <w:rsid w:val="635471A2"/>
    <w:rsid w:val="636C1A4D"/>
    <w:rsid w:val="63927B20"/>
    <w:rsid w:val="63A47912"/>
    <w:rsid w:val="63AE6658"/>
    <w:rsid w:val="63BD22FD"/>
    <w:rsid w:val="63DB3DD3"/>
    <w:rsid w:val="63DD0B60"/>
    <w:rsid w:val="63E558D6"/>
    <w:rsid w:val="641C25E3"/>
    <w:rsid w:val="643A40E5"/>
    <w:rsid w:val="646F695C"/>
    <w:rsid w:val="647D650C"/>
    <w:rsid w:val="64AE5B19"/>
    <w:rsid w:val="64AF4F45"/>
    <w:rsid w:val="64C00152"/>
    <w:rsid w:val="64D30ED3"/>
    <w:rsid w:val="64D65895"/>
    <w:rsid w:val="64FD1176"/>
    <w:rsid w:val="65176EAC"/>
    <w:rsid w:val="652414A9"/>
    <w:rsid w:val="65452A0E"/>
    <w:rsid w:val="65494C05"/>
    <w:rsid w:val="654B6138"/>
    <w:rsid w:val="65561592"/>
    <w:rsid w:val="65575E3E"/>
    <w:rsid w:val="6560265C"/>
    <w:rsid w:val="6564368A"/>
    <w:rsid w:val="656D1BBF"/>
    <w:rsid w:val="65A14FB6"/>
    <w:rsid w:val="65AE0EEA"/>
    <w:rsid w:val="65D138F6"/>
    <w:rsid w:val="65D22DB0"/>
    <w:rsid w:val="65DD6F52"/>
    <w:rsid w:val="65DE534E"/>
    <w:rsid w:val="66027905"/>
    <w:rsid w:val="66063B69"/>
    <w:rsid w:val="660F4767"/>
    <w:rsid w:val="663142FB"/>
    <w:rsid w:val="6659469B"/>
    <w:rsid w:val="66702B00"/>
    <w:rsid w:val="669F2025"/>
    <w:rsid w:val="66BE087B"/>
    <w:rsid w:val="66D80EFF"/>
    <w:rsid w:val="66DD1C40"/>
    <w:rsid w:val="66E51224"/>
    <w:rsid w:val="66F22B64"/>
    <w:rsid w:val="66FC0D26"/>
    <w:rsid w:val="67065930"/>
    <w:rsid w:val="67302849"/>
    <w:rsid w:val="67487FEE"/>
    <w:rsid w:val="674A3097"/>
    <w:rsid w:val="679D589F"/>
    <w:rsid w:val="67A85927"/>
    <w:rsid w:val="67C45443"/>
    <w:rsid w:val="67C51FBB"/>
    <w:rsid w:val="67CB7B83"/>
    <w:rsid w:val="67CD35A4"/>
    <w:rsid w:val="67DE3E2A"/>
    <w:rsid w:val="67FA6F5D"/>
    <w:rsid w:val="68070B11"/>
    <w:rsid w:val="683177A0"/>
    <w:rsid w:val="68403112"/>
    <w:rsid w:val="685B1FEC"/>
    <w:rsid w:val="68627CE1"/>
    <w:rsid w:val="688C551C"/>
    <w:rsid w:val="68946ECF"/>
    <w:rsid w:val="68AF38DB"/>
    <w:rsid w:val="68B52AD8"/>
    <w:rsid w:val="68C55C32"/>
    <w:rsid w:val="68D6369A"/>
    <w:rsid w:val="68F51516"/>
    <w:rsid w:val="68F7561A"/>
    <w:rsid w:val="6927742A"/>
    <w:rsid w:val="6929226A"/>
    <w:rsid w:val="69297194"/>
    <w:rsid w:val="692D2E1E"/>
    <w:rsid w:val="69471726"/>
    <w:rsid w:val="6948140F"/>
    <w:rsid w:val="694A0DC9"/>
    <w:rsid w:val="69502C69"/>
    <w:rsid w:val="6959289B"/>
    <w:rsid w:val="69615FA8"/>
    <w:rsid w:val="69717300"/>
    <w:rsid w:val="69A65C1E"/>
    <w:rsid w:val="69CC4291"/>
    <w:rsid w:val="69D4450D"/>
    <w:rsid w:val="6A1C2CB8"/>
    <w:rsid w:val="6A2103D2"/>
    <w:rsid w:val="6A264724"/>
    <w:rsid w:val="6A48030B"/>
    <w:rsid w:val="6A572CD8"/>
    <w:rsid w:val="6A7C4FFF"/>
    <w:rsid w:val="6A7C57AC"/>
    <w:rsid w:val="6A877E7E"/>
    <w:rsid w:val="6A9A1611"/>
    <w:rsid w:val="6AA32FA4"/>
    <w:rsid w:val="6AB90253"/>
    <w:rsid w:val="6AEF76FF"/>
    <w:rsid w:val="6AFB288A"/>
    <w:rsid w:val="6AFD32EC"/>
    <w:rsid w:val="6B040A67"/>
    <w:rsid w:val="6B324FC8"/>
    <w:rsid w:val="6B666C0A"/>
    <w:rsid w:val="6B6D1EA6"/>
    <w:rsid w:val="6B7279BF"/>
    <w:rsid w:val="6B771BCD"/>
    <w:rsid w:val="6B9D0957"/>
    <w:rsid w:val="6BB8796A"/>
    <w:rsid w:val="6BC41099"/>
    <w:rsid w:val="6BD92816"/>
    <w:rsid w:val="6C11046E"/>
    <w:rsid w:val="6C122B61"/>
    <w:rsid w:val="6C137E38"/>
    <w:rsid w:val="6C182443"/>
    <w:rsid w:val="6C516C46"/>
    <w:rsid w:val="6C571613"/>
    <w:rsid w:val="6C597E47"/>
    <w:rsid w:val="6C8B5425"/>
    <w:rsid w:val="6C995AA0"/>
    <w:rsid w:val="6C9F5F69"/>
    <w:rsid w:val="6CBD62C8"/>
    <w:rsid w:val="6CC641C7"/>
    <w:rsid w:val="6CF03044"/>
    <w:rsid w:val="6CF429DA"/>
    <w:rsid w:val="6CF76732"/>
    <w:rsid w:val="6D256CE5"/>
    <w:rsid w:val="6D314B13"/>
    <w:rsid w:val="6D3C698D"/>
    <w:rsid w:val="6D446495"/>
    <w:rsid w:val="6D447CCF"/>
    <w:rsid w:val="6D4E36D9"/>
    <w:rsid w:val="6D4E3ED1"/>
    <w:rsid w:val="6D5508B5"/>
    <w:rsid w:val="6D6E4026"/>
    <w:rsid w:val="6D733471"/>
    <w:rsid w:val="6D776B2D"/>
    <w:rsid w:val="6D7829C2"/>
    <w:rsid w:val="6D890105"/>
    <w:rsid w:val="6D9556DE"/>
    <w:rsid w:val="6D9D2106"/>
    <w:rsid w:val="6DAE3608"/>
    <w:rsid w:val="6DB15657"/>
    <w:rsid w:val="6DC35CC7"/>
    <w:rsid w:val="6DD06C2C"/>
    <w:rsid w:val="6DDE68FC"/>
    <w:rsid w:val="6DE36490"/>
    <w:rsid w:val="6DEA42DB"/>
    <w:rsid w:val="6DF130DE"/>
    <w:rsid w:val="6E014ECF"/>
    <w:rsid w:val="6E085C85"/>
    <w:rsid w:val="6E0D57EB"/>
    <w:rsid w:val="6E1234F8"/>
    <w:rsid w:val="6E1F2F0D"/>
    <w:rsid w:val="6E1F7F5D"/>
    <w:rsid w:val="6E3F0F15"/>
    <w:rsid w:val="6E4A1875"/>
    <w:rsid w:val="6E4F6F75"/>
    <w:rsid w:val="6E5E2538"/>
    <w:rsid w:val="6E6D74EA"/>
    <w:rsid w:val="6E83241D"/>
    <w:rsid w:val="6E9D014C"/>
    <w:rsid w:val="6EBF37B6"/>
    <w:rsid w:val="6EC1698D"/>
    <w:rsid w:val="6ECA0D08"/>
    <w:rsid w:val="6ED77D1F"/>
    <w:rsid w:val="6EE4048A"/>
    <w:rsid w:val="6EE54A9D"/>
    <w:rsid w:val="6EE72224"/>
    <w:rsid w:val="6EEC6E8B"/>
    <w:rsid w:val="6F09683C"/>
    <w:rsid w:val="6F0D2433"/>
    <w:rsid w:val="6F2179FC"/>
    <w:rsid w:val="6F264887"/>
    <w:rsid w:val="6F3744F5"/>
    <w:rsid w:val="6F41110A"/>
    <w:rsid w:val="6F486AC4"/>
    <w:rsid w:val="6F4E10C0"/>
    <w:rsid w:val="6F676895"/>
    <w:rsid w:val="6F73700F"/>
    <w:rsid w:val="6F786A6E"/>
    <w:rsid w:val="6F8B611D"/>
    <w:rsid w:val="6F9333D3"/>
    <w:rsid w:val="6F9B0558"/>
    <w:rsid w:val="6FA64869"/>
    <w:rsid w:val="6FB75BDC"/>
    <w:rsid w:val="6FBD711B"/>
    <w:rsid w:val="6FD4531D"/>
    <w:rsid w:val="6FF53702"/>
    <w:rsid w:val="6FFF3BC7"/>
    <w:rsid w:val="703D5B5A"/>
    <w:rsid w:val="70414001"/>
    <w:rsid w:val="70460ADA"/>
    <w:rsid w:val="704717B3"/>
    <w:rsid w:val="70481627"/>
    <w:rsid w:val="7055245D"/>
    <w:rsid w:val="705D171A"/>
    <w:rsid w:val="707726E7"/>
    <w:rsid w:val="70811C94"/>
    <w:rsid w:val="708466F0"/>
    <w:rsid w:val="7087795C"/>
    <w:rsid w:val="708911A7"/>
    <w:rsid w:val="70915067"/>
    <w:rsid w:val="70EE2B81"/>
    <w:rsid w:val="70F4356A"/>
    <w:rsid w:val="710862F2"/>
    <w:rsid w:val="71092D7C"/>
    <w:rsid w:val="7115067C"/>
    <w:rsid w:val="713F06C9"/>
    <w:rsid w:val="714A21F0"/>
    <w:rsid w:val="715A6B72"/>
    <w:rsid w:val="71694D39"/>
    <w:rsid w:val="7173239A"/>
    <w:rsid w:val="717438CC"/>
    <w:rsid w:val="718B0227"/>
    <w:rsid w:val="719C352E"/>
    <w:rsid w:val="71B06415"/>
    <w:rsid w:val="71B66577"/>
    <w:rsid w:val="71BA64E0"/>
    <w:rsid w:val="71CE4CDF"/>
    <w:rsid w:val="71DD7AC1"/>
    <w:rsid w:val="71DE4BE7"/>
    <w:rsid w:val="71EE6D0E"/>
    <w:rsid w:val="72057C25"/>
    <w:rsid w:val="724273BD"/>
    <w:rsid w:val="72482E67"/>
    <w:rsid w:val="724D4370"/>
    <w:rsid w:val="724E7222"/>
    <w:rsid w:val="725B4627"/>
    <w:rsid w:val="72857A93"/>
    <w:rsid w:val="72AC6E8E"/>
    <w:rsid w:val="72CE184E"/>
    <w:rsid w:val="73013BE2"/>
    <w:rsid w:val="731745F4"/>
    <w:rsid w:val="73530BDB"/>
    <w:rsid w:val="736509E9"/>
    <w:rsid w:val="738329F2"/>
    <w:rsid w:val="738A6FAA"/>
    <w:rsid w:val="73B00843"/>
    <w:rsid w:val="73B11651"/>
    <w:rsid w:val="73B11F4A"/>
    <w:rsid w:val="73E959DC"/>
    <w:rsid w:val="73EB2CD5"/>
    <w:rsid w:val="73ED294A"/>
    <w:rsid w:val="74127332"/>
    <w:rsid w:val="74155398"/>
    <w:rsid w:val="74340D83"/>
    <w:rsid w:val="74411FBA"/>
    <w:rsid w:val="744659DA"/>
    <w:rsid w:val="744F2581"/>
    <w:rsid w:val="7464481A"/>
    <w:rsid w:val="74847E20"/>
    <w:rsid w:val="749625B6"/>
    <w:rsid w:val="7496477C"/>
    <w:rsid w:val="749E4086"/>
    <w:rsid w:val="74AF0FBE"/>
    <w:rsid w:val="74D07F1D"/>
    <w:rsid w:val="74D256BF"/>
    <w:rsid w:val="74DB1046"/>
    <w:rsid w:val="74EF1477"/>
    <w:rsid w:val="751C57C7"/>
    <w:rsid w:val="754D6ACB"/>
    <w:rsid w:val="755B1F13"/>
    <w:rsid w:val="75686A05"/>
    <w:rsid w:val="756A0106"/>
    <w:rsid w:val="756F613A"/>
    <w:rsid w:val="75771196"/>
    <w:rsid w:val="757716C5"/>
    <w:rsid w:val="758150B2"/>
    <w:rsid w:val="75950BB2"/>
    <w:rsid w:val="75A51295"/>
    <w:rsid w:val="75AA4318"/>
    <w:rsid w:val="75C558C4"/>
    <w:rsid w:val="75D35FFC"/>
    <w:rsid w:val="75E500F6"/>
    <w:rsid w:val="75EB44DA"/>
    <w:rsid w:val="75F41AC3"/>
    <w:rsid w:val="76022B25"/>
    <w:rsid w:val="76073B99"/>
    <w:rsid w:val="7612752F"/>
    <w:rsid w:val="761B7761"/>
    <w:rsid w:val="761E08DC"/>
    <w:rsid w:val="761E3F39"/>
    <w:rsid w:val="76344BD2"/>
    <w:rsid w:val="763D15B3"/>
    <w:rsid w:val="76677FE2"/>
    <w:rsid w:val="769C36F4"/>
    <w:rsid w:val="769F4A87"/>
    <w:rsid w:val="76A91A9E"/>
    <w:rsid w:val="76B35803"/>
    <w:rsid w:val="76EB0137"/>
    <w:rsid w:val="76F81E10"/>
    <w:rsid w:val="77077B94"/>
    <w:rsid w:val="772A3386"/>
    <w:rsid w:val="772B5FB9"/>
    <w:rsid w:val="774602C5"/>
    <w:rsid w:val="77492C6F"/>
    <w:rsid w:val="77593939"/>
    <w:rsid w:val="775D7EFB"/>
    <w:rsid w:val="776B3072"/>
    <w:rsid w:val="777D2423"/>
    <w:rsid w:val="779E2E46"/>
    <w:rsid w:val="77AD4205"/>
    <w:rsid w:val="77B560D0"/>
    <w:rsid w:val="77BB21A1"/>
    <w:rsid w:val="77CE37C1"/>
    <w:rsid w:val="77F8252E"/>
    <w:rsid w:val="78101BE2"/>
    <w:rsid w:val="782232B8"/>
    <w:rsid w:val="78261F5B"/>
    <w:rsid w:val="78270EEA"/>
    <w:rsid w:val="78295E36"/>
    <w:rsid w:val="783F00B3"/>
    <w:rsid w:val="785C51A8"/>
    <w:rsid w:val="78CE242C"/>
    <w:rsid w:val="78CF5661"/>
    <w:rsid w:val="78F865DA"/>
    <w:rsid w:val="78F90630"/>
    <w:rsid w:val="793D1D99"/>
    <w:rsid w:val="794C52AE"/>
    <w:rsid w:val="79533079"/>
    <w:rsid w:val="795776F5"/>
    <w:rsid w:val="795953FE"/>
    <w:rsid w:val="795B7BCC"/>
    <w:rsid w:val="795F2F02"/>
    <w:rsid w:val="796C2E98"/>
    <w:rsid w:val="797E7E09"/>
    <w:rsid w:val="79895379"/>
    <w:rsid w:val="79A639B4"/>
    <w:rsid w:val="79A92C15"/>
    <w:rsid w:val="79AB6ADA"/>
    <w:rsid w:val="79B71B8E"/>
    <w:rsid w:val="79CB1DB1"/>
    <w:rsid w:val="79D04F71"/>
    <w:rsid w:val="79DE4C28"/>
    <w:rsid w:val="79F74D71"/>
    <w:rsid w:val="7A14783B"/>
    <w:rsid w:val="7A2E0E77"/>
    <w:rsid w:val="7A446EB2"/>
    <w:rsid w:val="7A491616"/>
    <w:rsid w:val="7A5C5D7E"/>
    <w:rsid w:val="7A632A31"/>
    <w:rsid w:val="7A6C2EB7"/>
    <w:rsid w:val="7A707EE6"/>
    <w:rsid w:val="7AAD7BE1"/>
    <w:rsid w:val="7ABD005F"/>
    <w:rsid w:val="7AC347B4"/>
    <w:rsid w:val="7AE56D02"/>
    <w:rsid w:val="7AEF0EBE"/>
    <w:rsid w:val="7B102156"/>
    <w:rsid w:val="7B135F80"/>
    <w:rsid w:val="7B1E2FC3"/>
    <w:rsid w:val="7B43777F"/>
    <w:rsid w:val="7B567928"/>
    <w:rsid w:val="7B75326E"/>
    <w:rsid w:val="7B8B1186"/>
    <w:rsid w:val="7BC12266"/>
    <w:rsid w:val="7BC93315"/>
    <w:rsid w:val="7BE5688D"/>
    <w:rsid w:val="7BF465B5"/>
    <w:rsid w:val="7BFA276E"/>
    <w:rsid w:val="7C013133"/>
    <w:rsid w:val="7C05631F"/>
    <w:rsid w:val="7C0A2D99"/>
    <w:rsid w:val="7C371B9F"/>
    <w:rsid w:val="7C44775F"/>
    <w:rsid w:val="7C490896"/>
    <w:rsid w:val="7C4C16FD"/>
    <w:rsid w:val="7C4D5ACE"/>
    <w:rsid w:val="7C4F26B1"/>
    <w:rsid w:val="7C5F5B3B"/>
    <w:rsid w:val="7C6C0B36"/>
    <w:rsid w:val="7C7D6AA7"/>
    <w:rsid w:val="7C836C9C"/>
    <w:rsid w:val="7C864016"/>
    <w:rsid w:val="7C956F6D"/>
    <w:rsid w:val="7CBE6215"/>
    <w:rsid w:val="7CD4115F"/>
    <w:rsid w:val="7CD72B32"/>
    <w:rsid w:val="7CE07600"/>
    <w:rsid w:val="7CE123B7"/>
    <w:rsid w:val="7CE63DA7"/>
    <w:rsid w:val="7CE647CD"/>
    <w:rsid w:val="7CE95E80"/>
    <w:rsid w:val="7CEF7C79"/>
    <w:rsid w:val="7CF70F40"/>
    <w:rsid w:val="7CF713CB"/>
    <w:rsid w:val="7D0A5225"/>
    <w:rsid w:val="7D0F0525"/>
    <w:rsid w:val="7D354C44"/>
    <w:rsid w:val="7D35514A"/>
    <w:rsid w:val="7D3E611A"/>
    <w:rsid w:val="7D3F1E2D"/>
    <w:rsid w:val="7D493E2C"/>
    <w:rsid w:val="7D613BAD"/>
    <w:rsid w:val="7D6A2AE4"/>
    <w:rsid w:val="7D6B4EEA"/>
    <w:rsid w:val="7D6C6925"/>
    <w:rsid w:val="7D767B1C"/>
    <w:rsid w:val="7D7716EB"/>
    <w:rsid w:val="7DAD7A59"/>
    <w:rsid w:val="7DDB31CA"/>
    <w:rsid w:val="7DE70D03"/>
    <w:rsid w:val="7DFF7583"/>
    <w:rsid w:val="7E040831"/>
    <w:rsid w:val="7E43558F"/>
    <w:rsid w:val="7E4E7D1B"/>
    <w:rsid w:val="7E6059F8"/>
    <w:rsid w:val="7E7D55E7"/>
    <w:rsid w:val="7E7E2B96"/>
    <w:rsid w:val="7ECE3B9E"/>
    <w:rsid w:val="7ED62B28"/>
    <w:rsid w:val="7EE06CB2"/>
    <w:rsid w:val="7EE47130"/>
    <w:rsid w:val="7F2A754D"/>
    <w:rsid w:val="7F376CD9"/>
    <w:rsid w:val="7F4515CE"/>
    <w:rsid w:val="7F4F4A30"/>
    <w:rsid w:val="7F575927"/>
    <w:rsid w:val="7F880FCC"/>
    <w:rsid w:val="7F8D165A"/>
    <w:rsid w:val="7F8D7045"/>
    <w:rsid w:val="7F9B63F0"/>
    <w:rsid w:val="7FA67BA6"/>
    <w:rsid w:val="7FCF5CB5"/>
    <w:rsid w:val="7FCF716C"/>
    <w:rsid w:val="7FD4759A"/>
    <w:rsid w:val="7FD526F8"/>
    <w:rsid w:val="7FDC092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lsdException w:name="annotation text" w:semiHidden="0"/>
    <w:lsdException w:name="header" w:semiHidden="0" w:uiPriority="0" w:unhideWhenUsed="0"/>
    <w:lsdException w:name="footer" w:semiHidden="0" w:unhideWhenUsed="0"/>
    <w:lsdException w:name="caption" w:uiPriority="35" w:qFormat="1"/>
    <w:lsdException w:name="annotation reference" w:semiHidden="0"/>
    <w:lsdException w:name="page number" w:semiHidden="0" w:uiPriority="0" w:unhideWhenUsed="0"/>
    <w:lsdException w:name="Title" w:semiHidden="0" w:uiPriority="0" w:unhideWhenUsed="0" w:qFormat="1"/>
    <w:lsdException w:name="Default Paragraph Font" w:semiHidden="0" w:uiPriority="0" w:unhideWhenUsed="0"/>
    <w:lsdException w:name="Body Text" w:semiHidden="0"/>
    <w:lsdException w:name="Body Text Indent" w:semiHidden="0"/>
    <w:lsdException w:name="Subtitle" w:semiHidden="0" w:uiPriority="11" w:unhideWhenUsed="0" w:qFormat="1"/>
    <w:lsdException w:name="Date" w:semiHidden="0"/>
    <w:lsdException w:name="Hyperlink" w:semiHidden="0" w:unhideWhenUsed="0"/>
    <w:lsdException w:name="Followed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lsdException w:name="Normal Table" w:semiHidden="0"/>
    <w:lsdException w:name="Balloo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kern w:val="2"/>
      <w:sz w:val="21"/>
      <w:lang w:val="en-US" w:eastAsia="zh-CN" w:bidi="ar-SA"/>
    </w:rPr>
  </w:style>
  <w:style w:type="paragraph" w:styleId="Heading3">
    <w:name w:val="heading 3"/>
    <w:basedOn w:val="Normal"/>
    <w:next w:val="Normal"/>
    <w:link w:val="3Char"/>
    <w:qFormat/>
    <w:pPr>
      <w:keepNext/>
      <w:keepLines/>
      <w:spacing w:before="260" w:beforeLines="0" w:after="260" w:afterLines="0" w:line="415" w:lineRule="auto"/>
      <w:outlineLvl w:val="2"/>
    </w:pPr>
    <w:rPr>
      <w:b/>
      <w:bCs/>
      <w:kern w:val="0"/>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tab2">
    <w:name w:val="tab2"/>
    <w:basedOn w:val="DefaultParagraphFont"/>
    <w:rPr>
      <w:color w:val="333366"/>
    </w:rPr>
  </w:style>
  <w:style w:type="character" w:customStyle="1" w:styleId="Char">
    <w:name w:val="页脚 Char"/>
    <w:link w:val="Footer"/>
    <w:uiPriority w:val="99"/>
    <w:rPr>
      <w:rFonts w:ascii="Times New Roman" w:eastAsia="宋体" w:hAnsi="Times New Roman" w:cs="Times New Roman"/>
      <w:sz w:val="18"/>
      <w:szCs w:val="18"/>
    </w:rPr>
  </w:style>
  <w:style w:type="character" w:customStyle="1" w:styleId="213pt">
    <w:name w:val="正文文本 (2) + 13 pt"/>
    <w:rPr>
      <w:rFonts w:ascii="MingLiU" w:eastAsia="MingLiU" w:hAnsi="MingLiU" w:cs="MingLiU" w:hint="eastAsia"/>
      <w:color w:val="000000"/>
      <w:spacing w:val="0"/>
      <w:w w:val="100"/>
      <w:position w:val="0"/>
      <w:sz w:val="26"/>
      <w:szCs w:val="26"/>
      <w:shd w:val="clear" w:color="auto" w:fill="FFFFFF"/>
    </w:rPr>
  </w:style>
  <w:style w:type="character" w:customStyle="1" w:styleId="125pt">
    <w:name w:val="正文文本 + 12.5 pt"/>
    <w:rPr>
      <w:rFonts w:ascii="MingLiU" w:eastAsia="MingLiU" w:hAnsi="MingLiU" w:cs="MingLiU" w:hint="eastAsia"/>
      <w:color w:val="000000"/>
      <w:spacing w:val="0"/>
      <w:w w:val="100"/>
      <w:position w:val="0"/>
      <w:sz w:val="25"/>
      <w:szCs w:val="25"/>
      <w:shd w:val="clear" w:color="auto" w:fill="FFFFFF"/>
    </w:rPr>
  </w:style>
  <w:style w:type="character" w:customStyle="1" w:styleId="newscontent1">
    <w:name w:val="news_content1"/>
    <w:rPr>
      <w:color w:val="3E3E3E"/>
      <w:sz w:val="21"/>
      <w:szCs w:val="21"/>
      <w:u w:val="none"/>
    </w:rPr>
  </w:style>
  <w:style w:type="character" w:styleId="PageNumber">
    <w:name w:val="page number"/>
    <w:basedOn w:val="DefaultParagraphFont"/>
  </w:style>
  <w:style w:type="character" w:customStyle="1" w:styleId="active">
    <w:name w:val="active"/>
    <w:basedOn w:val="DefaultParagraphFont"/>
    <w:rPr>
      <w:color w:val="FFFFFF"/>
    </w:rPr>
  </w:style>
  <w:style w:type="character" w:customStyle="1" w:styleId="apple-converted-space">
    <w:name w:val="apple-converted-space"/>
    <w:basedOn w:val="DefaultParagraphFont"/>
  </w:style>
  <w:style w:type="character" w:customStyle="1" w:styleId="hilite6">
    <w:name w:val="hilite6"/>
    <w:basedOn w:val="DefaultParagraphFont"/>
    <w:rPr>
      <w:color w:val="000000"/>
    </w:rPr>
  </w:style>
  <w:style w:type="character" w:customStyle="1" w:styleId="2">
    <w:name w:val="正文文本 (2)_"/>
    <w:basedOn w:val="DefaultParagraphFont"/>
    <w:link w:val="21"/>
    <w:qFormat/>
    <w:rPr>
      <w:rFonts w:ascii="Lucida Sans Unicode" w:eastAsia="Lucida Sans Unicode" w:hAnsi="Lucida Sans Unicode" w:cs="Lucida Sans Unicode" w:hint="default"/>
      <w:color w:val="auto"/>
      <w:spacing w:val="-10"/>
      <w:kern w:val="0"/>
      <w:sz w:val="26"/>
      <w:szCs w:val="26"/>
      <w:lang w:val="en-US" w:eastAsia="zh-CN" w:bidi="ar"/>
    </w:rPr>
  </w:style>
  <w:style w:type="character" w:customStyle="1" w:styleId="Char0">
    <w:name w:val="日期 Char"/>
    <w:link w:val="Date"/>
    <w:uiPriority w:val="99"/>
    <w:semiHidden/>
    <w:rPr>
      <w:rFonts w:ascii="Times New Roman" w:hAnsi="Times New Roman"/>
      <w:kern w:val="2"/>
      <w:sz w:val="21"/>
    </w:rPr>
  </w:style>
  <w:style w:type="character" w:styleId="FollowedHyperlink">
    <w:name w:val="FollowedHyperlink"/>
    <w:basedOn w:val="DefaultParagraphFont"/>
    <w:uiPriority w:val="99"/>
    <w:unhideWhenUsed/>
    <w:rPr>
      <w:rFonts w:ascii="宋体" w:eastAsia="宋体" w:hAnsi="宋体" w:cs="宋体" w:hint="eastAsia"/>
      <w:color w:val="0031C1"/>
      <w:sz w:val="18"/>
      <w:szCs w:val="18"/>
      <w:u w:val="none"/>
    </w:rPr>
  </w:style>
  <w:style w:type="character" w:customStyle="1" w:styleId="tab1">
    <w:name w:val="tab1"/>
    <w:basedOn w:val="DefaultParagraphFont"/>
  </w:style>
  <w:style w:type="character" w:customStyle="1" w:styleId="3Char">
    <w:name w:val="标题 3 Char"/>
    <w:link w:val="Heading3"/>
    <w:rPr>
      <w:rFonts w:ascii="Times New Roman" w:eastAsia="宋体" w:hAnsi="Times New Roman" w:cs="Times New Roman"/>
      <w:b/>
      <w:bCs/>
      <w:sz w:val="32"/>
      <w:szCs w:val="32"/>
    </w:rPr>
  </w:style>
  <w:style w:type="character" w:customStyle="1" w:styleId="Char1">
    <w:name w:val="文档结构图 Char"/>
    <w:basedOn w:val="DefaultParagraphFont"/>
    <w:link w:val="DocumentMap"/>
    <w:uiPriority w:val="99"/>
    <w:semiHidden/>
    <w:rPr>
      <w:rFonts w:ascii="宋体"/>
      <w:kern w:val="2"/>
      <w:sz w:val="18"/>
      <w:szCs w:val="18"/>
    </w:rPr>
  </w:style>
  <w:style w:type="character" w:customStyle="1" w:styleId="underline">
    <w:name w:val="underline"/>
    <w:basedOn w:val="DefaultParagraphFont"/>
    <w:rPr>
      <w:u w:val="single"/>
    </w:rPr>
  </w:style>
  <w:style w:type="character" w:customStyle="1" w:styleId="Char2">
    <w:name w:val="标题 Char"/>
    <w:link w:val="Title"/>
    <w:rPr>
      <w:rFonts w:ascii="Arial" w:eastAsia="黑体" w:hAnsi="Arial"/>
      <w:b/>
      <w:bCs/>
      <w:sz w:val="44"/>
      <w:szCs w:val="32"/>
    </w:rPr>
  </w:style>
  <w:style w:type="character" w:customStyle="1" w:styleId="a">
    <w:name w:val="正文文本_"/>
    <w:basedOn w:val="DefaultParagraphFont"/>
    <w:link w:val="1"/>
    <w:rPr>
      <w:rFonts w:ascii="MingLiU" w:eastAsia="MingLiU" w:hAnsi="MingLiU" w:cs="MingLiU" w:hint="eastAsia"/>
      <w:color w:val="auto"/>
      <w:spacing w:val="40"/>
      <w:kern w:val="0"/>
      <w:sz w:val="28"/>
      <w:szCs w:val="28"/>
      <w:lang w:val="en-US" w:eastAsia="zh-CN" w:bidi="ar"/>
    </w:rPr>
  </w:style>
  <w:style w:type="character" w:styleId="Hyperlink">
    <w:name w:val="Hyperlink"/>
    <w:basedOn w:val="DefaultParagraphFont"/>
    <w:uiPriority w:val="99"/>
    <w:rPr>
      <w:rFonts w:ascii="ˎ̥" w:hAnsi="ˎ̥" w:hint="default"/>
      <w:color w:val="3E3E3E"/>
      <w:sz w:val="24"/>
      <w:szCs w:val="24"/>
      <w:u w:val="none"/>
    </w:rPr>
  </w:style>
  <w:style w:type="character" w:customStyle="1" w:styleId="Char3">
    <w:name w:val="批注框文本 Char"/>
    <w:link w:val="BalloonText"/>
    <w:rPr>
      <w:rFonts w:ascii="Times New Roman" w:hAnsi="Times New Roman"/>
      <w:kern w:val="2"/>
      <w:sz w:val="18"/>
      <w:szCs w:val="18"/>
    </w:rPr>
  </w:style>
  <w:style w:type="character" w:customStyle="1" w:styleId="LucidaSansUnicode">
    <w:name w:val="正文文本 + Lucida Sans Unicode"/>
    <w:basedOn w:val="a"/>
    <w:rPr>
      <w:rFonts w:ascii="Lucida Sans Unicode" w:eastAsia="Lucida Sans Unicode" w:hAnsi="Lucida Sans Unicode" w:cs="Lucida Sans Unicode" w:hint="default"/>
      <w:color w:val="000000"/>
      <w:spacing w:val="-10"/>
      <w:w w:val="100"/>
      <w:position w:val="0"/>
      <w:sz w:val="26"/>
      <w:szCs w:val="26"/>
      <w:shd w:val="clear" w:color="auto" w:fill="FFFFFF"/>
      <w:lang w:val="zh-TW"/>
    </w:rPr>
  </w:style>
  <w:style w:type="character" w:customStyle="1" w:styleId="Char4">
    <w:name w:val="页眉 Char"/>
    <w:link w:val="Header"/>
    <w:rPr>
      <w:rFonts w:ascii="Times New Roman" w:eastAsia="宋体" w:hAnsi="Times New Roman" w:cs="Times New Roman"/>
      <w:sz w:val="18"/>
      <w:szCs w:val="18"/>
    </w:rPr>
  </w:style>
  <w:style w:type="character" w:customStyle="1" w:styleId="active5">
    <w:name w:val="active5"/>
    <w:basedOn w:val="DefaultParagraphFont"/>
    <w:rPr>
      <w:color w:val="FFFFFF"/>
    </w:rPr>
  </w:style>
  <w:style w:type="character" w:styleId="CommentReference">
    <w:name w:val="annotation reference"/>
    <w:basedOn w:val="DefaultParagraphFont"/>
    <w:uiPriority w:val="99"/>
    <w:unhideWhenUsed/>
    <w:rPr>
      <w:sz w:val="21"/>
      <w:szCs w:val="21"/>
    </w:rPr>
  </w:style>
  <w:style w:type="character" w:customStyle="1" w:styleId="21pt">
    <w:name w:val="正文文本 (2) + 间距 1 pt"/>
    <w:basedOn w:val="2"/>
    <w:rPr>
      <w:rFonts w:ascii="Lucida Sans Unicode" w:eastAsia="Lucida Sans Unicode" w:hAnsi="Lucida Sans Unicode" w:cs="Lucida Sans Unicode" w:hint="default"/>
      <w:color w:val="000000"/>
      <w:spacing w:val="30"/>
      <w:w w:val="100"/>
      <w:position w:val="0"/>
      <w:sz w:val="26"/>
      <w:szCs w:val="26"/>
      <w:shd w:val="clear" w:color="auto" w:fill="FFFFFF"/>
      <w:lang w:val="zh-TW"/>
    </w:rPr>
  </w:style>
  <w:style w:type="character" w:customStyle="1" w:styleId="CharChar">
    <w:name w:val=" Char Char"/>
    <w:uiPriority w:val="10"/>
    <w:rPr>
      <w:rFonts w:ascii="Cambria" w:hAnsi="Cambria" w:cs="Times New Roman"/>
      <w:b/>
      <w:bCs/>
      <w:kern w:val="2"/>
      <w:sz w:val="32"/>
      <w:szCs w:val="32"/>
    </w:rPr>
  </w:style>
  <w:style w:type="character" w:customStyle="1" w:styleId="active6">
    <w:name w:val="active6"/>
    <w:basedOn w:val="DefaultParagraphFont"/>
    <w:rPr>
      <w:color w:val="FFFFFF"/>
    </w:rPr>
  </w:style>
  <w:style w:type="character" w:customStyle="1" w:styleId="5pt">
    <w:name w:val="正文文本 + 5 pt"/>
    <w:basedOn w:val="a"/>
    <w:rPr>
      <w:rFonts w:ascii="MingLiU" w:eastAsia="MingLiU" w:hAnsi="MingLiU" w:cs="MingLiU" w:hint="eastAsia"/>
      <w:color w:val="000000"/>
      <w:spacing w:val="50"/>
      <w:w w:val="70"/>
      <w:position w:val="0"/>
      <w:sz w:val="10"/>
      <w:szCs w:val="10"/>
      <w:shd w:val="clear" w:color="auto" w:fill="FFFFFF"/>
      <w:lang w:val="zh-TW"/>
    </w:rPr>
  </w:style>
  <w:style w:type="character" w:customStyle="1" w:styleId="hilite">
    <w:name w:val="hilite"/>
    <w:basedOn w:val="DefaultParagraphFont"/>
    <w:rPr>
      <w:color w:val="000000"/>
    </w:rPr>
  </w:style>
  <w:style w:type="character" w:customStyle="1" w:styleId="required">
    <w:name w:val="required"/>
    <w:basedOn w:val="DefaultParagraphFont"/>
    <w:rPr>
      <w:color w:val="FF0000"/>
    </w:rPr>
  </w:style>
  <w:style w:type="character" w:customStyle="1" w:styleId="fielderror">
    <w:name w:val="fielderror"/>
    <w:basedOn w:val="DefaultParagraphFont"/>
    <w:rPr>
      <w:color w:val="800000"/>
    </w:rPr>
  </w:style>
  <w:style w:type="character" w:customStyle="1" w:styleId="hilite5">
    <w:name w:val="hilite5"/>
    <w:basedOn w:val="DefaultParagraphFont"/>
    <w:rPr>
      <w:color w:val="000000"/>
    </w:rPr>
  </w:style>
  <w:style w:type="paragraph" w:styleId="NormalWeb">
    <w:name w:val="Normal (Web)"/>
    <w:basedOn w:val="Normal"/>
    <w:uiPriority w:val="99"/>
    <w:unhideWhenUsed/>
    <w:pPr>
      <w:spacing w:before="100" w:beforeLines="0" w:beforeAutospacing="1" w:after="100" w:afterLines="0" w:afterAutospacing="1" w:line="240" w:lineRule="auto"/>
      <w:ind w:firstLine="0" w:firstLineChars="0"/>
      <w:jc w:val="left"/>
    </w:pPr>
    <w:rPr>
      <w:kern w:val="0"/>
    </w:rPr>
  </w:style>
  <w:style w:type="paragraph" w:styleId="TOC1">
    <w:name w:val="toc 1"/>
    <w:basedOn w:val="Normal"/>
    <w:next w:val="Normal"/>
    <w:uiPriority w:val="39"/>
    <w:pPr>
      <w:tabs>
        <w:tab w:val="right" w:leader="middleDot" w:pos="8302"/>
      </w:tabs>
      <w:spacing w:line="360" w:lineRule="auto"/>
    </w:pPr>
  </w:style>
  <w:style w:type="paragraph" w:styleId="NormalIndent">
    <w:name w:val="Normal Indent"/>
    <w:basedOn w:val="Normal"/>
    <w:pPr>
      <w:ind w:firstLine="420"/>
    </w:pPr>
  </w:style>
  <w:style w:type="paragraph" w:styleId="CommentText">
    <w:name w:val="annotation text"/>
    <w:basedOn w:val="Normal"/>
    <w:uiPriority w:val="99"/>
    <w:unhideWhenUsed/>
    <w:pPr>
      <w:jc w:val="left"/>
    </w:pPr>
  </w:style>
  <w:style w:type="paragraph" w:styleId="Date">
    <w:name w:val="Date"/>
    <w:basedOn w:val="Normal"/>
    <w:next w:val="Normal"/>
    <w:link w:val="Char0"/>
    <w:uiPriority w:val="99"/>
    <w:unhideWhenUsed/>
    <w:pPr>
      <w:ind w:left="100" w:leftChars="2500"/>
    </w:pPr>
  </w:style>
  <w:style w:type="paragraph" w:styleId="Header">
    <w:name w:val="header"/>
    <w:basedOn w:val="Normal"/>
    <w:link w:val="Char4"/>
    <w:pPr>
      <w:pBdr>
        <w:bottom w:val="single" w:sz="6" w:space="1" w:color="auto"/>
      </w:pBdr>
      <w:tabs>
        <w:tab w:val="center" w:pos="4153"/>
        <w:tab w:val="right" w:pos="8306"/>
      </w:tabs>
      <w:snapToGrid w:val="0"/>
      <w:jc w:val="center"/>
    </w:pPr>
    <w:rPr>
      <w:kern w:val="0"/>
      <w:sz w:val="18"/>
      <w:szCs w:val="18"/>
    </w:rPr>
  </w:style>
  <w:style w:type="paragraph" w:styleId="PlainText">
    <w:name w:val="Plain Text"/>
    <w:basedOn w:val="Normal"/>
    <w:rPr>
      <w:rFonts w:ascii="宋体" w:hAnsi="宋体"/>
      <w:kern w:val="0"/>
      <w:sz w:val="20"/>
      <w:szCs w:val="21"/>
    </w:rPr>
  </w:style>
  <w:style w:type="paragraph" w:styleId="BodyTextIndent">
    <w:name w:val="Body Text Indent"/>
    <w:basedOn w:val="Normal"/>
    <w:uiPriority w:val="99"/>
    <w:unhideWhenUsed/>
    <w:pPr>
      <w:snapToGrid w:val="0"/>
      <w:spacing w:line="360" w:lineRule="auto"/>
      <w:ind w:firstLine="640" w:firstLineChars="200"/>
    </w:pPr>
    <w:rPr>
      <w:rFonts w:eastAsia="仿宋_GB2312"/>
      <w:sz w:val="32"/>
    </w:rPr>
  </w:style>
  <w:style w:type="paragraph" w:styleId="BodyText">
    <w:name w:val="Body Text"/>
    <w:basedOn w:val="Normal"/>
    <w:uiPriority w:val="99"/>
    <w:unhideWhenUsed/>
    <w:pPr>
      <w:spacing w:after="120"/>
    </w:pPr>
    <w:rPr>
      <w:rFonts w:ascii="Times New Roman"/>
      <w:szCs w:val="24"/>
    </w:rPr>
  </w:style>
  <w:style w:type="paragraph" w:styleId="DocumentMap">
    <w:name w:val="Document Map"/>
    <w:basedOn w:val="Normal"/>
    <w:link w:val="Char1"/>
    <w:uiPriority w:val="99"/>
    <w:unhideWhenUsed/>
    <w:rPr>
      <w:rFonts w:ascii="宋体"/>
      <w:sz w:val="18"/>
      <w:szCs w:val="18"/>
    </w:rPr>
  </w:style>
  <w:style w:type="paragraph" w:styleId="BalloonText">
    <w:name w:val="Balloon Text"/>
    <w:basedOn w:val="Normal"/>
    <w:link w:val="Char3"/>
    <w:rPr>
      <w:sz w:val="18"/>
      <w:szCs w:val="18"/>
    </w:rPr>
  </w:style>
  <w:style w:type="paragraph" w:styleId="Subtitle">
    <w:name w:val="Subtitle"/>
    <w:basedOn w:val="Normal"/>
    <w:next w:val="Normal"/>
    <w:uiPriority w:val="11"/>
    <w:qFormat/>
    <w:pPr>
      <w:spacing w:before="240" w:after="60" w:line="312" w:lineRule="auto"/>
      <w:jc w:val="center"/>
      <w:outlineLvl w:val="1"/>
    </w:pPr>
    <w:rPr>
      <w:rFonts w:ascii="Cambria" w:eastAsia="宋体" w:hAnsi="Cambria" w:cs="Times New Roman"/>
      <w:b/>
      <w:bCs/>
      <w:kern w:val="28"/>
      <w:sz w:val="32"/>
      <w:szCs w:val="32"/>
    </w:rPr>
  </w:style>
  <w:style w:type="paragraph" w:styleId="Footer">
    <w:name w:val="footer"/>
    <w:basedOn w:val="Normal"/>
    <w:link w:val="Char"/>
    <w:uiPriority w:val="99"/>
    <w:pPr>
      <w:tabs>
        <w:tab w:val="center" w:pos="4153"/>
        <w:tab w:val="right" w:pos="8306"/>
      </w:tabs>
      <w:snapToGrid w:val="0"/>
      <w:jc w:val="left"/>
    </w:pPr>
    <w:rPr>
      <w:kern w:val="0"/>
      <w:sz w:val="18"/>
      <w:szCs w:val="18"/>
    </w:rPr>
  </w:style>
  <w:style w:type="paragraph" w:styleId="Title">
    <w:name w:val="Title"/>
    <w:basedOn w:val="Normal"/>
    <w:link w:val="Char2"/>
    <w:qFormat/>
    <w:pPr>
      <w:spacing w:before="240" w:after="60"/>
      <w:jc w:val="center"/>
      <w:outlineLvl w:val="0"/>
    </w:pPr>
    <w:rPr>
      <w:rFonts w:ascii="Arial" w:eastAsia="黑体" w:hAnsi="Arial"/>
      <w:b/>
      <w:bCs/>
      <w:kern w:val="0"/>
      <w:sz w:val="44"/>
      <w:szCs w:val="32"/>
    </w:rPr>
  </w:style>
  <w:style w:type="paragraph" w:customStyle="1" w:styleId="Char5">
    <w:name w:val="Char"/>
    <w:basedOn w:val="Normal"/>
  </w:style>
  <w:style w:type="paragraph" w:customStyle="1" w:styleId="A0">
    <w:name w:val="正文 A"/>
    <w:uiPriority w:val="99"/>
    <w:qFormat/>
    <w:pPr>
      <w:widowControl w:val="0"/>
      <w:jc w:val="both"/>
    </w:pPr>
    <w:rPr>
      <w:rFonts w:ascii="Times New Roman" w:eastAsia="宋体" w:hAnsi="Times New Roman" w:cs="Times New Roman"/>
      <w:color w:val="000000"/>
      <w:kern w:val="2"/>
      <w:sz w:val="21"/>
      <w:lang w:val="en-US" w:eastAsia="zh-CN" w:bidi="ar-SA"/>
    </w:rPr>
  </w:style>
  <w:style w:type="paragraph" w:customStyle="1" w:styleId="1">
    <w:name w:val="正文文本1"/>
    <w:basedOn w:val="Normal"/>
    <w:link w:val="a"/>
    <w:pPr>
      <w:keepNext w:val="0"/>
      <w:keepLines w:val="0"/>
      <w:widowControl w:val="0"/>
      <w:suppressLineNumbers w:val="0"/>
      <w:shd w:val="clear" w:color="auto" w:fill="FFFFFF"/>
      <w:spacing w:before="840" w:beforeAutospacing="0" w:after="0" w:afterAutospacing="0" w:line="619" w:lineRule="exact"/>
      <w:ind w:left="0" w:right="0"/>
      <w:jc w:val="distribute"/>
    </w:pPr>
    <w:rPr>
      <w:rFonts w:ascii="MingLiU" w:eastAsia="MingLiU" w:hAnsi="MingLiU" w:cs="MingLiU" w:hint="eastAsia"/>
      <w:color w:val="auto"/>
      <w:spacing w:val="40"/>
      <w:kern w:val="0"/>
      <w:sz w:val="28"/>
      <w:szCs w:val="28"/>
      <w:lang w:val="en-US" w:eastAsia="zh-CN" w:bidi="ar"/>
    </w:rPr>
  </w:style>
  <w:style w:type="paragraph" w:customStyle="1" w:styleId="20">
    <w:name w:val="正文文本2"/>
    <w:basedOn w:val="Normal"/>
    <w:pPr>
      <w:keepNext w:val="0"/>
      <w:keepLines w:val="0"/>
      <w:widowControl w:val="0"/>
      <w:suppressLineNumbers w:val="0"/>
      <w:shd w:val="clear" w:color="auto" w:fill="FFFFFF"/>
      <w:spacing w:before="0" w:beforeAutospacing="0" w:after="0" w:afterAutospacing="0" w:line="619" w:lineRule="exact"/>
      <w:ind w:left="0" w:right="0"/>
      <w:jc w:val="distribute"/>
    </w:pPr>
    <w:rPr>
      <w:rFonts w:ascii="MingLiU" w:eastAsia="MingLiU" w:hAnsi="MingLiU" w:cs="MingLiU" w:hint="eastAsia"/>
      <w:color w:val="auto"/>
      <w:kern w:val="0"/>
      <w:sz w:val="26"/>
      <w:szCs w:val="26"/>
      <w:lang w:val="en-US" w:eastAsia="zh-CN" w:bidi="ar"/>
    </w:rPr>
  </w:style>
  <w:style w:type="paragraph" w:customStyle="1" w:styleId="ListParagraph">
    <w:name w:val="List Paragraph"/>
    <w:basedOn w:val="Normal"/>
    <w:uiPriority w:val="34"/>
    <w:qFormat/>
    <w:pPr>
      <w:ind w:firstLine="420" w:firstLineChars="200"/>
    </w:pPr>
  </w:style>
  <w:style w:type="paragraph" w:customStyle="1" w:styleId="Default">
    <w:name w:val="Default"/>
    <w:pPr>
      <w:widowControl w:val="0"/>
      <w:autoSpaceDE w:val="0"/>
      <w:autoSpaceDN w:val="0"/>
      <w:adjustRightInd w:val="0"/>
    </w:pPr>
    <w:rPr>
      <w:rFonts w:ascii="......." w:eastAsia="......." w:hAnsi="......." w:cs="......."/>
      <w:color w:val="000000"/>
      <w:sz w:val="24"/>
      <w:szCs w:val="24"/>
      <w:lang w:val="en-US" w:eastAsia="zh-CN" w:bidi="ar-SA"/>
    </w:rPr>
  </w:style>
  <w:style w:type="paragraph" w:customStyle="1" w:styleId="10">
    <w:name w:val="标题 #1"/>
    <w:basedOn w:val="Normal"/>
    <w:qFormat/>
    <w:pPr>
      <w:keepNext w:val="0"/>
      <w:keepLines w:val="0"/>
      <w:widowControl w:val="0"/>
      <w:suppressLineNumbers w:val="0"/>
      <w:shd w:val="clear" w:color="auto" w:fill="FFFFFF"/>
      <w:spacing w:before="0" w:beforeAutospacing="0" w:after="840" w:afterAutospacing="0" w:line="0" w:lineRule="atLeast"/>
      <w:ind w:left="0" w:right="0" w:firstLine="660"/>
      <w:jc w:val="distribute"/>
      <w:outlineLvl w:val="0"/>
    </w:pPr>
    <w:rPr>
      <w:rFonts w:ascii="MingLiU" w:eastAsia="MingLiU" w:hAnsi="MingLiU" w:cs="MingLiU" w:hint="eastAsia"/>
      <w:color w:val="auto"/>
      <w:spacing w:val="40"/>
      <w:kern w:val="0"/>
      <w:sz w:val="39"/>
      <w:szCs w:val="39"/>
      <w:lang w:val="en-US" w:eastAsia="zh-CN" w:bidi="ar"/>
    </w:rPr>
  </w:style>
  <w:style w:type="paragraph" w:customStyle="1" w:styleId="21">
    <w:name w:val="正文文本 (2)"/>
    <w:basedOn w:val="Normal"/>
    <w:link w:val="2"/>
    <w:pPr>
      <w:keepNext w:val="0"/>
      <w:keepLines w:val="0"/>
      <w:widowControl w:val="0"/>
      <w:suppressLineNumbers w:val="0"/>
      <w:shd w:val="clear" w:color="auto" w:fill="FFFFFF"/>
      <w:spacing w:before="0" w:beforeAutospacing="0" w:after="0" w:afterAutospacing="0" w:line="624" w:lineRule="exact"/>
      <w:ind w:left="0" w:right="0" w:firstLine="660"/>
      <w:jc w:val="both"/>
    </w:pPr>
    <w:rPr>
      <w:rFonts w:ascii="Lucida Sans Unicode" w:eastAsia="Lucida Sans Unicode" w:hAnsi="Lucida Sans Unicode" w:cs="Lucida Sans Unicode" w:hint="default"/>
      <w:color w:val="auto"/>
      <w:spacing w:val="-10"/>
      <w:kern w:val="0"/>
      <w:sz w:val="26"/>
      <w:szCs w:val="26"/>
      <w:lang w:val="en-US" w:eastAsia="zh-CN" w:bidi="ar"/>
    </w:rPr>
  </w:style>
  <w:style w:type="paragraph" w:customStyle="1" w:styleId="p17">
    <w:name w:val="p17"/>
    <w:basedOn w:val="Normal"/>
    <w:pPr>
      <w:spacing w:before="100" w:beforeLines="0" w:beforeAutospacing="0" w:after="100" w:afterLines="0" w:afterAutospacing="0" w:line="360" w:lineRule="auto"/>
      <w:ind w:firstLine="420"/>
      <w:jc w:val="left"/>
    </w:pPr>
    <w:rPr>
      <w:rFonts w:ascii="Times New Roman" w:hAnsi="Times New Roman" w:cs="Times New Roman" w:hint="default"/>
      <w:color w:val="auto"/>
      <w:kern w:val="0"/>
      <w:sz w:val="24"/>
      <w:szCs w:val="24"/>
      <w:lang w:val="en-US" w:eastAsia="zh-CN" w:bidi="ar-SA"/>
    </w:rPr>
  </w:style>
  <w:style w:type="paragraph" w:customStyle="1" w:styleId="11">
    <w:name w:val="列出段落1"/>
    <w:basedOn w:val="Normal"/>
    <w:pPr>
      <w:ind w:firstLine="420" w:firstLineChars="200"/>
    </w:pPr>
    <w:rPr>
      <w:rFonts w:ascii="Calibri" w:hAnsi="Calibri" w:cs="黑体"/>
      <w:szCs w:val="22"/>
    </w:rPr>
  </w:style>
  <w:style w:type="table" w:styleId="TableGrid">
    <w:name w:val="Table Grid"/>
    <w:basedOn w:val="TableNormal"/>
    <w:uiPriority w:val="5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yperlink" Target="mailto:rongshanggongsi@163.com&#12290;&#33267;&#25237;&#26631;&#25130;&#27490;&#26102;&#38388;&#20173;&#26410;&#25910;&#21040;&#8220;&#34917;&#20805;&#25991;&#20214;&#22238;&#25191;&#8221;&#30340;&#35270;&#20026;&#24050;&#29087;&#30693;&#34917;&#20805;&#25991;&#20214;&#20869;&#23481;&#65292;&#25509;&#21463;&#34917;&#20805;&#25991;&#20214;&#25152;&#34920;&#36848;&#20869;&#23481;&#65292;&#24182;&#25215;&#25285;&#30001;&#27492;&#21487;&#33021;&#20135;&#29983;&#30340;&#39118;&#38505;&#12290;" TargetMode="Externa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yperlink" Target="https://d.book118.com/388037124031006035" TargetMode="Externa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theme" Target="theme/theme1.xml" /><Relationship Id="rId63" Type="http://schemas.openxmlformats.org/officeDocument/2006/relationships/numbering" Target="numbering.xml" /><Relationship Id="rId64"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157426080</TotalTime>
  <Pages>35</Pages>
  <Words>4258</Words>
  <Characters>24276</Characters>
  <Application>Microsoft Office Word</Application>
  <DocSecurity>0</DocSecurity>
  <Lines>202</Lines>
  <Paragraphs>56</Paragraphs>
  <ScaleCrop>false</ScaleCrop>
  <Company>china</Company>
  <LinksUpToDate>false</LinksUpToDate>
  <CharactersWithSpaces>28478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2015年天津市政府债券</dc:title>
  <dc:creator>王永锋</dc:creator>
  <cp:lastModifiedBy>Administrator</cp:lastModifiedBy>
  <cp:revision>18</cp:revision>
  <cp:lastPrinted>2018-04-18T07:58:45Z</cp:lastPrinted>
  <dcterms:created xsi:type="dcterms:W3CDTF">2016-06-03T00:33:00Z</dcterms:created>
  <dcterms:modified xsi:type="dcterms:W3CDTF">2019-05-27T10:34:06Z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