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A3618" w:rsidP="001A3618" w14:paraId="67DF9EB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A3618">
        <w:rPr>
          <w:rFonts w:ascii="华文中宋" w:eastAsia="华文中宋" w:hAnsi="华文中宋"/>
          <w:b/>
          <w:sz w:val="30"/>
        </w:rPr>
        <w:t>2024</w:t>
      </w:r>
      <w:r w:rsidRPr="001A3618">
        <w:rPr>
          <w:rFonts w:ascii="华文中宋" w:eastAsia="华文中宋" w:hAnsi="华文中宋"/>
          <w:b/>
          <w:sz w:val="30"/>
        </w:rPr>
        <w:t>年中国联通河南省分公司人员招聘模拟考试试题及答案解析</w:t>
      </w:r>
    </w:p>
    <w:p w:rsidR="00A77B3E" w14:paraId="08D7DC8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C349E1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9A160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现行内资企业和外资企业所得税税率为</w:t>
      </w:r>
      <w:r w:rsidRPr="00E0697D">
        <w:rPr>
          <w:rFonts w:ascii="Times New Roman" w:eastAsia="微软雅黑" w:hAnsi="微软雅黑" w:cs="宋体" w:hint="eastAsia"/>
          <w:szCs w:val="18"/>
        </w:rPr>
        <w:t>33%</w:t>
      </w:r>
      <w:r w:rsidRPr="00E0697D">
        <w:rPr>
          <w:rFonts w:ascii="Times New Roman" w:eastAsia="微软雅黑" w:hAnsi="微软雅黑" w:cs="宋体" w:hint="eastAsia"/>
          <w:szCs w:val="18"/>
        </w:rPr>
        <w:t>。对一些外资企业实行</w:t>
      </w:r>
      <w:r w:rsidRPr="00E0697D">
        <w:rPr>
          <w:rFonts w:ascii="Times New Roman" w:eastAsia="微软雅黑" w:hAnsi="微软雅黑" w:cs="宋体" w:hint="eastAsia"/>
          <w:szCs w:val="18"/>
        </w:rPr>
        <w:t>24%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15%</w:t>
      </w:r>
      <w:r w:rsidRPr="00E0697D">
        <w:rPr>
          <w:rFonts w:ascii="Times New Roman" w:eastAsia="微软雅黑" w:hAnsi="微软雅黑" w:cs="宋体" w:hint="eastAsia"/>
          <w:szCs w:val="18"/>
        </w:rPr>
        <w:t>的优惠税率，对内资微利企业实行</w:t>
      </w:r>
      <w:r w:rsidRPr="00E0697D">
        <w:rPr>
          <w:rFonts w:ascii="Times New Roman" w:eastAsia="微软雅黑" w:hAnsi="微软雅黑" w:cs="宋体" w:hint="eastAsia"/>
          <w:szCs w:val="18"/>
        </w:rPr>
        <w:t>27%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18%</w:t>
      </w:r>
      <w:r w:rsidRPr="00E0697D">
        <w:rPr>
          <w:rFonts w:ascii="Times New Roman" w:eastAsia="微软雅黑" w:hAnsi="微软雅黑" w:cs="宋体" w:hint="eastAsia"/>
          <w:szCs w:val="18"/>
        </w:rPr>
        <w:t>的税率等。将《企业所得税法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草案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》的税率确定为</w:t>
      </w:r>
      <w:r w:rsidRPr="00E0697D">
        <w:rPr>
          <w:rFonts w:ascii="Times New Roman" w:eastAsia="微软雅黑" w:hAnsi="微软雅黑" w:cs="宋体" w:hint="eastAsia"/>
          <w:szCs w:val="18"/>
        </w:rPr>
        <w:t>25%</w:t>
      </w:r>
      <w:r w:rsidRPr="00E0697D">
        <w:rPr>
          <w:rFonts w:ascii="Times New Roman" w:eastAsia="微软雅黑" w:hAnsi="微软雅黑" w:cs="宋体" w:hint="eastAsia"/>
          <w:szCs w:val="18"/>
        </w:rPr>
        <w:t>，是考虑对内资企业要减轻税负，同时要将财政减收控制在可以承受的范围内，还要考虑国际上尤其是周边国家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地区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的税率水平。全世界</w:t>
      </w:r>
      <w:r w:rsidRPr="00E0697D">
        <w:rPr>
          <w:rFonts w:ascii="Times New Roman" w:eastAsia="微软雅黑" w:hAnsi="微软雅黑" w:cs="宋体" w:hint="eastAsia"/>
          <w:szCs w:val="18"/>
        </w:rPr>
        <w:t>159</w:t>
      </w:r>
      <w:r w:rsidRPr="00E0697D">
        <w:rPr>
          <w:rFonts w:ascii="Times New Roman" w:eastAsia="微软雅黑" w:hAnsi="微软雅黑" w:cs="宋体" w:hint="eastAsia"/>
          <w:szCs w:val="18"/>
        </w:rPr>
        <w:t>个实行企业所得税的国家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地区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平均税率为</w:t>
      </w:r>
      <w:r w:rsidRPr="00E0697D">
        <w:rPr>
          <w:rFonts w:ascii="Times New Roman" w:eastAsia="微软雅黑" w:hAnsi="微软雅黑" w:cs="宋体" w:hint="eastAsia"/>
          <w:szCs w:val="18"/>
        </w:rPr>
        <w:t>28.6%</w:t>
      </w:r>
      <w:r w:rsidRPr="00E0697D">
        <w:rPr>
          <w:rFonts w:ascii="Times New Roman" w:eastAsia="微软雅黑" w:hAnsi="微软雅黑" w:cs="宋体" w:hint="eastAsia"/>
          <w:szCs w:val="18"/>
        </w:rPr>
        <w:t>，我国周边</w:t>
      </w:r>
      <w:r w:rsidRPr="00E0697D">
        <w:rPr>
          <w:rFonts w:ascii="Times New Roman" w:eastAsia="微软雅黑" w:hAnsi="微软雅黑" w:cs="宋体" w:hint="eastAsia"/>
          <w:szCs w:val="18"/>
        </w:rPr>
        <w:t>18</w:t>
      </w:r>
      <w:r w:rsidRPr="00E0697D">
        <w:rPr>
          <w:rFonts w:ascii="Times New Roman" w:eastAsia="微软雅黑" w:hAnsi="微软雅黑" w:cs="宋体" w:hint="eastAsia"/>
          <w:szCs w:val="18"/>
        </w:rPr>
        <w:t>个国家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地区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的平均税率为</w:t>
      </w:r>
      <w:r w:rsidRPr="00E0697D">
        <w:rPr>
          <w:rFonts w:ascii="Times New Roman" w:eastAsia="微软雅黑" w:hAnsi="微软雅黑" w:cs="宋体" w:hint="eastAsia"/>
          <w:szCs w:val="18"/>
        </w:rPr>
        <w:t>26.7%</w:t>
      </w:r>
      <w:r w:rsidRPr="00E0697D">
        <w:rPr>
          <w:rFonts w:ascii="Times New Roman" w:eastAsia="微软雅黑" w:hAnsi="微软雅黑" w:cs="宋体" w:hint="eastAsia"/>
          <w:szCs w:val="18"/>
        </w:rPr>
        <w:t>。新税率在国际上是适中偏低的水平，有利于提高企业竞争力和吸引外商投资。</w:t>
      </w:r>
    </w:p>
    <w:p w:rsidR="00E0697D" w14:paraId="6EFDE6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这段文字主要讲述的是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D9119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、税率新举措：从内外有别到一视同仁</w:t>
      </w:r>
    </w:p>
    <w:p w:rsidR="00E0697D" w14:paraId="6288F9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、企业新起点：同台竞争，公平竞争</w:t>
      </w:r>
    </w:p>
    <w:p w:rsidR="00E0697D" w14:paraId="3BD8CF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25%</w:t>
      </w:r>
      <w:r w:rsidRPr="00E0697D">
        <w:rPr>
          <w:rFonts w:ascii="Times New Roman" w:eastAsia="微软雅黑" w:hAnsi="微软雅黑" w:cs="宋体" w:hint="eastAsia"/>
          <w:szCs w:val="18"/>
        </w:rPr>
        <w:t>的税率，在国际上是适中偏低的水平</w:t>
      </w:r>
    </w:p>
    <w:p w:rsidR="00E0697D" w14:paraId="07A456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、调整税率有利于提高企业竞争力</w:t>
      </w:r>
    </w:p>
    <w:p w:rsidR="00E0697D" w14:paraId="4689C7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EA4F5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两项是片段直接表述出来的一个或部分内容，概况不够全面。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项应是“新税率有利于提高企业竞争力”而不是“调整税率”，因此排除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95D36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民以食为天，人多地少是不少国家面临的共同问题。在全球化时代，国际粮价的波动往往对国内粮食生产影响巨大。据介绍，日本已在海外开发农田</w:t>
      </w:r>
      <w:r w:rsidRPr="00E0697D">
        <w:rPr>
          <w:rFonts w:ascii="Times New Roman" w:eastAsia="微软雅黑" w:hAnsi="微软雅黑" w:cs="宋体" w:hint="eastAsia"/>
          <w:szCs w:val="18"/>
        </w:rPr>
        <w:t>1200</w:t>
      </w:r>
      <w:r w:rsidRPr="00E0697D">
        <w:rPr>
          <w:rFonts w:ascii="Times New Roman" w:eastAsia="微软雅黑" w:hAnsi="微软雅黑" w:cs="宋体" w:hint="eastAsia"/>
          <w:szCs w:val="18"/>
        </w:rPr>
        <w:t>万公顷，相当于其国内耕地面积的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倍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韩国在海外购买和租赁农田</w:t>
      </w:r>
      <w:r w:rsidRPr="00E0697D">
        <w:rPr>
          <w:rFonts w:ascii="Times New Roman" w:eastAsia="微软雅黑" w:hAnsi="微软雅黑" w:cs="宋体" w:hint="eastAsia"/>
          <w:szCs w:val="18"/>
        </w:rPr>
        <w:t>243</w:t>
      </w:r>
      <w:r w:rsidRPr="00E0697D">
        <w:rPr>
          <w:rFonts w:ascii="Times New Roman" w:eastAsia="微软雅黑" w:hAnsi="微软雅黑" w:cs="宋体" w:hint="eastAsia"/>
          <w:szCs w:val="18"/>
        </w:rPr>
        <w:t>万公顷，相当于其国内耕地面积的</w:t>
      </w:r>
      <w:r w:rsidRPr="00E0697D">
        <w:rPr>
          <w:rFonts w:ascii="Times New Roman" w:eastAsia="微软雅黑" w:hAnsi="微软雅黑" w:cs="宋体" w:hint="eastAsia"/>
          <w:szCs w:val="18"/>
        </w:rPr>
        <w:t>1.3</w:t>
      </w:r>
      <w:r w:rsidRPr="00E0697D">
        <w:rPr>
          <w:rFonts w:ascii="Times New Roman" w:eastAsia="微软雅黑" w:hAnsi="微软雅黑" w:cs="宋体" w:hint="eastAsia"/>
          <w:szCs w:val="18"/>
        </w:rPr>
        <w:t>倍，日韩农业“走出去”，借助多元化的规模经营，获得了强大的国际竞争力，对保证其粮食安全起到了积极作用。</w:t>
      </w:r>
    </w:p>
    <w:p w:rsidR="00E0697D" w14:paraId="57F71C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这段文字讨论的重点是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E15DF7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、日本韩国本世纪的耕地面积规模</w:t>
      </w:r>
    </w:p>
    <w:p w:rsidR="00E0697D" w14:paraId="682BA9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、日韩“走出去”的海外屯田战略</w:t>
      </w:r>
    </w:p>
    <w:p w:rsidR="00E0697D" w14:paraId="6E0083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、人多地少粮价波动是世界性问题</w:t>
      </w:r>
    </w:p>
    <w:p w:rsidR="00E0697D" w14:paraId="24D2FE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、国际粮价与国内粮食生产的联动</w:t>
      </w:r>
    </w:p>
    <w:p w:rsidR="00E0697D" w14:paraId="4D7F62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AECAD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文段首先提出问题：人多地少、国际粮价波动，接着通过提出日本、韩国海外屯田缓解粮食安全问题的行为解决问题，故重点在后文屯田行为，即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项没有提到解决对策即海外屯田，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两项为提出问题部分，非重点信息，排除。故选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4C7DD3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国关于云的正式文字记载最早可追溯到甲骨文。战国时期的《吕氏春秋·应同》将云分为四类：山云、水云、旱云、雨云。秦汉时期民间还记录了各种不同的云图。至于更为细致的划分和命名，古人依照的也是云彩外观、位置、颜色及其动态特征。例如《史记》中记载的“庆云”是指彩色、象征祥瑞的云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《升庵全集》中的“犁头云”指的是台风前移动迅速的云片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《西京杂记》中“矞云”是指绚丽的高积云。我国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自古是农业大国，看云识天气有着重要意义，古代的这些云彩命名更多是为农事生产生活服务的。</w:t>
      </w:r>
    </w:p>
    <w:p w:rsidR="00E0697D" w14:paraId="127D59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DD790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、古代中国对云的命名</w:t>
      </w:r>
    </w:p>
    <w:p w:rsidR="00E0697D" w14:paraId="01DADA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、古代中国记载云的文献史</w:t>
      </w:r>
    </w:p>
    <w:p w:rsidR="00E0697D" w14:paraId="43F556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、看云识天气对古代农业生产的意义</w:t>
      </w:r>
    </w:p>
    <w:p w:rsidR="00E0697D" w14:paraId="36070B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、古人对云这种天气现象的认识过程</w:t>
      </w:r>
    </w:p>
    <w:p w:rsidR="00E0697D" w14:paraId="474CB8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54DB5D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前半部分按照时间脉络介绍了有关云的记载。首先提到我国关于云的正式文字记载最早可追溯到甲骨文，接着介绍战国时期、秦汉时期对云的分类和命名。尾句侧重强调“古代的这些云彩命名更多是为农事生产生活服务的”。文段是“分—分”结构，论述话题是“古代对于云彩的命名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1453E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广大海外华文文学作家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异域。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中华故土，创作出大量脍炙人口的名篇佳作，在慰藉游子乡愁、温润侨胞心灵的同时，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着中华民族的精魂，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着中华文化的基因，丰富着世界多元文化的色彩，也培育着中国人民与世界人民的友谊之花。</w:t>
      </w:r>
    </w:p>
    <w:p w:rsidR="00E0697D" w14:paraId="087BFF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106D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赓续</w:t>
      </w:r>
    </w:p>
    <w:p w:rsidR="00E0697D" w14:paraId="4947A8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继承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延续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https://d.book118.com/388057006135006025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:rsidP="00D07274" w14:paraId="3254AE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3618" w14:paraId="043EF1C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:rsidP="00D07274" w14:paraId="75A904BF" w14:textId="245531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3618" w14:paraId="716BDA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14:paraId="27B9E6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36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:rsidP="00D07274" w14:textId="245531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36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361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:rsidP="00D07274" w14:textId="245531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A361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14:paraId="3EA9B0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14:paraId="48ED457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14:paraId="717954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6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3618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9535A6A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A36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A3618"/>
    <w:rPr>
      <w:sz w:val="18"/>
      <w:szCs w:val="18"/>
    </w:rPr>
  </w:style>
  <w:style w:type="paragraph" w:styleId="Footer">
    <w:name w:val="footer"/>
    <w:basedOn w:val="Normal"/>
    <w:link w:val="a0"/>
    <w:rsid w:val="001A361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A3618"/>
    <w:rPr>
      <w:sz w:val="18"/>
      <w:szCs w:val="18"/>
    </w:rPr>
  </w:style>
  <w:style w:type="character" w:styleId="PageNumber">
    <w:name w:val="page number"/>
    <w:basedOn w:val="DefaultParagraphFont"/>
    <w:rsid w:val="001A36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8057006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4441</Words>
  <Characters>25320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2024-01-12T15:14:00Z</dcterms:created>
  <dcterms:modified xsi:type="dcterms:W3CDTF">2024-01-12T15:14:00Z</dcterms:modified>
</cp:coreProperties>
</file>