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数控高精度内外圆磨床项目安全调研评估报告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30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_Toc16302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05" w:history="1">
        <w:r>
          <w:rPr>
            <w:rFonts w:ascii="仿宋" w:eastAsia="仿宋" w:hAnsi="仿宋" w:cs="仿宋" w:hint="eastAsia"/>
            <w:lang w:eastAsia="zh-CN"/>
          </w:rPr>
          <w:t>一、经营分析</w:t>
        </w:r>
        <w:r>
          <w:tab/>
        </w:r>
        <w:r>
          <w:fldChar w:fldCharType="begin"/>
        </w:r>
        <w:r>
          <w:instrText xml:space="preserve"> PAGEREF _Toc25005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9" w:history="1">
        <w:r>
          <w:rPr>
            <w:rFonts w:ascii="仿宋" w:eastAsia="仿宋" w:hAnsi="仿宋" w:cs="仿宋" w:hint="eastAsia"/>
            <w:lang w:eastAsia="zh-CN"/>
          </w:rPr>
          <w:t>(一)、运营情况说明</w:t>
        </w:r>
        <w:r>
          <w:tab/>
        </w:r>
        <w:r>
          <w:fldChar w:fldCharType="begin"/>
        </w:r>
        <w:r>
          <w:instrText xml:space="preserve"> PAGEREF _Toc489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0" w:history="1">
        <w:r>
          <w:rPr>
            <w:rFonts w:ascii="仿宋" w:eastAsia="仿宋" w:hAnsi="仿宋" w:cs="仿宋" w:hint="eastAsia"/>
            <w:lang w:eastAsia="zh-CN"/>
          </w:rPr>
          <w:t>(二)、数控高精度内外圆磨床项目运营组织结构</w:t>
        </w:r>
        <w:r>
          <w:tab/>
        </w:r>
        <w:r>
          <w:fldChar w:fldCharType="begin"/>
        </w:r>
        <w:r>
          <w:instrText xml:space="preserve"> PAGEREF _Toc4220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62" w:history="1">
        <w:r>
          <w:rPr>
            <w:rFonts w:ascii="仿宋" w:eastAsia="仿宋" w:hAnsi="仿宋" w:cs="仿宋" w:hint="eastAsia"/>
            <w:lang w:eastAsia="zh-CN"/>
          </w:rPr>
          <w:t>二、数控高精度内外圆磨床项目选址说明</w:t>
        </w:r>
        <w:r>
          <w:tab/>
        </w:r>
        <w:r>
          <w:fldChar w:fldCharType="begin"/>
        </w:r>
        <w:r>
          <w:instrText xml:space="preserve"> PAGEREF _Toc20762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1" w:history="1">
        <w:r>
          <w:rPr>
            <w:rFonts w:ascii="仿宋" w:eastAsia="仿宋" w:hAnsi="仿宋" w:cs="仿宋" w:hint="eastAsia"/>
            <w:lang w:eastAsia="zh-CN"/>
          </w:rPr>
          <w:t>(一)、数控高精度内外圆磨床项目选址</w:t>
        </w:r>
        <w:r>
          <w:tab/>
        </w:r>
        <w:r>
          <w:fldChar w:fldCharType="begin"/>
        </w:r>
        <w:r>
          <w:instrText xml:space="preserve"> PAGEREF _Toc23471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1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_Toc25171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8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_Toc30768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5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_Toc8815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7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_Toc25757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80" w:history="1">
        <w:r>
          <w:rPr>
            <w:rFonts w:ascii="仿宋" w:eastAsia="仿宋" w:hAnsi="仿宋" w:cs="仿宋" w:hint="eastAsia"/>
            <w:lang w:eastAsia="zh-CN"/>
          </w:rPr>
          <w:t>三、数控高精度内外圆磨床行业行业发展形势</w:t>
        </w:r>
        <w:r>
          <w:tab/>
        </w:r>
        <w:r>
          <w:fldChar w:fldCharType="begin"/>
        </w:r>
        <w:r>
          <w:instrText xml:space="preserve"> PAGEREF _Toc3580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6" w:history="1">
        <w:r>
          <w:rPr>
            <w:rFonts w:ascii="仿宋" w:eastAsia="仿宋" w:hAnsi="仿宋" w:cs="仿宋" w:hint="eastAsia"/>
            <w:lang w:eastAsia="zh-CN"/>
          </w:rPr>
          <w:t>(一)、市场规模扩大</w:t>
        </w:r>
        <w:r>
          <w:tab/>
        </w:r>
        <w:r>
          <w:fldChar w:fldCharType="begin"/>
        </w:r>
        <w:r>
          <w:instrText xml:space="preserve"> PAGEREF _Toc27156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3" w:history="1">
        <w:r>
          <w:rPr>
            <w:rFonts w:ascii="仿宋" w:eastAsia="仿宋" w:hAnsi="仿宋" w:cs="仿宋" w:hint="eastAsia"/>
            <w:lang w:eastAsia="zh-CN"/>
          </w:rPr>
          <w:t>(二)、消费升级趋势明显</w:t>
        </w:r>
        <w:r>
          <w:tab/>
        </w:r>
        <w:r>
          <w:fldChar w:fldCharType="begin"/>
        </w:r>
        <w:r>
          <w:instrText xml:space="preserve"> PAGEREF _Toc5473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7" w:history="1">
        <w:r>
          <w:rPr>
            <w:rFonts w:ascii="仿宋" w:eastAsia="仿宋" w:hAnsi="仿宋" w:cs="仿宋" w:hint="eastAsia"/>
            <w:lang w:eastAsia="zh-CN"/>
          </w:rPr>
          <w:t>(三)、智能化发展势头迅猛</w:t>
        </w:r>
        <w:r>
          <w:tab/>
        </w:r>
        <w:r>
          <w:fldChar w:fldCharType="begin"/>
        </w:r>
        <w:r>
          <w:instrText xml:space="preserve"> PAGEREF _Toc15407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3" w:history="1">
        <w:r>
          <w:rPr>
            <w:rFonts w:ascii="仿宋" w:eastAsia="仿宋" w:hAnsi="仿宋" w:cs="仿宋" w:hint="eastAsia"/>
            <w:lang w:eastAsia="zh-CN"/>
          </w:rPr>
          <w:t>(四)、品牌竞争日趋激烈</w:t>
        </w:r>
        <w:r>
          <w:tab/>
        </w:r>
        <w:r>
          <w:fldChar w:fldCharType="begin"/>
        </w:r>
        <w:r>
          <w:instrText xml:space="preserve"> PAGEREF _Toc22353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8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_Toc31288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3" w:history="1">
        <w:r>
          <w:rPr>
            <w:rFonts w:ascii="仿宋" w:eastAsia="仿宋" w:hAnsi="仿宋" w:cs="仿宋" w:hint="eastAsia"/>
            <w:lang w:eastAsia="zh-CN"/>
          </w:rPr>
          <w:t>四、数控高精度内外圆磨床行业发展现状</w:t>
        </w:r>
        <w:r>
          <w:tab/>
        </w:r>
        <w:r>
          <w:fldChar w:fldCharType="begin"/>
        </w:r>
        <w:r>
          <w:instrText xml:space="preserve"> PAGEREF _Toc3023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5" w:history="1">
        <w:r>
          <w:rPr>
            <w:rFonts w:ascii="仿宋" w:eastAsia="仿宋" w:hAnsi="仿宋" w:cs="仿宋" w:hint="eastAsia"/>
            <w:lang w:eastAsia="zh-CN"/>
          </w:rPr>
          <w:t>(一)、数控高精度内外圆磨床行业整体概况</w:t>
        </w:r>
        <w:r>
          <w:tab/>
        </w:r>
        <w:r>
          <w:fldChar w:fldCharType="begin"/>
        </w:r>
        <w:r>
          <w:instrText xml:space="preserve"> PAGEREF _Toc8855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" w:history="1">
        <w:r>
          <w:rPr>
            <w:rFonts w:ascii="仿宋" w:eastAsia="仿宋" w:hAnsi="仿宋" w:cs="仿宋" w:hint="eastAsia"/>
            <w:lang w:eastAsia="zh-CN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_Toc3145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0" w:history="1">
        <w:r>
          <w:rPr>
            <w:rFonts w:ascii="仿宋" w:eastAsia="仿宋" w:hAnsi="仿宋" w:cs="仿宋" w:hint="eastAsia"/>
            <w:lang w:eastAsia="zh-CN"/>
          </w:rPr>
          <w:t>(三)、政策与法规</w:t>
        </w:r>
        <w:r>
          <w:tab/>
        </w:r>
        <w:r>
          <w:fldChar w:fldCharType="begin"/>
        </w:r>
        <w:r>
          <w:instrText xml:space="preserve"> PAGEREF _Toc21250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5" w:history="1">
        <w:r>
          <w:rPr>
            <w:rFonts w:ascii="仿宋" w:eastAsia="仿宋" w:hAnsi="仿宋" w:cs="仿宋" w:hint="eastAsia"/>
            <w:lang w:eastAsia="zh-CN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_Toc2455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58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_Toc17158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_Toc18144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_Toc5073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5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_Toc10415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7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_Toc10097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47" w:history="1">
        <w:r>
          <w:rPr>
            <w:rFonts w:ascii="仿宋" w:eastAsia="仿宋" w:hAnsi="仿宋" w:cs="仿宋" w:hint="eastAsia"/>
            <w:lang w:eastAsia="zh-CN"/>
          </w:rPr>
          <w:t>六、数控高精度内外圆磨床项目工程设计研究</w:t>
        </w:r>
        <w:r>
          <w:tab/>
        </w:r>
        <w:r>
          <w:fldChar w:fldCharType="begin"/>
        </w:r>
        <w:r>
          <w:instrText xml:space="preserve"> PAGEREF _Toc8647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_Toc737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8" w:history="1">
        <w:r>
          <w:rPr>
            <w:rFonts w:ascii="仿宋" w:eastAsia="仿宋" w:hAnsi="仿宋" w:cs="仿宋" w:hint="eastAsia"/>
            <w:lang w:eastAsia="zh-CN"/>
          </w:rPr>
          <w:t>(二)、数控高精度内外圆磨床项目工程建设标准规范</w:t>
        </w:r>
        <w:r>
          <w:tab/>
        </w:r>
        <w:r>
          <w:fldChar w:fldCharType="begin"/>
        </w:r>
        <w:r>
          <w:instrText xml:space="preserve"> PAGEREF _Toc4978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9" w:history="1">
        <w:r>
          <w:rPr>
            <w:rFonts w:ascii="仿宋" w:eastAsia="仿宋" w:hAnsi="仿宋" w:cs="仿宋" w:hint="eastAsia"/>
            <w:lang w:eastAsia="zh-CN"/>
          </w:rPr>
          <w:t>(三)、数控高精度内外圆磨床项目总平面设计要求</w:t>
        </w:r>
        <w:r>
          <w:tab/>
        </w:r>
        <w:r>
          <w:fldChar w:fldCharType="begin"/>
        </w:r>
        <w:r>
          <w:instrText xml:space="preserve"> PAGEREF _Toc6549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2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_Toc9562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3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_Toc5743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1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_Toc31031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33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_Toc5433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" w:history="1">
        <w:r>
          <w:rPr>
            <w:rFonts w:ascii="仿宋" w:eastAsia="仿宋" w:hAnsi="仿宋" w:cs="仿宋" w:hint="eastAsia"/>
            <w:lang w:eastAsia="zh-CN"/>
          </w:rPr>
          <w:t>七、员工职业生涯规划与发展</w:t>
        </w:r>
        <w:r>
          <w:tab/>
        </w:r>
        <w:r>
          <w:fldChar w:fldCharType="begin"/>
        </w:r>
        <w:r>
          <w:instrText xml:space="preserve"> PAGEREF _Toc210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9" w:history="1">
        <w:r>
          <w:rPr>
            <w:rFonts w:ascii="仿宋" w:eastAsia="仿宋" w:hAnsi="仿宋" w:cs="仿宋" w:hint="eastAsia"/>
            <w:lang w:eastAsia="zh-CN"/>
          </w:rPr>
          <w:t>(一)、职业生涯规划概述</w:t>
        </w:r>
        <w:r>
          <w:tab/>
        </w:r>
        <w:r>
          <w:fldChar w:fldCharType="begin"/>
        </w:r>
        <w:r>
          <w:instrText xml:space="preserve"> PAGEREF _Toc6429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4" w:history="1">
        <w:r>
          <w:rPr>
            <w:rFonts w:ascii="仿宋" w:eastAsia="仿宋" w:hAnsi="仿宋" w:cs="仿宋" w:hint="eastAsia"/>
            <w:lang w:eastAsia="zh-CN"/>
          </w:rPr>
          <w:t>(二)、基本原则与方法</w:t>
        </w:r>
        <w:r>
          <w:tab/>
        </w:r>
        <w:r>
          <w:fldChar w:fldCharType="begin"/>
        </w:r>
        <w:r>
          <w:instrText xml:space="preserve"> PAGEREF _Toc12584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1" w:history="1">
        <w:r>
          <w:rPr>
            <w:rFonts w:ascii="仿宋" w:eastAsia="仿宋" w:hAnsi="仿宋" w:cs="仿宋" w:hint="eastAsia"/>
            <w:lang w:eastAsia="zh-CN"/>
          </w:rPr>
          <w:t>(三)、员工职业生涯管理</w:t>
        </w:r>
        <w:r>
          <w:tab/>
        </w:r>
        <w:r>
          <w:fldChar w:fldCharType="begin"/>
        </w:r>
        <w:r>
          <w:instrText xml:space="preserve"> PAGEREF _Toc12211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2" w:history="1">
        <w:r>
          <w:rPr>
            <w:rFonts w:ascii="仿宋" w:eastAsia="仿宋" w:hAnsi="仿宋" w:cs="仿宋" w:hint="eastAsia"/>
            <w:lang w:eastAsia="zh-CN"/>
          </w:rPr>
          <w:t>(四)、职业生涯发展支持体系</w:t>
        </w:r>
        <w:r>
          <w:tab/>
        </w:r>
        <w:r>
          <w:fldChar w:fldCharType="begin"/>
        </w:r>
        <w:r>
          <w:instrText xml:space="preserve"> PAGEREF _Toc25532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5" w:history="1">
        <w:r>
          <w:rPr>
            <w:rFonts w:ascii="仿宋" w:eastAsia="仿宋" w:hAnsi="仿宋" w:cs="仿宋" w:hint="eastAsia"/>
            <w:lang w:eastAsia="zh-CN"/>
          </w:rPr>
          <w:t>(五)、公司文化与员工职业发展融合</w:t>
        </w:r>
        <w:r>
          <w:tab/>
        </w:r>
        <w:r>
          <w:fldChar w:fldCharType="begin"/>
        </w:r>
        <w:r>
          <w:instrText xml:space="preserve"> PAGEREF _Toc28055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4" w:history="1">
        <w:r>
          <w:rPr>
            <w:rFonts w:ascii="仿宋" w:eastAsia="仿宋" w:hAnsi="仿宋" w:cs="仿宋" w:hint="eastAsia"/>
            <w:lang w:eastAsia="zh-CN"/>
          </w:rPr>
          <w:t>(六)、未来趋势与发展策略</w:t>
        </w:r>
        <w:r>
          <w:tab/>
        </w:r>
        <w:r>
          <w:fldChar w:fldCharType="begin"/>
        </w:r>
        <w:r>
          <w:instrText xml:space="preserve"> PAGEREF _Toc32594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317" w:history="1">
        <w:r>
          <w:rPr>
            <w:rFonts w:ascii="仿宋" w:eastAsia="仿宋" w:hAnsi="仿宋" w:cs="仿宋" w:hint="eastAsia"/>
            <w:lang w:eastAsia="zh-CN"/>
          </w:rPr>
          <w:t>八、节能评估</w:t>
        </w:r>
        <w:r>
          <w:tab/>
        </w:r>
        <w:r>
          <w:fldChar w:fldCharType="begin"/>
        </w:r>
        <w:r>
          <w:instrText xml:space="preserve"> PAGEREF _Toc6317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_Toc2986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7" w:history="1">
        <w:r>
          <w:rPr>
            <w:rFonts w:ascii="仿宋" w:eastAsia="仿宋" w:hAnsi="仿宋" w:cs="仿宋" w:hint="eastAsia"/>
            <w:lang w:eastAsia="zh-CN"/>
          </w:rPr>
          <w:t>(二)、数控高精度内外圆磨床项目预期节能综合评价</w:t>
        </w:r>
        <w:r>
          <w:tab/>
        </w:r>
        <w:r>
          <w:fldChar w:fldCharType="begin"/>
        </w:r>
        <w:r>
          <w:instrText xml:space="preserve"> PAGEREF _Toc13687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0" w:history="1">
        <w:r>
          <w:rPr>
            <w:rFonts w:ascii="仿宋" w:eastAsia="仿宋" w:hAnsi="仿宋" w:cs="仿宋" w:hint="eastAsia"/>
            <w:lang w:eastAsia="zh-CN"/>
          </w:rPr>
          <w:t>(三)、数控高精度内外圆磨床项目节能设计</w:t>
        </w:r>
        <w:r>
          <w:tab/>
        </w:r>
        <w:r>
          <w:fldChar w:fldCharType="begin"/>
        </w:r>
        <w:r>
          <w:instrText xml:space="preserve"> PAGEREF _Toc12280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85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_Toc6185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80" w:history="1">
        <w:r>
          <w:rPr>
            <w:rFonts w:ascii="仿宋" w:eastAsia="仿宋" w:hAnsi="仿宋" w:cs="仿宋" w:hint="eastAsia"/>
            <w:lang w:eastAsia="zh-CN"/>
          </w:rPr>
          <w:t>九、市场营销策略</w:t>
        </w:r>
        <w:r>
          <w:tab/>
        </w:r>
        <w:r>
          <w:fldChar w:fldCharType="begin"/>
        </w:r>
        <w:r>
          <w:instrText xml:space="preserve"> PAGEREF _Toc23080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2" w:history="1">
        <w:r>
          <w:rPr>
            <w:rFonts w:ascii="仿宋" w:eastAsia="仿宋" w:hAnsi="仿宋" w:cs="仿宋" w:hint="eastAsia"/>
            <w:lang w:eastAsia="zh-CN"/>
          </w:rPr>
          <w:t>(一)、市场调研与分析</w:t>
        </w:r>
        <w:r>
          <w:tab/>
        </w:r>
        <w:r>
          <w:fldChar w:fldCharType="begin"/>
        </w:r>
        <w:r>
          <w:instrText xml:space="preserve"> PAGEREF _Toc24422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5" w:history="1">
        <w:r>
          <w:rPr>
            <w:rFonts w:ascii="仿宋" w:eastAsia="仿宋" w:hAnsi="仿宋" w:cs="仿宋" w:hint="eastAsia"/>
            <w:lang w:eastAsia="zh-CN"/>
          </w:rPr>
          <w:t>(二)、目标客户群体确定</w:t>
        </w:r>
        <w:r>
          <w:tab/>
        </w:r>
        <w:r>
          <w:fldChar w:fldCharType="begin"/>
        </w:r>
        <w:r>
          <w:instrText xml:space="preserve"> PAGEREF _Toc32045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15" w:history="1">
        <w:r>
          <w:rPr>
            <w:rFonts w:ascii="仿宋" w:eastAsia="仿宋" w:hAnsi="仿宋" w:cs="仿宋" w:hint="eastAsia"/>
            <w:lang w:eastAsia="zh-CN"/>
          </w:rPr>
          <w:t>(三)、产品推广与宣传</w:t>
        </w:r>
        <w:r>
          <w:tab/>
        </w:r>
        <w:r>
          <w:fldChar w:fldCharType="begin"/>
        </w:r>
        <w:r>
          <w:instrText xml:space="preserve"> PAGEREF _Toc11715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" w:history="1">
        <w:r>
          <w:rPr>
            <w:rFonts w:ascii="仿宋" w:eastAsia="仿宋" w:hAnsi="仿宋" w:cs="仿宋" w:hint="eastAsia"/>
            <w:lang w:eastAsia="zh-CN"/>
          </w:rPr>
          <w:t>(四)、价格策略与销售渠道</w:t>
        </w:r>
        <w:r>
          <w:tab/>
        </w:r>
        <w:r>
          <w:fldChar w:fldCharType="begin"/>
        </w:r>
        <w:r>
          <w:instrText xml:space="preserve"> PAGEREF _Toc1777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08" w:history="1">
        <w:r>
          <w:rPr>
            <w:rFonts w:ascii="仿宋" w:eastAsia="仿宋" w:hAnsi="仿宋" w:cs="仿宋" w:hint="eastAsia"/>
            <w:lang w:eastAsia="zh-CN"/>
          </w:rPr>
          <w:t>十、数控高精度内外圆磨床行业市场营销总体思路</w:t>
        </w:r>
        <w:r>
          <w:tab/>
        </w:r>
        <w:r>
          <w:fldChar w:fldCharType="begin"/>
        </w:r>
        <w:r>
          <w:instrText xml:space="preserve"> PAGEREF _Toc24708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6" w:history="1">
        <w:r>
          <w:rPr>
            <w:rFonts w:ascii="仿宋" w:eastAsia="仿宋" w:hAnsi="仿宋" w:cs="仿宋" w:hint="eastAsia"/>
            <w:lang w:eastAsia="zh-CN"/>
          </w:rPr>
          <w:t>(一)、定位目标市场</w:t>
        </w:r>
        <w:r>
          <w:tab/>
        </w:r>
        <w:r>
          <w:fldChar w:fldCharType="begin"/>
        </w:r>
        <w:r>
          <w:instrText xml:space="preserve"> PAGEREF _Toc29346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2" w:history="1">
        <w:r>
          <w:rPr>
            <w:rFonts w:ascii="仿宋" w:eastAsia="仿宋" w:hAnsi="仿宋" w:cs="仿宋" w:hint="eastAsia"/>
            <w:lang w:eastAsia="zh-CN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_Toc13622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5" w:history="1">
        <w:r>
          <w:rPr>
            <w:rFonts w:ascii="仿宋" w:eastAsia="仿宋" w:hAnsi="仿宋" w:cs="仿宋" w:hint="eastAsia"/>
            <w:lang w:eastAsia="zh-CN"/>
          </w:rPr>
          <w:t>(三)、产品策略</w:t>
        </w:r>
        <w:r>
          <w:tab/>
        </w:r>
        <w:r>
          <w:fldChar w:fldCharType="begin"/>
        </w:r>
        <w:r>
          <w:instrText xml:space="preserve"> PAGEREF _Toc16995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5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_Toc7435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0" w:history="1">
        <w:r>
          <w:rPr>
            <w:rFonts w:ascii="仿宋" w:eastAsia="仿宋" w:hAnsi="仿宋" w:cs="仿宋" w:hint="eastAsia"/>
            <w:lang w:eastAsia="zh-CN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_Toc17340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6" w:history="1">
        <w:r>
          <w:rPr>
            <w:rFonts w:ascii="仿宋" w:eastAsia="仿宋" w:hAnsi="仿宋" w:cs="仿宋" w:hint="eastAsia"/>
            <w:lang w:eastAsia="zh-CN"/>
          </w:rPr>
          <w:t>(六)、客户关系管理</w:t>
        </w:r>
        <w:r>
          <w:tab/>
        </w:r>
        <w:r>
          <w:fldChar w:fldCharType="begin"/>
        </w:r>
        <w:r>
          <w:instrText xml:space="preserve"> PAGEREF _Toc13346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01" w:history="1">
        <w:r>
          <w:rPr>
            <w:rFonts w:ascii="仿宋" w:eastAsia="仿宋" w:hAnsi="仿宋" w:cs="仿宋" w:hint="eastAsia"/>
            <w:lang w:eastAsia="zh-CN"/>
          </w:rPr>
          <w:t>十一、数控高精度内外圆磨床项目可行性研究</w:t>
        </w:r>
        <w:r>
          <w:tab/>
        </w:r>
        <w:r>
          <w:fldChar w:fldCharType="begin"/>
        </w:r>
        <w:r>
          <w:instrText xml:space="preserve"> PAGEREF _Toc23601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5" w:history="1">
        <w:r>
          <w:rPr>
            <w:rFonts w:ascii="仿宋" w:eastAsia="仿宋" w:hAnsi="仿宋" w:cs="仿宋" w:hint="eastAsia"/>
            <w:lang w:eastAsia="zh-CN"/>
          </w:rPr>
          <w:t>(一)、市场需求与竞争分析</w:t>
        </w:r>
        <w:r>
          <w:tab/>
        </w:r>
        <w:r>
          <w:fldChar w:fldCharType="begin"/>
        </w:r>
        <w:r>
          <w:instrText xml:space="preserve"> PAGEREF _Toc17455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9" w:history="1">
        <w:r>
          <w:rPr>
            <w:rFonts w:ascii="仿宋" w:eastAsia="仿宋" w:hAnsi="仿宋" w:cs="仿宋" w:hint="eastAsia"/>
            <w:lang w:eastAsia="zh-CN"/>
          </w:rPr>
          <w:t>(二)、技术可行性与创新</w:t>
        </w:r>
        <w:r>
          <w:tab/>
        </w:r>
        <w:r>
          <w:fldChar w:fldCharType="begin"/>
        </w:r>
        <w:r>
          <w:instrText xml:space="preserve"> PAGEREF _Toc18409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1" w:history="1">
        <w:r>
          <w:rPr>
            <w:rFonts w:ascii="仿宋" w:eastAsia="仿宋" w:hAnsi="仿宋" w:cs="仿宋" w:hint="eastAsia"/>
            <w:lang w:eastAsia="zh-CN"/>
          </w:rPr>
          <w:t>(三)、环境影响与可持续性评估</w:t>
        </w:r>
        <w:r>
          <w:tab/>
        </w:r>
        <w:r>
          <w:fldChar w:fldCharType="begin"/>
        </w:r>
        <w:r>
          <w:instrText xml:space="preserve"> PAGEREF _Toc13581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84" w:history="1">
        <w:r>
          <w:rPr>
            <w:rFonts w:ascii="仿宋" w:eastAsia="仿宋" w:hAnsi="仿宋" w:cs="仿宋" w:hint="eastAsia"/>
            <w:lang w:eastAsia="zh-CN"/>
          </w:rPr>
          <w:t>十二、创新驱动</w:t>
        </w:r>
        <w:r>
          <w:tab/>
        </w:r>
        <w:r>
          <w:fldChar w:fldCharType="begin"/>
        </w:r>
        <w:r>
          <w:instrText xml:space="preserve"> PAGEREF _Toc16984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32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_Toc9032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5" w:history="1">
        <w:r>
          <w:rPr>
            <w:rFonts w:ascii="仿宋" w:eastAsia="仿宋" w:hAnsi="仿宋" w:cs="仿宋" w:hint="eastAsia"/>
            <w:lang w:eastAsia="zh-CN"/>
          </w:rPr>
          <w:t>(二)、数控高精度内外圆磨床项目技术工艺分析</w:t>
        </w:r>
        <w:r>
          <w:tab/>
        </w:r>
        <w:r>
          <w:fldChar w:fldCharType="begin"/>
        </w:r>
        <w:r>
          <w:instrText xml:space="preserve"> PAGEREF _Toc4405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5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_Toc21415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2" w:history="1">
        <w:r>
          <w:rPr>
            <w:rFonts w:ascii="仿宋" w:eastAsia="仿宋" w:hAnsi="仿宋" w:cs="仿宋" w:hint="eastAsia"/>
            <w:lang w:eastAsia="zh-CN"/>
          </w:rPr>
          <w:t>(四)、创新发展总结</w:t>
        </w:r>
        <w:r>
          <w:tab/>
        </w:r>
        <w:r>
          <w:fldChar w:fldCharType="begin"/>
        </w:r>
        <w:r>
          <w:instrText xml:space="preserve"> PAGEREF _Toc27732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62" w:history="1">
        <w:r>
          <w:rPr>
            <w:rFonts w:ascii="仿宋" w:eastAsia="仿宋" w:hAnsi="仿宋" w:cs="仿宋" w:hint="eastAsia"/>
            <w:lang w:eastAsia="zh-CN"/>
          </w:rPr>
          <w:t>十三、项目质量与标准</w:t>
        </w:r>
        <w:r>
          <w:tab/>
        </w:r>
        <w:r>
          <w:fldChar w:fldCharType="begin"/>
        </w:r>
        <w:r>
          <w:instrText xml:space="preserve"> PAGEREF _Toc13362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0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_Toc20760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6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_Toc24146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_Toc1683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0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_Toc27380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58" w:history="1">
        <w:r>
          <w:rPr>
            <w:rFonts w:ascii="仿宋" w:eastAsia="仿宋" w:hAnsi="仿宋" w:cs="仿宋" w:hint="eastAsia"/>
            <w:lang w:eastAsia="zh-CN"/>
          </w:rPr>
          <w:t>十四、第四十章员工身心健康管理</w:t>
        </w:r>
        <w:r>
          <w:tab/>
        </w:r>
        <w:r>
          <w:fldChar w:fldCharType="begin"/>
        </w:r>
        <w:r>
          <w:instrText xml:space="preserve"> PAGEREF _Toc32658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3" w:history="1">
        <w:r>
          <w:rPr>
            <w:rFonts w:ascii="仿宋" w:eastAsia="仿宋" w:hAnsi="仿宋" w:cs="仿宋" w:hint="eastAsia"/>
            <w:lang w:eastAsia="zh-CN"/>
          </w:rPr>
          <w:t>(一)、健康促进计划</w:t>
        </w:r>
        <w:r>
          <w:tab/>
        </w:r>
        <w:r>
          <w:fldChar w:fldCharType="begin"/>
        </w:r>
        <w:r>
          <w:instrText xml:space="preserve"> PAGEREF _Toc12513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6" w:history="1">
        <w:r>
          <w:rPr>
            <w:rFonts w:ascii="仿宋" w:eastAsia="仿宋" w:hAnsi="仿宋" w:cs="仿宋" w:hint="eastAsia"/>
            <w:lang w:eastAsia="zh-CN"/>
          </w:rPr>
          <w:t>(二)、健康饮食与运动计划</w:t>
        </w:r>
        <w:r>
          <w:tab/>
        </w:r>
        <w:r>
          <w:fldChar w:fldCharType="begin"/>
        </w:r>
        <w:r>
          <w:instrText xml:space="preserve"> PAGEREF _Toc29226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" w:history="1">
        <w:r>
          <w:rPr>
            <w:rFonts w:ascii="仿宋" w:eastAsia="仿宋" w:hAnsi="仿宋" w:cs="仿宋" w:hint="eastAsia"/>
            <w:lang w:eastAsia="zh-CN"/>
          </w:rPr>
          <w:t>(三)、心理健康服务与支持</w:t>
        </w:r>
        <w:r>
          <w:tab/>
        </w:r>
        <w:r>
          <w:fldChar w:fldCharType="begin"/>
        </w:r>
        <w:r>
          <w:instrText xml:space="preserve"> PAGEREF _Toc1697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2" w:history="1">
        <w:r>
          <w:rPr>
            <w:rFonts w:ascii="仿宋" w:eastAsia="仿宋" w:hAnsi="仿宋" w:cs="仿宋" w:hint="eastAsia"/>
            <w:lang w:eastAsia="zh-CN"/>
          </w:rPr>
          <w:t>(四)、工作压力管理</w:t>
        </w:r>
        <w:r>
          <w:tab/>
        </w:r>
        <w:r>
          <w:fldChar w:fldCharType="begin"/>
        </w:r>
        <w:r>
          <w:instrText xml:space="preserve"> PAGEREF _Toc30842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4" w:history="1">
        <w:r>
          <w:rPr>
            <w:rFonts w:ascii="仿宋" w:eastAsia="仿宋" w:hAnsi="仿宋" w:cs="仿宋" w:hint="eastAsia"/>
            <w:lang w:eastAsia="zh-CN"/>
          </w:rPr>
          <w:t>(五)、工作负荷评估与调整</w:t>
        </w:r>
        <w:r>
          <w:tab/>
        </w:r>
        <w:r>
          <w:fldChar w:fldCharType="begin"/>
        </w:r>
        <w:r>
          <w:instrText xml:space="preserve"> PAGEREF _Toc11424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7" w:history="1">
        <w:r>
          <w:rPr>
            <w:rFonts w:ascii="仿宋" w:eastAsia="仿宋" w:hAnsi="仿宋" w:cs="仿宋" w:hint="eastAsia"/>
            <w:lang w:eastAsia="zh-CN"/>
          </w:rPr>
          <w:t>(六)、员工心理咨询与支持</w:t>
        </w:r>
        <w:r>
          <w:tab/>
        </w:r>
        <w:r>
          <w:fldChar w:fldCharType="begin"/>
        </w:r>
        <w:r>
          <w:instrText xml:space="preserve"> PAGEREF _Toc27847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04" w:history="1">
        <w:r>
          <w:rPr>
            <w:rFonts w:ascii="仿宋" w:eastAsia="仿宋" w:hAnsi="仿宋" w:cs="仿宋" w:hint="eastAsia"/>
            <w:lang w:eastAsia="zh-CN"/>
          </w:rPr>
          <w:t>十五、数控高精度内外圆磨床行业企业过去战略的影响</w:t>
        </w:r>
        <w:r>
          <w:tab/>
        </w:r>
        <w:r>
          <w:fldChar w:fldCharType="begin"/>
        </w:r>
        <w:r>
          <w:instrText xml:space="preserve"> PAGEREF _Toc27004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" w:history="1">
        <w:r>
          <w:rPr>
            <w:rFonts w:ascii="仿宋" w:eastAsia="仿宋" w:hAnsi="仿宋" w:cs="仿宋" w:hint="eastAsia"/>
            <w:lang w:eastAsia="zh-CN"/>
          </w:rPr>
          <w:t>(一)、数控高精度内外圆磨床行业企业过去战略的影响</w:t>
        </w:r>
        <w:r>
          <w:tab/>
        </w:r>
        <w:r>
          <w:fldChar w:fldCharType="begin"/>
        </w:r>
        <w:r>
          <w:instrText xml:space="preserve"> PAGEREF _Toc788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77" w:history="1">
        <w:r>
          <w:rPr>
            <w:rFonts w:ascii="仿宋" w:eastAsia="仿宋" w:hAnsi="仿宋" w:cs="仿宋" w:hint="eastAsia"/>
            <w:lang w:eastAsia="zh-CN"/>
          </w:rPr>
          <w:t>十六、人力资源管理与开发</w:t>
        </w:r>
        <w:r>
          <w:tab/>
        </w:r>
        <w:r>
          <w:fldChar w:fldCharType="begin"/>
        </w:r>
        <w:r>
          <w:instrText xml:space="preserve"> PAGEREF _Toc29077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6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_Toc29926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55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_Toc15455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89" w:history="1">
        <w:r>
          <w:rPr>
            <w:rFonts w:ascii="仿宋" w:eastAsia="仿宋" w:hAnsi="仿宋" w:cs="仿宋" w:hint="eastAsia"/>
            <w:lang w:eastAsia="zh-CN"/>
          </w:rPr>
          <w:t>十七、战略的定量评价决策方法</w:t>
        </w:r>
        <w:r>
          <w:tab/>
        </w:r>
        <w:r>
          <w:fldChar w:fldCharType="begin"/>
        </w:r>
        <w:r>
          <w:instrText xml:space="preserve"> PAGEREF _Toc30689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622" w:history="1">
        <w:r>
          <w:rPr>
            <w:rFonts w:ascii="仿宋" w:eastAsia="仿宋" w:hAnsi="仿宋" w:cs="仿宋" w:hint="eastAsia"/>
            <w:lang w:eastAsia="zh-CN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_Toc15622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44" w:history="1">
        <w:r>
          <w:rPr>
            <w:rFonts w:ascii="仿宋" w:eastAsia="仿宋" w:hAnsi="仿宋" w:cs="仿宋" w:hint="eastAsia"/>
            <w:lang w:eastAsia="zh-CN"/>
          </w:rPr>
          <w:t>十八、特殊环境影响分析</w:t>
        </w:r>
        <w:r>
          <w:tab/>
        </w:r>
        <w:r>
          <w:fldChar w:fldCharType="begin"/>
        </w:r>
        <w:r>
          <w:instrText xml:space="preserve"> PAGEREF _Toc15944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6" w:history="1">
        <w:r>
          <w:rPr>
            <w:rFonts w:ascii="仿宋" w:eastAsia="仿宋" w:hAnsi="仿宋" w:cs="仿宋" w:hint="eastAsia"/>
            <w:lang w:eastAsia="zh-CN"/>
          </w:rPr>
          <w:t>(一)、对特殊环境的保护要求</w:t>
        </w:r>
        <w:r>
          <w:tab/>
        </w:r>
        <w:r>
          <w:fldChar w:fldCharType="begin"/>
        </w:r>
        <w:r>
          <w:instrText xml:space="preserve"> PAGEREF _Toc24926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7" w:history="1">
        <w:r>
          <w:rPr>
            <w:rFonts w:ascii="仿宋" w:eastAsia="仿宋" w:hAnsi="仿宋" w:cs="仿宋" w:hint="eastAsia"/>
            <w:lang w:eastAsia="zh-CN"/>
          </w:rPr>
          <w:t>(二)、对特殊环境的影响分析</w:t>
        </w:r>
        <w:r>
          <w:tab/>
        </w:r>
        <w:r>
          <w:fldChar w:fldCharType="begin"/>
        </w:r>
        <w:r>
          <w:instrText xml:space="preserve"> PAGEREF _Toc30907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2" w:history="1">
        <w:r>
          <w:rPr>
            <w:rFonts w:ascii="仿宋" w:eastAsia="仿宋" w:hAnsi="仿宋" w:cs="仿宋" w:hint="eastAsia"/>
            <w:lang w:eastAsia="zh-CN"/>
          </w:rPr>
          <w:t>(三)、特殊环境影响缓解措施</w:t>
        </w:r>
        <w:r>
          <w:tab/>
        </w:r>
        <w:r>
          <w:fldChar w:fldCharType="begin"/>
        </w:r>
        <w:r>
          <w:instrText xml:space="preserve"> PAGEREF _Toc4412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05" w:history="1">
        <w:r>
          <w:rPr>
            <w:rFonts w:ascii="仿宋" w:eastAsia="仿宋" w:hAnsi="仿宋" w:cs="仿宋" w:hint="eastAsia"/>
            <w:lang w:eastAsia="zh-CN"/>
          </w:rPr>
          <w:t>十九、危机管理与应急响应</w:t>
        </w:r>
        <w:r>
          <w:tab/>
        </w:r>
        <w:r>
          <w:fldChar w:fldCharType="begin"/>
        </w:r>
        <w:r>
          <w:instrText xml:space="preserve"> PAGEREF _Toc19105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3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_Toc31143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9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_Toc28449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_Toc2694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8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_Toc31378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4" w:history="1">
        <w:r>
          <w:rPr>
            <w:rFonts w:ascii="仿宋" w:eastAsia="仿宋" w:hAnsi="仿宋" w:cs="仿宋" w:hint="eastAsia"/>
            <w:lang w:eastAsia="zh-CN"/>
          </w:rPr>
          <w:t>二十、合同与法务管理</w:t>
        </w:r>
        <w:r>
          <w:tab/>
        </w:r>
        <w:r>
          <w:fldChar w:fldCharType="begin"/>
        </w:r>
        <w:r>
          <w:instrText xml:space="preserve"> PAGEREF _Toc684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5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_Toc17615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8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_Toc1408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6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_Toc10966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01" w:history="1">
        <w:r>
          <w:rPr>
            <w:rFonts w:ascii="仿宋" w:eastAsia="仿宋" w:hAnsi="仿宋" w:cs="仿宋" w:hint="eastAsia"/>
            <w:lang w:eastAsia="zh-CN"/>
          </w:rPr>
          <w:t>二十一、竞争分析</w:t>
        </w:r>
        <w:r>
          <w:tab/>
        </w:r>
        <w:r>
          <w:fldChar w:fldCharType="begin"/>
        </w:r>
        <w:r>
          <w:instrText xml:space="preserve"> PAGEREF _Toc20101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" w:history="1">
        <w:r>
          <w:rPr>
            <w:rFonts w:ascii="仿宋" w:eastAsia="仿宋" w:hAnsi="仿宋" w:cs="仿宋" w:hint="eastAsia"/>
            <w:lang w:eastAsia="zh-CN"/>
          </w:rPr>
          <w:t>(一)、主要竞争对手概述</w:t>
        </w:r>
        <w:r>
          <w:tab/>
        </w:r>
        <w:r>
          <w:fldChar w:fldCharType="begin"/>
        </w:r>
        <w:r>
          <w:instrText xml:space="preserve"> PAGEREF _Toc2705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0" w:history="1">
        <w:r>
          <w:rPr>
            <w:rFonts w:ascii="仿宋" w:eastAsia="仿宋" w:hAnsi="仿宋" w:cs="仿宋" w:hint="eastAsia"/>
            <w:lang w:eastAsia="zh-CN"/>
          </w:rPr>
          <w:t>(二)、竞争对手优势和劣势分析</w:t>
        </w:r>
        <w:r>
          <w:tab/>
        </w:r>
        <w:r>
          <w:fldChar w:fldCharType="begin"/>
        </w:r>
        <w:r>
          <w:instrText xml:space="preserve"> PAGEREF _Toc31380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6" w:history="1">
        <w:r>
          <w:rPr>
            <w:rFonts w:ascii="仿宋" w:eastAsia="仿宋" w:hAnsi="仿宋" w:cs="仿宋" w:hint="eastAsia"/>
            <w:lang w:eastAsia="zh-CN"/>
          </w:rPr>
          <w:t>(三)、市场份额和竞争定位</w:t>
        </w:r>
        <w:r>
          <w:tab/>
        </w:r>
        <w:r>
          <w:fldChar w:fldCharType="begin"/>
        </w:r>
        <w:r>
          <w:instrText xml:space="preserve"> PAGEREF _Toc12736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9" w:history="1">
        <w:r>
          <w:rPr>
            <w:rFonts w:ascii="仿宋" w:eastAsia="仿宋" w:hAnsi="仿宋" w:cs="仿宋" w:hint="eastAsia"/>
            <w:lang w:eastAsia="zh-CN"/>
          </w:rPr>
          <w:t>(四)、竞争策略和反应计划</w:t>
        </w:r>
        <w:r>
          <w:tab/>
        </w:r>
        <w:r>
          <w:fldChar w:fldCharType="begin"/>
        </w:r>
        <w:r>
          <w:instrText xml:space="preserve"> PAGEREF _Toc23439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" w:history="1">
        <w:r>
          <w:rPr>
            <w:rFonts w:ascii="仿宋" w:eastAsia="仿宋" w:hAnsi="仿宋" w:cs="仿宋" w:hint="eastAsia"/>
            <w:lang w:eastAsia="zh-CN"/>
          </w:rPr>
          <w:t>(五)、创新和差异化战略</w:t>
        </w:r>
        <w:r>
          <w:tab/>
        </w:r>
        <w:r>
          <w:fldChar w:fldCharType="begin"/>
        </w:r>
        <w:r>
          <w:instrText xml:space="preserve"> PAGEREF _Toc346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30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005"/>
      <w:r>
        <w:rPr>
          <w:rFonts w:ascii="仿宋" w:eastAsia="仿宋" w:hAnsi="仿宋" w:cs="仿宋" w:hint="eastAsia"/>
          <w:sz w:val="28"/>
          <w:lang w:eastAsia="zh-CN"/>
        </w:rPr>
        <w:t>一、经营分析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89"/>
      <w:r>
        <w:rPr>
          <w:rFonts w:ascii="仿宋" w:eastAsia="仿宋" w:hAnsi="仿宋" w:cs="仿宋" w:hint="eastAsia"/>
          <w:lang w:eastAsia="zh-CN"/>
        </w:rPr>
        <w:t>(一)、运营情况说明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最新数据显示，到目前为止，该数控高精度内外圆磨床项目（公司）的总资产达到了xx,xxx.xx万元。其中，流动资产总额为xx,xxx.xx万元，占总资产的xx.xx%。资产负债率为xx.xx%，表明该数控高精度内外圆磨床项目（公司）的财务状况健康稳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资产规模的增长显示该数控高精度内外圆磨床项目（公司）已经取得了显著的资产积累进展。流动资产所占比重表明该数控高精度内外圆磨床项目（公司）具备足够的流动性，能够应对日常运营和突发情况的需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https://d.book118.com/388070110073006042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数控高精度内外圆磨床项目安全调研评估报告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数控高精度内外圆磨床项目安全调研评估报告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数控高精度内外圆磨床项目安全调研评估报告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数控高精度内外圆磨床项目安全调研评估报告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数控高精度内外圆磨床项目安全调研评估报告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9F6059"/>
    <w:rsid w:val="2D9F6059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88070110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2024-02-24T12:05:00Z</dcterms:created>
  <dcterms:modified xsi:type="dcterms:W3CDTF">2024-02-24T12:05:54Z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EBB3B38F68894CF587B64752D341E562_11</vt:lpwstr>
  </property>
  <property fmtid="{D5CDD505-2E9C-101B-9397-08002B2CF9AE}" pid="3" name="KSOProductBuildVer">
    <vt:lpwstr>2052-12.1.0.16250</vt:lpwstr>
  </property>
</Properties>
</file>