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水处理药剂项目规划设计方案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20118" w:history="1">
        <w:r>
          <w:rPr>
            <w:rFonts w:ascii="仿宋" w:eastAsia="仿宋" w:hAnsi="仿宋" w:cs="仿宋" w:hint="eastAsia"/>
            <w:lang w:eastAsia="zh-CN"/>
          </w:rPr>
          <w:t>前言</w:t>
        </w:r>
        <w:r>
          <w:tab/>
        </w:r>
        <w:r>
          <w:fldChar w:fldCharType="begin"/>
        </w:r>
        <w:r>
          <w:instrText xml:space="preserve"> PAGEREF _Toc20118 \h </w:instrText>
        </w:r>
        <w:r>
          <w:fldChar w:fldCharType="separate"/>
        </w:r>
        <w:r>
          <w:t>3</w:t>
        </w:r>
        <w:r>
          <w:fldChar w:fldCharType="end"/>
        </w:r>
      </w:hyperlink>
    </w:p>
    <w:p>
      <w:pPr>
        <w:pStyle w:val="TOC1"/>
        <w:tabs>
          <w:tab w:val="right" w:leader="dot" w:pos="8306"/>
        </w:tabs>
      </w:pPr>
      <w:hyperlink w:anchor="_Toc15427" w:history="1">
        <w:r>
          <w:rPr>
            <w:rFonts w:ascii="仿宋" w:eastAsia="仿宋" w:hAnsi="仿宋" w:cs="仿宋" w:hint="eastAsia"/>
            <w:lang w:eastAsia="zh-CN"/>
          </w:rPr>
          <w:t>一、水处理药剂项目选址可行性分析</w:t>
        </w:r>
        <w:r>
          <w:tab/>
        </w:r>
        <w:r>
          <w:fldChar w:fldCharType="begin"/>
        </w:r>
        <w:r>
          <w:instrText xml:space="preserve"> PAGEREF _Toc15427 \h </w:instrText>
        </w:r>
        <w:r>
          <w:fldChar w:fldCharType="separate"/>
        </w:r>
        <w:r>
          <w:t>3</w:t>
        </w:r>
        <w:r>
          <w:fldChar w:fldCharType="end"/>
        </w:r>
      </w:hyperlink>
    </w:p>
    <w:p>
      <w:pPr>
        <w:pStyle w:val="TOC2"/>
        <w:tabs>
          <w:tab w:val="right" w:leader="dot" w:pos="8306"/>
        </w:tabs>
      </w:pPr>
      <w:hyperlink w:anchor="_Toc17215" w:history="1">
        <w:r>
          <w:rPr>
            <w:rFonts w:ascii="仿宋" w:eastAsia="仿宋" w:hAnsi="仿宋" w:cs="仿宋" w:hint="eastAsia"/>
            <w:lang w:eastAsia="zh-CN"/>
          </w:rPr>
          <w:t>(一)、水处理药剂项目选址</w:t>
        </w:r>
        <w:r>
          <w:tab/>
        </w:r>
        <w:r>
          <w:fldChar w:fldCharType="begin"/>
        </w:r>
        <w:r>
          <w:instrText xml:space="preserve"> PAGEREF _Toc17215 \h </w:instrText>
        </w:r>
        <w:r>
          <w:fldChar w:fldCharType="separate"/>
        </w:r>
        <w:r>
          <w:t>3</w:t>
        </w:r>
        <w:r>
          <w:fldChar w:fldCharType="end"/>
        </w:r>
      </w:hyperlink>
    </w:p>
    <w:p>
      <w:pPr>
        <w:pStyle w:val="TOC2"/>
        <w:tabs>
          <w:tab w:val="right" w:leader="dot" w:pos="8306"/>
        </w:tabs>
      </w:pPr>
      <w:hyperlink w:anchor="_Toc9272" w:history="1">
        <w:r>
          <w:rPr>
            <w:rFonts w:ascii="仿宋" w:eastAsia="仿宋" w:hAnsi="仿宋" w:cs="仿宋" w:hint="eastAsia"/>
            <w:lang w:eastAsia="zh-CN"/>
          </w:rPr>
          <w:t>(二)、用地控制指标</w:t>
        </w:r>
        <w:r>
          <w:tab/>
        </w:r>
        <w:r>
          <w:fldChar w:fldCharType="begin"/>
        </w:r>
        <w:r>
          <w:instrText xml:space="preserve"> PAGEREF _Toc9272 \h </w:instrText>
        </w:r>
        <w:r>
          <w:fldChar w:fldCharType="separate"/>
        </w:r>
        <w:r>
          <w:t>3</w:t>
        </w:r>
        <w:r>
          <w:fldChar w:fldCharType="end"/>
        </w:r>
      </w:hyperlink>
    </w:p>
    <w:p>
      <w:pPr>
        <w:pStyle w:val="TOC2"/>
        <w:tabs>
          <w:tab w:val="right" w:leader="dot" w:pos="8306"/>
        </w:tabs>
      </w:pPr>
      <w:hyperlink w:anchor="_Toc11699" w:history="1">
        <w:r>
          <w:rPr>
            <w:rFonts w:ascii="仿宋" w:eastAsia="仿宋" w:hAnsi="仿宋" w:cs="仿宋" w:hint="eastAsia"/>
            <w:lang w:eastAsia="zh-CN"/>
          </w:rPr>
          <w:t>(三)、节约用地措施</w:t>
        </w:r>
        <w:r>
          <w:tab/>
        </w:r>
        <w:r>
          <w:fldChar w:fldCharType="begin"/>
        </w:r>
        <w:r>
          <w:instrText xml:space="preserve"> PAGEREF _Toc11699 \h </w:instrText>
        </w:r>
        <w:r>
          <w:fldChar w:fldCharType="separate"/>
        </w:r>
        <w:r>
          <w:t>5</w:t>
        </w:r>
        <w:r>
          <w:fldChar w:fldCharType="end"/>
        </w:r>
      </w:hyperlink>
    </w:p>
    <w:p>
      <w:pPr>
        <w:pStyle w:val="TOC2"/>
        <w:tabs>
          <w:tab w:val="right" w:leader="dot" w:pos="8306"/>
        </w:tabs>
      </w:pPr>
      <w:hyperlink w:anchor="_Toc8575" w:history="1">
        <w:r>
          <w:rPr>
            <w:rFonts w:ascii="仿宋" w:eastAsia="仿宋" w:hAnsi="仿宋" w:cs="仿宋" w:hint="eastAsia"/>
            <w:lang w:eastAsia="zh-CN"/>
          </w:rPr>
          <w:t>(四)、总图布置方案</w:t>
        </w:r>
        <w:r>
          <w:tab/>
        </w:r>
        <w:r>
          <w:fldChar w:fldCharType="begin"/>
        </w:r>
        <w:r>
          <w:instrText xml:space="preserve"> PAGEREF _Toc8575 \h </w:instrText>
        </w:r>
        <w:r>
          <w:fldChar w:fldCharType="separate"/>
        </w:r>
        <w:r>
          <w:t>6</w:t>
        </w:r>
        <w:r>
          <w:fldChar w:fldCharType="end"/>
        </w:r>
      </w:hyperlink>
    </w:p>
    <w:p>
      <w:pPr>
        <w:pStyle w:val="TOC2"/>
        <w:tabs>
          <w:tab w:val="right" w:leader="dot" w:pos="8306"/>
        </w:tabs>
      </w:pPr>
      <w:hyperlink w:anchor="_Toc5398" w:history="1">
        <w:r>
          <w:rPr>
            <w:rFonts w:ascii="仿宋" w:eastAsia="仿宋" w:hAnsi="仿宋" w:cs="仿宋" w:hint="eastAsia"/>
            <w:lang w:eastAsia="zh-CN"/>
          </w:rPr>
          <w:t>(五)、选址综合评价</w:t>
        </w:r>
        <w:r>
          <w:tab/>
        </w:r>
        <w:r>
          <w:fldChar w:fldCharType="begin"/>
        </w:r>
        <w:r>
          <w:instrText xml:space="preserve"> PAGEREF _Toc5398 \h </w:instrText>
        </w:r>
        <w:r>
          <w:fldChar w:fldCharType="separate"/>
        </w:r>
        <w:r>
          <w:t>7</w:t>
        </w:r>
        <w:r>
          <w:fldChar w:fldCharType="end"/>
        </w:r>
      </w:hyperlink>
    </w:p>
    <w:p>
      <w:pPr>
        <w:pStyle w:val="TOC1"/>
        <w:tabs>
          <w:tab w:val="right" w:leader="dot" w:pos="8306"/>
        </w:tabs>
      </w:pPr>
      <w:hyperlink w:anchor="_Toc3663" w:history="1">
        <w:r>
          <w:rPr>
            <w:rFonts w:ascii="仿宋" w:eastAsia="仿宋" w:hAnsi="仿宋" w:cs="仿宋" w:hint="eastAsia"/>
            <w:lang w:eastAsia="zh-CN"/>
          </w:rPr>
          <w:t>二、水处理药剂项目概论</w:t>
        </w:r>
        <w:r>
          <w:tab/>
        </w:r>
        <w:r>
          <w:fldChar w:fldCharType="begin"/>
        </w:r>
        <w:r>
          <w:instrText xml:space="preserve"> PAGEREF _Toc3663 \h </w:instrText>
        </w:r>
        <w:r>
          <w:fldChar w:fldCharType="separate"/>
        </w:r>
        <w:r>
          <w:t>8</w:t>
        </w:r>
        <w:r>
          <w:fldChar w:fldCharType="end"/>
        </w:r>
      </w:hyperlink>
    </w:p>
    <w:p>
      <w:pPr>
        <w:pStyle w:val="TOC2"/>
        <w:tabs>
          <w:tab w:val="right" w:leader="dot" w:pos="8306"/>
        </w:tabs>
      </w:pPr>
      <w:hyperlink w:anchor="_Toc9180" w:history="1">
        <w:r>
          <w:rPr>
            <w:rFonts w:ascii="仿宋" w:eastAsia="仿宋" w:hAnsi="仿宋" w:cs="仿宋" w:hint="eastAsia"/>
            <w:lang w:eastAsia="zh-CN"/>
          </w:rPr>
          <w:t>(一)、水处理药剂项目概况</w:t>
        </w:r>
        <w:r>
          <w:tab/>
        </w:r>
        <w:r>
          <w:fldChar w:fldCharType="begin"/>
        </w:r>
        <w:r>
          <w:instrText xml:space="preserve"> PAGEREF _Toc9180 \h </w:instrText>
        </w:r>
        <w:r>
          <w:fldChar w:fldCharType="separate"/>
        </w:r>
        <w:r>
          <w:t>8</w:t>
        </w:r>
        <w:r>
          <w:fldChar w:fldCharType="end"/>
        </w:r>
      </w:hyperlink>
    </w:p>
    <w:p>
      <w:pPr>
        <w:pStyle w:val="TOC2"/>
        <w:tabs>
          <w:tab w:val="right" w:leader="dot" w:pos="8306"/>
        </w:tabs>
      </w:pPr>
      <w:hyperlink w:anchor="_Toc10239" w:history="1">
        <w:r>
          <w:rPr>
            <w:rFonts w:ascii="仿宋" w:eastAsia="仿宋" w:hAnsi="仿宋" w:cs="仿宋" w:hint="eastAsia"/>
            <w:lang w:eastAsia="zh-CN"/>
          </w:rPr>
          <w:t>(二)、水处理药剂项目目标</w:t>
        </w:r>
        <w:r>
          <w:tab/>
        </w:r>
        <w:r>
          <w:fldChar w:fldCharType="begin"/>
        </w:r>
        <w:r>
          <w:instrText xml:space="preserve"> PAGEREF _Toc10239 \h </w:instrText>
        </w:r>
        <w:r>
          <w:fldChar w:fldCharType="separate"/>
        </w:r>
        <w:r>
          <w:t>11</w:t>
        </w:r>
        <w:r>
          <w:fldChar w:fldCharType="end"/>
        </w:r>
      </w:hyperlink>
    </w:p>
    <w:p>
      <w:pPr>
        <w:pStyle w:val="TOC2"/>
        <w:tabs>
          <w:tab w:val="right" w:leader="dot" w:pos="8306"/>
        </w:tabs>
      </w:pPr>
      <w:hyperlink w:anchor="_Toc13288" w:history="1">
        <w:r>
          <w:rPr>
            <w:rFonts w:ascii="仿宋" w:eastAsia="仿宋" w:hAnsi="仿宋" w:cs="仿宋" w:hint="eastAsia"/>
            <w:lang w:eastAsia="zh-CN"/>
          </w:rPr>
          <w:t>(三)、水处理药剂项目提出的理由</w:t>
        </w:r>
        <w:r>
          <w:tab/>
        </w:r>
        <w:r>
          <w:fldChar w:fldCharType="begin"/>
        </w:r>
        <w:r>
          <w:instrText xml:space="preserve"> PAGEREF _Toc13288 \h </w:instrText>
        </w:r>
        <w:r>
          <w:fldChar w:fldCharType="separate"/>
        </w:r>
        <w:r>
          <w:t>11</w:t>
        </w:r>
        <w:r>
          <w:fldChar w:fldCharType="end"/>
        </w:r>
      </w:hyperlink>
    </w:p>
    <w:p>
      <w:pPr>
        <w:pStyle w:val="TOC2"/>
        <w:tabs>
          <w:tab w:val="right" w:leader="dot" w:pos="8306"/>
        </w:tabs>
      </w:pPr>
      <w:hyperlink w:anchor="_Toc21286" w:history="1">
        <w:r>
          <w:rPr>
            <w:rFonts w:ascii="仿宋" w:eastAsia="仿宋" w:hAnsi="仿宋" w:cs="仿宋" w:hint="eastAsia"/>
            <w:lang w:eastAsia="zh-CN"/>
          </w:rPr>
          <w:t>(四)、水处理药剂项目意义</w:t>
        </w:r>
        <w:r>
          <w:tab/>
        </w:r>
        <w:r>
          <w:fldChar w:fldCharType="begin"/>
        </w:r>
        <w:r>
          <w:instrText xml:space="preserve"> PAGEREF _Toc21286 \h </w:instrText>
        </w:r>
        <w:r>
          <w:fldChar w:fldCharType="separate"/>
        </w:r>
        <w:r>
          <w:t>13</w:t>
        </w:r>
        <w:r>
          <w:fldChar w:fldCharType="end"/>
        </w:r>
      </w:hyperlink>
    </w:p>
    <w:p>
      <w:pPr>
        <w:pStyle w:val="TOC2"/>
        <w:tabs>
          <w:tab w:val="right" w:leader="dot" w:pos="8306"/>
        </w:tabs>
      </w:pPr>
      <w:hyperlink w:anchor="_Toc18607" w:history="1">
        <w:r>
          <w:rPr>
            <w:rFonts w:ascii="仿宋" w:eastAsia="仿宋" w:hAnsi="仿宋" w:cs="仿宋" w:hint="eastAsia"/>
            <w:lang w:eastAsia="zh-CN"/>
          </w:rPr>
          <w:t>(五)、水处理药剂项目背景</w:t>
        </w:r>
        <w:r>
          <w:tab/>
        </w:r>
        <w:r>
          <w:fldChar w:fldCharType="begin"/>
        </w:r>
        <w:r>
          <w:instrText xml:space="preserve"> PAGEREF _Toc18607 \h </w:instrText>
        </w:r>
        <w:r>
          <w:fldChar w:fldCharType="separate"/>
        </w:r>
        <w:r>
          <w:t>14</w:t>
        </w:r>
        <w:r>
          <w:fldChar w:fldCharType="end"/>
        </w:r>
      </w:hyperlink>
    </w:p>
    <w:p>
      <w:pPr>
        <w:pStyle w:val="TOC1"/>
        <w:tabs>
          <w:tab w:val="right" w:leader="dot" w:pos="8306"/>
        </w:tabs>
      </w:pPr>
      <w:hyperlink w:anchor="_Toc22968" w:history="1">
        <w:r>
          <w:rPr>
            <w:rFonts w:ascii="仿宋" w:eastAsia="仿宋" w:hAnsi="仿宋" w:cs="仿宋" w:hint="eastAsia"/>
            <w:lang w:eastAsia="zh-CN"/>
          </w:rPr>
          <w:t>三、工艺说明</w:t>
        </w:r>
        <w:r>
          <w:tab/>
        </w:r>
        <w:r>
          <w:fldChar w:fldCharType="begin"/>
        </w:r>
        <w:r>
          <w:instrText xml:space="preserve"> PAGEREF _Toc22968 \h </w:instrText>
        </w:r>
        <w:r>
          <w:fldChar w:fldCharType="separate"/>
        </w:r>
        <w:r>
          <w:t>15</w:t>
        </w:r>
        <w:r>
          <w:fldChar w:fldCharType="end"/>
        </w:r>
      </w:hyperlink>
    </w:p>
    <w:p>
      <w:pPr>
        <w:pStyle w:val="TOC2"/>
        <w:tabs>
          <w:tab w:val="right" w:leader="dot" w:pos="8306"/>
        </w:tabs>
      </w:pPr>
      <w:hyperlink w:anchor="_Toc20322" w:history="1">
        <w:r>
          <w:rPr>
            <w:rFonts w:ascii="仿宋" w:eastAsia="仿宋" w:hAnsi="仿宋" w:cs="仿宋" w:hint="eastAsia"/>
            <w:lang w:eastAsia="zh-CN"/>
          </w:rPr>
          <w:t>(一)、技术管理特点</w:t>
        </w:r>
        <w:r>
          <w:tab/>
        </w:r>
        <w:r>
          <w:fldChar w:fldCharType="begin"/>
        </w:r>
        <w:r>
          <w:instrText xml:space="preserve"> PAGEREF _Toc20322 \h </w:instrText>
        </w:r>
        <w:r>
          <w:fldChar w:fldCharType="separate"/>
        </w:r>
        <w:r>
          <w:t>15</w:t>
        </w:r>
        <w:r>
          <w:fldChar w:fldCharType="end"/>
        </w:r>
      </w:hyperlink>
    </w:p>
    <w:p>
      <w:pPr>
        <w:pStyle w:val="TOC2"/>
        <w:tabs>
          <w:tab w:val="right" w:leader="dot" w:pos="8306"/>
        </w:tabs>
      </w:pPr>
      <w:hyperlink w:anchor="_Toc15110" w:history="1">
        <w:r>
          <w:rPr>
            <w:rFonts w:ascii="仿宋" w:eastAsia="仿宋" w:hAnsi="仿宋" w:cs="仿宋" w:hint="eastAsia"/>
            <w:lang w:eastAsia="zh-CN"/>
          </w:rPr>
          <w:t>(二)、水处理药剂项目工艺技术设计方案</w:t>
        </w:r>
        <w:r>
          <w:tab/>
        </w:r>
        <w:r>
          <w:fldChar w:fldCharType="begin"/>
        </w:r>
        <w:r>
          <w:instrText xml:space="preserve"> PAGEREF _Toc15110 \h </w:instrText>
        </w:r>
        <w:r>
          <w:fldChar w:fldCharType="separate"/>
        </w:r>
        <w:r>
          <w:t>16</w:t>
        </w:r>
        <w:r>
          <w:fldChar w:fldCharType="end"/>
        </w:r>
      </w:hyperlink>
    </w:p>
    <w:p>
      <w:pPr>
        <w:pStyle w:val="TOC2"/>
        <w:tabs>
          <w:tab w:val="right" w:leader="dot" w:pos="8306"/>
        </w:tabs>
      </w:pPr>
      <w:hyperlink w:anchor="_Toc32103" w:history="1">
        <w:r>
          <w:rPr>
            <w:rFonts w:ascii="仿宋" w:eastAsia="仿宋" w:hAnsi="仿宋" w:cs="仿宋" w:hint="eastAsia"/>
            <w:lang w:eastAsia="zh-CN"/>
          </w:rPr>
          <w:t>(三)、设备选型方案</w:t>
        </w:r>
        <w:r>
          <w:tab/>
        </w:r>
        <w:r>
          <w:fldChar w:fldCharType="begin"/>
        </w:r>
        <w:r>
          <w:instrText xml:space="preserve"> PAGEREF _Toc32103 \h </w:instrText>
        </w:r>
        <w:r>
          <w:fldChar w:fldCharType="separate"/>
        </w:r>
        <w:r>
          <w:t>17</w:t>
        </w:r>
        <w:r>
          <w:fldChar w:fldCharType="end"/>
        </w:r>
      </w:hyperlink>
    </w:p>
    <w:p>
      <w:pPr>
        <w:pStyle w:val="TOC1"/>
        <w:tabs>
          <w:tab w:val="right" w:leader="dot" w:pos="8306"/>
        </w:tabs>
      </w:pPr>
      <w:hyperlink w:anchor="_Toc9420" w:history="1">
        <w:r>
          <w:rPr>
            <w:rFonts w:ascii="仿宋" w:eastAsia="仿宋" w:hAnsi="仿宋" w:cs="仿宋" w:hint="eastAsia"/>
            <w:lang w:eastAsia="zh-CN"/>
          </w:rPr>
          <w:t>四、水处理药剂项目危机管理</w:t>
        </w:r>
        <w:r>
          <w:tab/>
        </w:r>
        <w:r>
          <w:fldChar w:fldCharType="begin"/>
        </w:r>
        <w:r>
          <w:instrText xml:space="preserve"> PAGEREF _Toc9420 \h </w:instrText>
        </w:r>
        <w:r>
          <w:fldChar w:fldCharType="separate"/>
        </w:r>
        <w:r>
          <w:t>19</w:t>
        </w:r>
        <w:r>
          <w:fldChar w:fldCharType="end"/>
        </w:r>
      </w:hyperlink>
    </w:p>
    <w:p>
      <w:pPr>
        <w:pStyle w:val="TOC2"/>
        <w:tabs>
          <w:tab w:val="right" w:leader="dot" w:pos="8306"/>
        </w:tabs>
      </w:pPr>
      <w:hyperlink w:anchor="_Toc10160" w:history="1">
        <w:r>
          <w:rPr>
            <w:rFonts w:ascii="仿宋" w:eastAsia="仿宋" w:hAnsi="仿宋" w:cs="仿宋" w:hint="eastAsia"/>
            <w:lang w:eastAsia="zh-CN"/>
          </w:rPr>
          <w:t>(一)、危机预警与识别</w:t>
        </w:r>
        <w:r>
          <w:tab/>
        </w:r>
        <w:r>
          <w:fldChar w:fldCharType="begin"/>
        </w:r>
        <w:r>
          <w:instrText xml:space="preserve"> PAGEREF _Toc10160 \h </w:instrText>
        </w:r>
        <w:r>
          <w:fldChar w:fldCharType="separate"/>
        </w:r>
        <w:r>
          <w:t>19</w:t>
        </w:r>
        <w:r>
          <w:fldChar w:fldCharType="end"/>
        </w:r>
      </w:hyperlink>
    </w:p>
    <w:p>
      <w:pPr>
        <w:pStyle w:val="TOC2"/>
        <w:tabs>
          <w:tab w:val="right" w:leader="dot" w:pos="8306"/>
        </w:tabs>
      </w:pPr>
      <w:hyperlink w:anchor="_Toc9658" w:history="1">
        <w:r>
          <w:rPr>
            <w:rFonts w:ascii="仿宋" w:eastAsia="仿宋" w:hAnsi="仿宋" w:cs="仿宋" w:hint="eastAsia"/>
            <w:lang w:eastAsia="zh-CN"/>
          </w:rPr>
          <w:t>(二)、危机应对与恢复</w:t>
        </w:r>
        <w:r>
          <w:tab/>
        </w:r>
        <w:r>
          <w:fldChar w:fldCharType="begin"/>
        </w:r>
        <w:r>
          <w:instrText xml:space="preserve"> PAGEREF _Toc9658 \h </w:instrText>
        </w:r>
        <w:r>
          <w:fldChar w:fldCharType="separate"/>
        </w:r>
        <w:r>
          <w:t>20</w:t>
        </w:r>
        <w:r>
          <w:fldChar w:fldCharType="end"/>
        </w:r>
      </w:hyperlink>
    </w:p>
    <w:p>
      <w:pPr>
        <w:pStyle w:val="TOC1"/>
        <w:tabs>
          <w:tab w:val="right" w:leader="dot" w:pos="8306"/>
        </w:tabs>
      </w:pPr>
      <w:hyperlink w:anchor="_Toc430" w:history="1">
        <w:r>
          <w:rPr>
            <w:rFonts w:ascii="仿宋" w:eastAsia="仿宋" w:hAnsi="仿宋" w:cs="仿宋" w:hint="eastAsia"/>
            <w:lang w:eastAsia="zh-CN"/>
          </w:rPr>
          <w:t>五、产品规划分析</w:t>
        </w:r>
        <w:r>
          <w:tab/>
        </w:r>
        <w:r>
          <w:fldChar w:fldCharType="begin"/>
        </w:r>
        <w:r>
          <w:instrText xml:space="preserve"> PAGEREF _Toc430 \h </w:instrText>
        </w:r>
        <w:r>
          <w:fldChar w:fldCharType="separate"/>
        </w:r>
        <w:r>
          <w:t>21</w:t>
        </w:r>
        <w:r>
          <w:fldChar w:fldCharType="end"/>
        </w:r>
      </w:hyperlink>
    </w:p>
    <w:p>
      <w:pPr>
        <w:pStyle w:val="TOC2"/>
        <w:tabs>
          <w:tab w:val="right" w:leader="dot" w:pos="8306"/>
        </w:tabs>
      </w:pPr>
      <w:hyperlink w:anchor="_Toc27916" w:history="1">
        <w:r>
          <w:rPr>
            <w:rFonts w:ascii="仿宋" w:eastAsia="仿宋" w:hAnsi="仿宋" w:cs="仿宋" w:hint="eastAsia"/>
            <w:lang w:eastAsia="zh-CN"/>
          </w:rPr>
          <w:t>(一)、产品规划</w:t>
        </w:r>
        <w:r>
          <w:tab/>
        </w:r>
        <w:r>
          <w:fldChar w:fldCharType="begin"/>
        </w:r>
        <w:r>
          <w:instrText xml:space="preserve"> PAGEREF _Toc27916 \h </w:instrText>
        </w:r>
        <w:r>
          <w:fldChar w:fldCharType="separate"/>
        </w:r>
        <w:r>
          <w:t>21</w:t>
        </w:r>
        <w:r>
          <w:fldChar w:fldCharType="end"/>
        </w:r>
      </w:hyperlink>
    </w:p>
    <w:p>
      <w:pPr>
        <w:pStyle w:val="TOC2"/>
        <w:tabs>
          <w:tab w:val="right" w:leader="dot" w:pos="8306"/>
        </w:tabs>
      </w:pPr>
      <w:hyperlink w:anchor="_Toc26864" w:history="1">
        <w:r>
          <w:rPr>
            <w:rFonts w:ascii="仿宋" w:eastAsia="仿宋" w:hAnsi="仿宋" w:cs="仿宋" w:hint="eastAsia"/>
            <w:lang w:eastAsia="zh-CN"/>
          </w:rPr>
          <w:t>(二)、建设规模</w:t>
        </w:r>
        <w:r>
          <w:tab/>
        </w:r>
        <w:r>
          <w:fldChar w:fldCharType="begin"/>
        </w:r>
        <w:r>
          <w:instrText xml:space="preserve"> PAGEREF _Toc26864 \h </w:instrText>
        </w:r>
        <w:r>
          <w:fldChar w:fldCharType="separate"/>
        </w:r>
        <w:r>
          <w:t>22</w:t>
        </w:r>
        <w:r>
          <w:fldChar w:fldCharType="end"/>
        </w:r>
      </w:hyperlink>
    </w:p>
    <w:p>
      <w:pPr>
        <w:pStyle w:val="TOC1"/>
        <w:tabs>
          <w:tab w:val="right" w:leader="dot" w:pos="8306"/>
        </w:tabs>
      </w:pPr>
      <w:hyperlink w:anchor="_Toc18488" w:history="1">
        <w:r>
          <w:rPr>
            <w:rFonts w:ascii="仿宋" w:eastAsia="仿宋" w:hAnsi="仿宋" w:cs="仿宋" w:hint="eastAsia"/>
            <w:lang w:eastAsia="zh-CN"/>
          </w:rPr>
          <w:t>六、水处理药剂项目土建工程</w:t>
        </w:r>
        <w:r>
          <w:tab/>
        </w:r>
        <w:r>
          <w:fldChar w:fldCharType="begin"/>
        </w:r>
        <w:r>
          <w:instrText xml:space="preserve"> PAGEREF _Toc18488 \h </w:instrText>
        </w:r>
        <w:r>
          <w:fldChar w:fldCharType="separate"/>
        </w:r>
        <w:r>
          <w:t>23</w:t>
        </w:r>
        <w:r>
          <w:fldChar w:fldCharType="end"/>
        </w:r>
      </w:hyperlink>
    </w:p>
    <w:p>
      <w:pPr>
        <w:pStyle w:val="TOC2"/>
        <w:tabs>
          <w:tab w:val="right" w:leader="dot" w:pos="8306"/>
        </w:tabs>
      </w:pPr>
      <w:hyperlink w:anchor="_Toc19123" w:history="1">
        <w:r>
          <w:rPr>
            <w:rFonts w:ascii="仿宋" w:eastAsia="仿宋" w:hAnsi="仿宋" w:cs="仿宋" w:hint="eastAsia"/>
            <w:lang w:eastAsia="zh-CN"/>
          </w:rPr>
          <w:t>(一)、建筑工程设计原则</w:t>
        </w:r>
        <w:r>
          <w:tab/>
        </w:r>
        <w:r>
          <w:fldChar w:fldCharType="begin"/>
        </w:r>
        <w:r>
          <w:instrText xml:space="preserve"> PAGEREF _Toc19123 \h </w:instrText>
        </w:r>
        <w:r>
          <w:fldChar w:fldCharType="separate"/>
        </w:r>
        <w:r>
          <w:t>23</w:t>
        </w:r>
        <w:r>
          <w:fldChar w:fldCharType="end"/>
        </w:r>
      </w:hyperlink>
    </w:p>
    <w:p>
      <w:pPr>
        <w:pStyle w:val="TOC2"/>
        <w:tabs>
          <w:tab w:val="right" w:leader="dot" w:pos="8306"/>
        </w:tabs>
      </w:pPr>
      <w:hyperlink w:anchor="_Toc22203" w:history="1">
        <w:r>
          <w:rPr>
            <w:rFonts w:ascii="仿宋" w:eastAsia="仿宋" w:hAnsi="仿宋" w:cs="仿宋" w:hint="eastAsia"/>
            <w:lang w:eastAsia="zh-CN"/>
          </w:rPr>
          <w:t>(二)、土建工程设计年限及安全等级</w:t>
        </w:r>
        <w:r>
          <w:tab/>
        </w:r>
        <w:r>
          <w:fldChar w:fldCharType="begin"/>
        </w:r>
        <w:r>
          <w:instrText xml:space="preserve"> PAGEREF _Toc22203 \h </w:instrText>
        </w:r>
        <w:r>
          <w:fldChar w:fldCharType="separate"/>
        </w:r>
        <w:r>
          <w:t>24</w:t>
        </w:r>
        <w:r>
          <w:fldChar w:fldCharType="end"/>
        </w:r>
      </w:hyperlink>
    </w:p>
    <w:p>
      <w:pPr>
        <w:pStyle w:val="TOC2"/>
        <w:tabs>
          <w:tab w:val="right" w:leader="dot" w:pos="8306"/>
        </w:tabs>
      </w:pPr>
      <w:hyperlink w:anchor="_Toc23271" w:history="1">
        <w:r>
          <w:rPr>
            <w:rFonts w:ascii="仿宋" w:eastAsia="仿宋" w:hAnsi="仿宋" w:cs="仿宋" w:hint="eastAsia"/>
            <w:lang w:eastAsia="zh-CN"/>
          </w:rPr>
          <w:t>(三)、建筑工程设计总体要求</w:t>
        </w:r>
        <w:r>
          <w:tab/>
        </w:r>
        <w:r>
          <w:fldChar w:fldCharType="begin"/>
        </w:r>
        <w:r>
          <w:instrText xml:space="preserve"> PAGEREF _Toc23271 \h </w:instrText>
        </w:r>
        <w:r>
          <w:fldChar w:fldCharType="separate"/>
        </w:r>
        <w:r>
          <w:t>25</w:t>
        </w:r>
        <w:r>
          <w:fldChar w:fldCharType="end"/>
        </w:r>
      </w:hyperlink>
    </w:p>
    <w:p>
      <w:pPr>
        <w:pStyle w:val="TOC2"/>
        <w:tabs>
          <w:tab w:val="right" w:leader="dot" w:pos="8306"/>
        </w:tabs>
      </w:pPr>
      <w:hyperlink w:anchor="_Toc28036" w:history="1">
        <w:r>
          <w:rPr>
            <w:rFonts w:ascii="仿宋" w:eastAsia="仿宋" w:hAnsi="仿宋" w:cs="仿宋" w:hint="eastAsia"/>
            <w:lang w:eastAsia="zh-CN"/>
          </w:rPr>
          <w:t>(四)、土建工程建设指标</w:t>
        </w:r>
        <w:r>
          <w:tab/>
        </w:r>
        <w:r>
          <w:fldChar w:fldCharType="begin"/>
        </w:r>
        <w:r>
          <w:instrText xml:space="preserve"> PAGEREF _Toc28036 \h </w:instrText>
        </w:r>
        <w:r>
          <w:fldChar w:fldCharType="separate"/>
        </w:r>
        <w:r>
          <w:t>26</w:t>
        </w:r>
        <w:r>
          <w:fldChar w:fldCharType="end"/>
        </w:r>
      </w:hyperlink>
    </w:p>
    <w:p>
      <w:pPr>
        <w:pStyle w:val="TOC1"/>
        <w:tabs>
          <w:tab w:val="right" w:leader="dot" w:pos="8306"/>
        </w:tabs>
      </w:pPr>
      <w:hyperlink w:anchor="_Toc20605" w:history="1">
        <w:r>
          <w:rPr>
            <w:rFonts w:ascii="仿宋" w:eastAsia="仿宋" w:hAnsi="仿宋" w:cs="仿宋" w:hint="eastAsia"/>
            <w:lang w:eastAsia="zh-CN"/>
          </w:rPr>
          <w:t>七、水处理药剂项目社会影响</w:t>
        </w:r>
        <w:r>
          <w:tab/>
        </w:r>
        <w:r>
          <w:fldChar w:fldCharType="begin"/>
        </w:r>
        <w:r>
          <w:instrText xml:space="preserve"> PAGEREF _Toc20605 \h </w:instrText>
        </w:r>
        <w:r>
          <w:fldChar w:fldCharType="separate"/>
        </w:r>
        <w:r>
          <w:t>26</w:t>
        </w:r>
        <w:r>
          <w:fldChar w:fldCharType="end"/>
        </w:r>
      </w:hyperlink>
    </w:p>
    <w:p>
      <w:pPr>
        <w:pStyle w:val="TOC2"/>
        <w:tabs>
          <w:tab w:val="right" w:leader="dot" w:pos="8306"/>
        </w:tabs>
      </w:pPr>
      <w:hyperlink w:anchor="_Toc11925" w:history="1">
        <w:r>
          <w:rPr>
            <w:rFonts w:ascii="仿宋" w:eastAsia="仿宋" w:hAnsi="仿宋" w:cs="仿宋" w:hint="eastAsia"/>
            <w:lang w:eastAsia="zh-CN"/>
          </w:rPr>
          <w:t>(一)、社会责任与义务</w:t>
        </w:r>
        <w:r>
          <w:tab/>
        </w:r>
        <w:r>
          <w:fldChar w:fldCharType="begin"/>
        </w:r>
        <w:r>
          <w:instrText xml:space="preserve"> PAGEREF _Toc11925 \h </w:instrText>
        </w:r>
        <w:r>
          <w:fldChar w:fldCharType="separate"/>
        </w:r>
        <w:r>
          <w:t>26</w:t>
        </w:r>
        <w:r>
          <w:fldChar w:fldCharType="end"/>
        </w:r>
      </w:hyperlink>
    </w:p>
    <w:p>
      <w:pPr>
        <w:pStyle w:val="TOC2"/>
        <w:tabs>
          <w:tab w:val="right" w:leader="dot" w:pos="8306"/>
        </w:tabs>
      </w:pPr>
      <w:hyperlink w:anchor="_Toc14579" w:history="1">
        <w:r>
          <w:rPr>
            <w:rFonts w:ascii="仿宋" w:eastAsia="仿宋" w:hAnsi="仿宋" w:cs="仿宋" w:hint="eastAsia"/>
            <w:lang w:eastAsia="zh-CN"/>
          </w:rPr>
          <w:t>(二)、社会参与与沟通</w:t>
        </w:r>
        <w:r>
          <w:tab/>
        </w:r>
        <w:r>
          <w:fldChar w:fldCharType="begin"/>
        </w:r>
        <w:r>
          <w:instrText xml:space="preserve"> PAGEREF _Toc14579 \h </w:instrText>
        </w:r>
        <w:r>
          <w:fldChar w:fldCharType="separate"/>
        </w:r>
        <w:r>
          <w:t>27</w:t>
        </w:r>
        <w:r>
          <w:fldChar w:fldCharType="end"/>
        </w:r>
      </w:hyperlink>
    </w:p>
    <w:p>
      <w:pPr>
        <w:pStyle w:val="TOC1"/>
        <w:tabs>
          <w:tab w:val="right" w:leader="dot" w:pos="8306"/>
        </w:tabs>
      </w:pPr>
      <w:hyperlink w:anchor="_Toc16082" w:history="1">
        <w:r>
          <w:rPr>
            <w:rFonts w:ascii="仿宋" w:eastAsia="仿宋" w:hAnsi="仿宋" w:cs="仿宋" w:hint="eastAsia"/>
            <w:lang w:eastAsia="zh-CN"/>
          </w:rPr>
          <w:t>八、水处理药剂项目经营效益</w:t>
        </w:r>
        <w:r>
          <w:tab/>
        </w:r>
        <w:r>
          <w:fldChar w:fldCharType="begin"/>
        </w:r>
        <w:r>
          <w:instrText xml:space="preserve"> PAGEREF _Toc16082 \h </w:instrText>
        </w:r>
        <w:r>
          <w:fldChar w:fldCharType="separate"/>
        </w:r>
        <w:r>
          <w:t>28</w:t>
        </w:r>
        <w:r>
          <w:fldChar w:fldCharType="end"/>
        </w:r>
      </w:hyperlink>
    </w:p>
    <w:p>
      <w:pPr>
        <w:pStyle w:val="TOC2"/>
        <w:tabs>
          <w:tab w:val="right" w:leader="dot" w:pos="8306"/>
        </w:tabs>
      </w:pPr>
      <w:hyperlink w:anchor="_Toc17791" w:history="1">
        <w:r>
          <w:rPr>
            <w:rFonts w:ascii="仿宋" w:eastAsia="仿宋" w:hAnsi="仿宋" w:cs="仿宋" w:hint="eastAsia"/>
            <w:lang w:eastAsia="zh-CN"/>
          </w:rPr>
          <w:t>(一)、经济评价财务测算</w:t>
        </w:r>
        <w:r>
          <w:tab/>
        </w:r>
        <w:r>
          <w:fldChar w:fldCharType="begin"/>
        </w:r>
        <w:r>
          <w:instrText xml:space="preserve"> PAGEREF _Toc17791 \h </w:instrText>
        </w:r>
        <w:r>
          <w:fldChar w:fldCharType="separate"/>
        </w:r>
        <w:r>
          <w:t>28</w:t>
        </w:r>
        <w:r>
          <w:fldChar w:fldCharType="end"/>
        </w:r>
      </w:hyperlink>
    </w:p>
    <w:p>
      <w:pPr>
        <w:pStyle w:val="TOC2"/>
        <w:tabs>
          <w:tab w:val="right" w:leader="dot" w:pos="8306"/>
        </w:tabs>
      </w:pPr>
      <w:hyperlink w:anchor="_Toc4880" w:history="1">
        <w:r>
          <w:rPr>
            <w:rFonts w:ascii="仿宋" w:eastAsia="仿宋" w:hAnsi="仿宋" w:cs="仿宋" w:hint="eastAsia"/>
            <w:lang w:eastAsia="zh-CN"/>
          </w:rPr>
          <w:t>(二)、水处理药剂项目盈利能力分析</w:t>
        </w:r>
        <w:r>
          <w:tab/>
        </w:r>
        <w:r>
          <w:fldChar w:fldCharType="begin"/>
        </w:r>
        <w:r>
          <w:instrText xml:space="preserve"> PAGEREF _Toc4880 \h </w:instrText>
        </w:r>
        <w:r>
          <w:fldChar w:fldCharType="separate"/>
        </w:r>
        <w:r>
          <w:t>29</w:t>
        </w:r>
        <w:r>
          <w:fldChar w:fldCharType="end"/>
        </w:r>
      </w:hyperlink>
    </w:p>
    <w:p>
      <w:pPr>
        <w:pStyle w:val="TOC1"/>
        <w:tabs>
          <w:tab w:val="right" w:leader="dot" w:pos="8306"/>
        </w:tabs>
      </w:pPr>
      <w:hyperlink w:anchor="_Toc17985" w:history="1">
        <w:r>
          <w:rPr>
            <w:rFonts w:ascii="仿宋" w:eastAsia="仿宋" w:hAnsi="仿宋" w:cs="仿宋" w:hint="eastAsia"/>
            <w:lang w:eastAsia="zh-CN"/>
          </w:rPr>
          <w:t>九、水处理药剂项目计划安排</w:t>
        </w:r>
        <w:r>
          <w:tab/>
        </w:r>
        <w:r>
          <w:fldChar w:fldCharType="begin"/>
        </w:r>
        <w:r>
          <w:instrText xml:space="preserve"> PAGEREF _Toc17985 \h </w:instrText>
        </w:r>
        <w:r>
          <w:fldChar w:fldCharType="separate"/>
        </w:r>
        <w:r>
          <w:t>30</w:t>
        </w:r>
        <w:r>
          <w:fldChar w:fldCharType="end"/>
        </w:r>
      </w:hyperlink>
    </w:p>
    <w:p>
      <w:pPr>
        <w:pStyle w:val="TOC2"/>
        <w:tabs>
          <w:tab w:val="right" w:leader="dot" w:pos="8306"/>
        </w:tabs>
      </w:pPr>
      <w:hyperlink w:anchor="_Toc22251" w:history="1">
        <w:r>
          <w:rPr>
            <w:rFonts w:ascii="仿宋" w:eastAsia="仿宋" w:hAnsi="仿宋" w:cs="仿宋" w:hint="eastAsia"/>
            <w:lang w:eastAsia="zh-CN"/>
          </w:rPr>
          <w:t>(一)、建设周期</w:t>
        </w:r>
        <w:r>
          <w:tab/>
        </w:r>
        <w:r>
          <w:fldChar w:fldCharType="begin"/>
        </w:r>
        <w:r>
          <w:instrText xml:space="preserve"> PAGEREF _Toc22251 \h </w:instrText>
        </w:r>
        <w:r>
          <w:fldChar w:fldCharType="separate"/>
        </w:r>
        <w:r>
          <w:t>30</w:t>
        </w:r>
        <w:r>
          <w:fldChar w:fldCharType="end"/>
        </w:r>
      </w:hyperlink>
    </w:p>
    <w:p>
      <w:pPr>
        <w:pStyle w:val="TOC2"/>
        <w:tabs>
          <w:tab w:val="right" w:leader="dot" w:pos="8306"/>
        </w:tabs>
      </w:pPr>
      <w:hyperlink w:anchor="_Toc27756" w:history="1">
        <w:r>
          <w:rPr>
            <w:rFonts w:ascii="仿宋" w:eastAsia="仿宋" w:hAnsi="仿宋" w:cs="仿宋" w:hint="eastAsia"/>
            <w:lang w:eastAsia="zh-CN"/>
          </w:rPr>
          <w:t>(二)、建设进度</w:t>
        </w:r>
        <w:r>
          <w:tab/>
        </w:r>
        <w:r>
          <w:fldChar w:fldCharType="begin"/>
        </w:r>
        <w:r>
          <w:instrText xml:space="preserve"> PAGEREF _Toc27756 \h </w:instrText>
        </w:r>
        <w:r>
          <w:fldChar w:fldCharType="separate"/>
        </w:r>
        <w:r>
          <w:t>31</w:t>
        </w:r>
        <w:r>
          <w:fldChar w:fldCharType="end"/>
        </w:r>
      </w:hyperlink>
    </w:p>
    <w:p>
      <w:pPr>
        <w:pStyle w:val="TOC2"/>
        <w:tabs>
          <w:tab w:val="right" w:leader="dot" w:pos="8306"/>
        </w:tabs>
      </w:pPr>
      <w:hyperlink w:anchor="_Toc17122" w:history="1">
        <w:r>
          <w:rPr>
            <w:rFonts w:ascii="仿宋" w:eastAsia="仿宋" w:hAnsi="仿宋" w:cs="仿宋" w:hint="eastAsia"/>
            <w:lang w:eastAsia="zh-CN"/>
          </w:rPr>
          <w:t>(三)、进度安排注意事项</w:t>
        </w:r>
        <w:r>
          <w:tab/>
        </w:r>
        <w:r>
          <w:fldChar w:fldCharType="begin"/>
        </w:r>
        <w:r>
          <w:instrText xml:space="preserve"> PAGEREF _Toc17122 \h </w:instrText>
        </w:r>
        <w:r>
          <w:fldChar w:fldCharType="separate"/>
        </w:r>
        <w:r>
          <w:t>32</w:t>
        </w:r>
        <w:r>
          <w:fldChar w:fldCharType="end"/>
        </w:r>
      </w:hyperlink>
    </w:p>
    <w:p>
      <w:pPr>
        <w:pStyle w:val="TOC2"/>
        <w:tabs>
          <w:tab w:val="right" w:leader="dot" w:pos="8306"/>
        </w:tabs>
      </w:pPr>
      <w:hyperlink w:anchor="_Toc29248" w:history="1">
        <w:r>
          <w:rPr>
            <w:rFonts w:ascii="仿宋" w:eastAsia="仿宋" w:hAnsi="仿宋" w:cs="仿宋" w:hint="eastAsia"/>
            <w:lang w:eastAsia="zh-CN"/>
          </w:rPr>
          <w:t>(四)、人力资源配置</w:t>
        </w:r>
        <w:r>
          <w:tab/>
        </w:r>
        <w:r>
          <w:fldChar w:fldCharType="begin"/>
        </w:r>
        <w:r>
          <w:instrText xml:space="preserve"> PAGEREF _Toc29248 \h </w:instrText>
        </w:r>
        <w:r>
          <w:fldChar w:fldCharType="separate"/>
        </w:r>
        <w:r>
          <w:t>33</w:t>
        </w:r>
        <w:r>
          <w:fldChar w:fldCharType="end"/>
        </w:r>
      </w:hyperlink>
    </w:p>
    <w:p>
      <w:pPr>
        <w:pStyle w:val="TOC1"/>
        <w:tabs>
          <w:tab w:val="right" w:leader="dot" w:pos="8306"/>
        </w:tabs>
      </w:pPr>
      <w:hyperlink w:anchor="_Toc9425" w:history="1">
        <w:r>
          <w:rPr>
            <w:rFonts w:ascii="仿宋" w:eastAsia="仿宋" w:hAnsi="仿宋" w:cs="仿宋" w:hint="eastAsia"/>
            <w:lang w:eastAsia="zh-CN"/>
          </w:rPr>
          <w:t>十、水处理药剂项目风险管理</w:t>
        </w:r>
        <w:r>
          <w:tab/>
        </w:r>
        <w:r>
          <w:fldChar w:fldCharType="begin"/>
        </w:r>
        <w:r>
          <w:instrText xml:space="preserve"> PAGEREF _Toc9425 \h </w:instrText>
        </w:r>
        <w:r>
          <w:fldChar w:fldCharType="separate"/>
        </w:r>
        <w:r>
          <w:t>34</w:t>
        </w:r>
        <w:r>
          <w:fldChar w:fldCharType="end"/>
        </w:r>
      </w:hyperlink>
    </w:p>
    <w:p>
      <w:pPr>
        <w:pStyle w:val="TOC2"/>
        <w:tabs>
          <w:tab w:val="right" w:leader="dot" w:pos="8306"/>
        </w:tabs>
      </w:pPr>
      <w:hyperlink w:anchor="_Toc76" w:history="1">
        <w:r>
          <w:rPr>
            <w:rFonts w:ascii="仿宋" w:eastAsia="仿宋" w:hAnsi="仿宋" w:cs="仿宋" w:hint="eastAsia"/>
            <w:lang w:eastAsia="zh-CN"/>
          </w:rPr>
          <w:t>(一)、风险识别与评估</w:t>
        </w:r>
        <w:r>
          <w:tab/>
        </w:r>
        <w:r>
          <w:fldChar w:fldCharType="begin"/>
        </w:r>
        <w:r>
          <w:instrText xml:space="preserve"> PAGEREF _Toc76 \h </w:instrText>
        </w:r>
        <w:r>
          <w:fldChar w:fldCharType="separate"/>
        </w:r>
        <w:r>
          <w:t>34</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13507" w:history="1">
        <w:r>
          <w:rPr>
            <w:rFonts w:ascii="仿宋" w:eastAsia="仿宋" w:hAnsi="仿宋" w:cs="仿宋" w:hint="eastAsia"/>
            <w:lang w:eastAsia="zh-CN"/>
          </w:rPr>
          <w:t>(二)、风险应对策略</w:t>
        </w:r>
        <w:r>
          <w:tab/>
        </w:r>
        <w:r>
          <w:fldChar w:fldCharType="begin"/>
        </w:r>
        <w:r>
          <w:instrText xml:space="preserve"> PAGEREF _Toc13507 \h </w:instrText>
        </w:r>
        <w:r>
          <w:fldChar w:fldCharType="separate"/>
        </w:r>
        <w:r>
          <w:t>35</w:t>
        </w:r>
        <w:r>
          <w:fldChar w:fldCharType="end"/>
        </w:r>
      </w:hyperlink>
    </w:p>
    <w:p>
      <w:pPr>
        <w:pStyle w:val="TOC2"/>
        <w:tabs>
          <w:tab w:val="right" w:leader="dot" w:pos="8306"/>
        </w:tabs>
      </w:pPr>
      <w:hyperlink w:anchor="_Toc8534" w:history="1">
        <w:r>
          <w:rPr>
            <w:rFonts w:ascii="仿宋" w:eastAsia="仿宋" w:hAnsi="仿宋" w:cs="仿宋" w:hint="eastAsia"/>
            <w:lang w:eastAsia="zh-CN"/>
          </w:rPr>
          <w:t>(三)、风险监控与控制</w:t>
        </w:r>
        <w:r>
          <w:tab/>
        </w:r>
        <w:r>
          <w:fldChar w:fldCharType="begin"/>
        </w:r>
        <w:r>
          <w:instrText xml:space="preserve"> PAGEREF _Toc8534 \h </w:instrText>
        </w:r>
        <w:r>
          <w:fldChar w:fldCharType="separate"/>
        </w:r>
        <w:r>
          <w:t>37</w:t>
        </w:r>
        <w:r>
          <w:fldChar w:fldCharType="end"/>
        </w:r>
      </w:hyperlink>
    </w:p>
    <w:p>
      <w:pPr>
        <w:pStyle w:val="TOC1"/>
        <w:tabs>
          <w:tab w:val="right" w:leader="dot" w:pos="8306"/>
        </w:tabs>
      </w:pPr>
      <w:hyperlink w:anchor="_Toc24998" w:history="1">
        <w:r>
          <w:rPr>
            <w:rFonts w:ascii="仿宋" w:eastAsia="仿宋" w:hAnsi="仿宋" w:cs="仿宋" w:hint="eastAsia"/>
            <w:lang w:eastAsia="zh-CN"/>
          </w:rPr>
          <w:t>十一、水处理药剂项目人力资源培养与发展</w:t>
        </w:r>
        <w:r>
          <w:tab/>
        </w:r>
        <w:r>
          <w:fldChar w:fldCharType="begin"/>
        </w:r>
        <w:r>
          <w:instrText xml:space="preserve"> PAGEREF _Toc24998 \h </w:instrText>
        </w:r>
        <w:r>
          <w:fldChar w:fldCharType="separate"/>
        </w:r>
        <w:r>
          <w:t>38</w:t>
        </w:r>
        <w:r>
          <w:fldChar w:fldCharType="end"/>
        </w:r>
      </w:hyperlink>
    </w:p>
    <w:p>
      <w:pPr>
        <w:pStyle w:val="TOC2"/>
        <w:tabs>
          <w:tab w:val="right" w:leader="dot" w:pos="8306"/>
        </w:tabs>
      </w:pPr>
      <w:hyperlink w:anchor="_Toc25296" w:history="1">
        <w:r>
          <w:rPr>
            <w:rFonts w:ascii="仿宋" w:eastAsia="仿宋" w:hAnsi="仿宋" w:cs="仿宋" w:hint="eastAsia"/>
            <w:lang w:eastAsia="zh-CN"/>
          </w:rPr>
          <w:t>(一)、人才需求与规划</w:t>
        </w:r>
        <w:r>
          <w:tab/>
        </w:r>
        <w:r>
          <w:fldChar w:fldCharType="begin"/>
        </w:r>
        <w:r>
          <w:instrText xml:space="preserve"> PAGEREF _Toc25296 \h </w:instrText>
        </w:r>
        <w:r>
          <w:fldChar w:fldCharType="separate"/>
        </w:r>
        <w:r>
          <w:t>38</w:t>
        </w:r>
        <w:r>
          <w:fldChar w:fldCharType="end"/>
        </w:r>
      </w:hyperlink>
    </w:p>
    <w:p>
      <w:pPr>
        <w:pStyle w:val="TOC2"/>
        <w:tabs>
          <w:tab w:val="right" w:leader="dot" w:pos="8306"/>
        </w:tabs>
      </w:pPr>
      <w:hyperlink w:anchor="_Toc23668" w:history="1">
        <w:r>
          <w:rPr>
            <w:rFonts w:ascii="仿宋" w:eastAsia="仿宋" w:hAnsi="仿宋" w:cs="仿宋" w:hint="eastAsia"/>
            <w:lang w:eastAsia="zh-CN"/>
          </w:rPr>
          <w:t>(二)、培训与发展计划</w:t>
        </w:r>
        <w:r>
          <w:tab/>
        </w:r>
        <w:r>
          <w:fldChar w:fldCharType="begin"/>
        </w:r>
        <w:r>
          <w:instrText xml:space="preserve"> PAGEREF _Toc23668 \h </w:instrText>
        </w:r>
        <w:r>
          <w:fldChar w:fldCharType="separate"/>
        </w:r>
        <w:r>
          <w:t>38</w:t>
        </w:r>
        <w:r>
          <w:fldChar w:fldCharType="end"/>
        </w:r>
      </w:hyperlink>
    </w:p>
    <w:p>
      <w:pPr>
        <w:pStyle w:val="TOC1"/>
        <w:tabs>
          <w:tab w:val="right" w:leader="dot" w:pos="8306"/>
        </w:tabs>
      </w:pPr>
      <w:hyperlink w:anchor="_Toc28113" w:history="1">
        <w:r>
          <w:rPr>
            <w:rFonts w:ascii="仿宋" w:eastAsia="仿宋" w:hAnsi="仿宋" w:cs="仿宋" w:hint="eastAsia"/>
            <w:lang w:eastAsia="zh-CN"/>
          </w:rPr>
          <w:t>十二、水处理药剂项目投资规划</w:t>
        </w:r>
        <w:r>
          <w:tab/>
        </w:r>
        <w:r>
          <w:fldChar w:fldCharType="begin"/>
        </w:r>
        <w:r>
          <w:instrText xml:space="preserve"> PAGEREF _Toc28113 \h </w:instrText>
        </w:r>
        <w:r>
          <w:fldChar w:fldCharType="separate"/>
        </w:r>
        <w:r>
          <w:t>39</w:t>
        </w:r>
        <w:r>
          <w:fldChar w:fldCharType="end"/>
        </w:r>
      </w:hyperlink>
    </w:p>
    <w:p>
      <w:pPr>
        <w:pStyle w:val="TOC2"/>
        <w:tabs>
          <w:tab w:val="right" w:leader="dot" w:pos="8306"/>
        </w:tabs>
      </w:pPr>
      <w:hyperlink w:anchor="_Toc7626" w:history="1">
        <w:r>
          <w:rPr>
            <w:rFonts w:ascii="仿宋" w:eastAsia="仿宋" w:hAnsi="仿宋" w:cs="仿宋" w:hint="eastAsia"/>
            <w:lang w:eastAsia="zh-CN"/>
          </w:rPr>
          <w:t>(一)、水处理药剂项目总投资估算</w:t>
        </w:r>
        <w:r>
          <w:tab/>
        </w:r>
        <w:r>
          <w:fldChar w:fldCharType="begin"/>
        </w:r>
        <w:r>
          <w:instrText xml:space="preserve"> PAGEREF _Toc7626 \h </w:instrText>
        </w:r>
        <w:r>
          <w:fldChar w:fldCharType="separate"/>
        </w:r>
        <w:r>
          <w:t>39</w:t>
        </w:r>
        <w:r>
          <w:fldChar w:fldCharType="end"/>
        </w:r>
      </w:hyperlink>
    </w:p>
    <w:p>
      <w:pPr>
        <w:pStyle w:val="TOC2"/>
        <w:tabs>
          <w:tab w:val="right" w:leader="dot" w:pos="8306"/>
        </w:tabs>
      </w:pPr>
      <w:hyperlink w:anchor="_Toc1250" w:history="1">
        <w:r>
          <w:rPr>
            <w:rFonts w:ascii="仿宋" w:eastAsia="仿宋" w:hAnsi="仿宋" w:cs="仿宋" w:hint="eastAsia"/>
            <w:lang w:eastAsia="zh-CN"/>
          </w:rPr>
          <w:t>(二)、资金筹措</w:t>
        </w:r>
        <w:r>
          <w:tab/>
        </w:r>
        <w:r>
          <w:fldChar w:fldCharType="begin"/>
        </w:r>
        <w:r>
          <w:instrText xml:space="preserve"> PAGEREF _Toc1250 \h </w:instrText>
        </w:r>
        <w:r>
          <w:fldChar w:fldCharType="separate"/>
        </w:r>
        <w:r>
          <w:t>40</w:t>
        </w:r>
        <w:r>
          <w:fldChar w:fldCharType="end"/>
        </w:r>
      </w:hyperlink>
    </w:p>
    <w:p>
      <w:pPr>
        <w:pStyle w:val="TOC1"/>
        <w:tabs>
          <w:tab w:val="right" w:leader="dot" w:pos="8306"/>
        </w:tabs>
      </w:pPr>
      <w:hyperlink w:anchor="_Toc16640" w:history="1">
        <w:r>
          <w:rPr>
            <w:rFonts w:ascii="仿宋" w:eastAsia="仿宋" w:hAnsi="仿宋" w:cs="仿宋" w:hint="eastAsia"/>
            <w:lang w:eastAsia="zh-CN"/>
          </w:rPr>
          <w:t>十三、水处理药剂项目治理与监督</w:t>
        </w:r>
        <w:r>
          <w:tab/>
        </w:r>
        <w:r>
          <w:fldChar w:fldCharType="begin"/>
        </w:r>
        <w:r>
          <w:instrText xml:space="preserve"> PAGEREF _Toc16640 \h </w:instrText>
        </w:r>
        <w:r>
          <w:fldChar w:fldCharType="separate"/>
        </w:r>
        <w:r>
          <w:t>41</w:t>
        </w:r>
        <w:r>
          <w:fldChar w:fldCharType="end"/>
        </w:r>
      </w:hyperlink>
    </w:p>
    <w:p>
      <w:pPr>
        <w:pStyle w:val="TOC2"/>
        <w:tabs>
          <w:tab w:val="right" w:leader="dot" w:pos="8306"/>
        </w:tabs>
      </w:pPr>
      <w:hyperlink w:anchor="_Toc29984" w:history="1">
        <w:r>
          <w:rPr>
            <w:rFonts w:ascii="仿宋" w:eastAsia="仿宋" w:hAnsi="仿宋" w:cs="仿宋" w:hint="eastAsia"/>
            <w:lang w:eastAsia="zh-CN"/>
          </w:rPr>
          <w:t>(一)、水处理药剂项目治理结构</w:t>
        </w:r>
        <w:r>
          <w:tab/>
        </w:r>
        <w:r>
          <w:fldChar w:fldCharType="begin"/>
        </w:r>
        <w:r>
          <w:instrText xml:space="preserve"> PAGEREF _Toc29984 \h </w:instrText>
        </w:r>
        <w:r>
          <w:fldChar w:fldCharType="separate"/>
        </w:r>
        <w:r>
          <w:t>41</w:t>
        </w:r>
        <w:r>
          <w:fldChar w:fldCharType="end"/>
        </w:r>
      </w:hyperlink>
    </w:p>
    <w:p>
      <w:pPr>
        <w:pStyle w:val="TOC2"/>
        <w:tabs>
          <w:tab w:val="right" w:leader="dot" w:pos="8306"/>
        </w:tabs>
      </w:pPr>
      <w:hyperlink w:anchor="_Toc10564" w:history="1">
        <w:r>
          <w:rPr>
            <w:rFonts w:ascii="仿宋" w:eastAsia="仿宋" w:hAnsi="仿宋" w:cs="仿宋" w:hint="eastAsia"/>
            <w:lang w:eastAsia="zh-CN"/>
          </w:rPr>
          <w:t>(二)、监督与审计</w:t>
        </w:r>
        <w:r>
          <w:tab/>
        </w:r>
        <w:r>
          <w:fldChar w:fldCharType="begin"/>
        </w:r>
        <w:r>
          <w:instrText xml:space="preserve"> PAGEREF _Toc10564 \h </w:instrText>
        </w:r>
        <w:r>
          <w:fldChar w:fldCharType="separate"/>
        </w:r>
        <w:r>
          <w:t>43</w:t>
        </w:r>
        <w:r>
          <w:fldChar w:fldCharType="end"/>
        </w:r>
      </w:hyperlink>
    </w:p>
    <w:p>
      <w:pPr>
        <w:pStyle w:val="TOC1"/>
        <w:tabs>
          <w:tab w:val="right" w:leader="dot" w:pos="8306"/>
        </w:tabs>
      </w:pPr>
      <w:hyperlink w:anchor="_Toc15745" w:history="1">
        <w:r>
          <w:rPr>
            <w:rFonts w:ascii="仿宋" w:eastAsia="仿宋" w:hAnsi="仿宋" w:cs="仿宋" w:hint="eastAsia"/>
            <w:lang w:eastAsia="zh-CN"/>
          </w:rPr>
          <w:t>十四、水处理药剂项目实施保障措施</w:t>
        </w:r>
        <w:r>
          <w:tab/>
        </w:r>
        <w:r>
          <w:fldChar w:fldCharType="begin"/>
        </w:r>
        <w:r>
          <w:instrText xml:space="preserve"> PAGEREF _Toc15745 \h </w:instrText>
        </w:r>
        <w:r>
          <w:fldChar w:fldCharType="separate"/>
        </w:r>
        <w:r>
          <w:t>44</w:t>
        </w:r>
        <w:r>
          <w:fldChar w:fldCharType="end"/>
        </w:r>
      </w:hyperlink>
    </w:p>
    <w:p>
      <w:pPr>
        <w:pStyle w:val="TOC2"/>
        <w:tabs>
          <w:tab w:val="right" w:leader="dot" w:pos="8306"/>
        </w:tabs>
      </w:pPr>
      <w:hyperlink w:anchor="_Toc18498" w:history="1">
        <w:r>
          <w:rPr>
            <w:rFonts w:ascii="仿宋" w:eastAsia="仿宋" w:hAnsi="仿宋" w:cs="仿宋" w:hint="eastAsia"/>
            <w:lang w:eastAsia="zh-CN"/>
          </w:rPr>
          <w:t>(一)、水处理药剂项目实施保障机制</w:t>
        </w:r>
        <w:r>
          <w:tab/>
        </w:r>
        <w:r>
          <w:fldChar w:fldCharType="begin"/>
        </w:r>
        <w:r>
          <w:instrText xml:space="preserve"> PAGEREF _Toc18498 \h </w:instrText>
        </w:r>
        <w:r>
          <w:fldChar w:fldCharType="separate"/>
        </w:r>
        <w:r>
          <w:t>44</w:t>
        </w:r>
        <w:r>
          <w:fldChar w:fldCharType="end"/>
        </w:r>
      </w:hyperlink>
    </w:p>
    <w:p>
      <w:pPr>
        <w:pStyle w:val="TOC2"/>
        <w:tabs>
          <w:tab w:val="right" w:leader="dot" w:pos="8306"/>
        </w:tabs>
      </w:pPr>
      <w:hyperlink w:anchor="_Toc1347" w:history="1">
        <w:r>
          <w:rPr>
            <w:rFonts w:ascii="仿宋" w:eastAsia="仿宋" w:hAnsi="仿宋" w:cs="仿宋" w:hint="eastAsia"/>
            <w:lang w:eastAsia="zh-CN"/>
          </w:rPr>
          <w:t>(二)、水处理药剂项目法律合规要求</w:t>
        </w:r>
        <w:r>
          <w:tab/>
        </w:r>
        <w:r>
          <w:fldChar w:fldCharType="begin"/>
        </w:r>
        <w:r>
          <w:instrText xml:space="preserve"> PAGEREF _Toc1347 \h </w:instrText>
        </w:r>
        <w:r>
          <w:fldChar w:fldCharType="separate"/>
        </w:r>
        <w:r>
          <w:t>47</w:t>
        </w:r>
        <w:r>
          <w:fldChar w:fldCharType="end"/>
        </w:r>
      </w:hyperlink>
    </w:p>
    <w:p>
      <w:pPr>
        <w:pStyle w:val="TOC2"/>
        <w:tabs>
          <w:tab w:val="right" w:leader="dot" w:pos="8306"/>
        </w:tabs>
      </w:pPr>
      <w:hyperlink w:anchor="_Toc23395" w:history="1">
        <w:r>
          <w:rPr>
            <w:rFonts w:ascii="仿宋" w:eastAsia="仿宋" w:hAnsi="仿宋" w:cs="仿宋" w:hint="eastAsia"/>
            <w:lang w:eastAsia="zh-CN"/>
          </w:rPr>
          <w:t>(三)、水处理药剂项目合同管理与法律事务</w:t>
        </w:r>
        <w:r>
          <w:tab/>
        </w:r>
        <w:r>
          <w:fldChar w:fldCharType="begin"/>
        </w:r>
        <w:r>
          <w:instrText xml:space="preserve"> PAGEREF _Toc23395 \h </w:instrText>
        </w:r>
        <w:r>
          <w:fldChar w:fldCharType="separate"/>
        </w:r>
        <w:r>
          <w:t>52</w:t>
        </w:r>
        <w:r>
          <w:fldChar w:fldCharType="end"/>
        </w:r>
      </w:hyperlink>
    </w:p>
    <w:p>
      <w:pPr>
        <w:pStyle w:val="TOC2"/>
        <w:tabs>
          <w:tab w:val="right" w:leader="dot" w:pos="8306"/>
        </w:tabs>
      </w:pPr>
      <w:hyperlink w:anchor="_Toc716" w:history="1">
        <w:r>
          <w:rPr>
            <w:rFonts w:ascii="仿宋" w:eastAsia="仿宋" w:hAnsi="仿宋" w:cs="仿宋" w:hint="eastAsia"/>
            <w:lang w:eastAsia="zh-CN"/>
          </w:rPr>
          <w:t>(四)、水处理药剂项目知识产权保护策略</w:t>
        </w:r>
        <w:r>
          <w:tab/>
        </w:r>
        <w:r>
          <w:fldChar w:fldCharType="begin"/>
        </w:r>
        <w:r>
          <w:instrText xml:space="preserve"> PAGEREF _Toc716 \h </w:instrText>
        </w:r>
        <w:r>
          <w:fldChar w:fldCharType="separate"/>
        </w:r>
        <w:r>
          <w:t>58</w:t>
        </w:r>
        <w:r>
          <w:fldChar w:fldCharType="end"/>
        </w:r>
      </w:hyperlink>
    </w:p>
    <w:p>
      <w:pPr>
        <w:pStyle w:val="TOC1"/>
        <w:tabs>
          <w:tab w:val="right" w:leader="dot" w:pos="8306"/>
        </w:tabs>
      </w:pPr>
      <w:hyperlink w:anchor="_Toc23463" w:history="1">
        <w:r>
          <w:rPr>
            <w:rFonts w:ascii="仿宋" w:eastAsia="仿宋" w:hAnsi="仿宋" w:cs="仿宋" w:hint="eastAsia"/>
            <w:lang w:eastAsia="zh-CN"/>
          </w:rPr>
          <w:t>十五、水处理药剂项目变更管理</w:t>
        </w:r>
        <w:r>
          <w:tab/>
        </w:r>
        <w:r>
          <w:fldChar w:fldCharType="begin"/>
        </w:r>
        <w:r>
          <w:instrText xml:space="preserve"> PAGEREF _Toc23463 \h </w:instrText>
        </w:r>
        <w:r>
          <w:fldChar w:fldCharType="separate"/>
        </w:r>
        <w:r>
          <w:t>60</w:t>
        </w:r>
        <w:r>
          <w:fldChar w:fldCharType="end"/>
        </w:r>
      </w:hyperlink>
    </w:p>
    <w:p>
      <w:pPr>
        <w:pStyle w:val="TOC2"/>
        <w:tabs>
          <w:tab w:val="right" w:leader="dot" w:pos="8306"/>
        </w:tabs>
      </w:pPr>
      <w:hyperlink w:anchor="_Toc16000" w:history="1">
        <w:r>
          <w:rPr>
            <w:rFonts w:ascii="仿宋" w:eastAsia="仿宋" w:hAnsi="仿宋" w:cs="仿宋" w:hint="eastAsia"/>
            <w:lang w:eastAsia="zh-CN"/>
          </w:rPr>
          <w:t>(一)、变更申请与评估</w:t>
        </w:r>
        <w:r>
          <w:tab/>
        </w:r>
        <w:r>
          <w:fldChar w:fldCharType="begin"/>
        </w:r>
        <w:r>
          <w:instrText xml:space="preserve"> PAGEREF _Toc16000 \h </w:instrText>
        </w:r>
        <w:r>
          <w:fldChar w:fldCharType="separate"/>
        </w:r>
        <w:r>
          <w:t>60</w:t>
        </w:r>
        <w:r>
          <w:fldChar w:fldCharType="end"/>
        </w:r>
      </w:hyperlink>
    </w:p>
    <w:p>
      <w:pPr>
        <w:pStyle w:val="TOC2"/>
        <w:tabs>
          <w:tab w:val="right" w:leader="dot" w:pos="8306"/>
        </w:tabs>
      </w:pPr>
      <w:hyperlink w:anchor="_Toc32164" w:history="1">
        <w:r>
          <w:rPr>
            <w:rFonts w:ascii="仿宋" w:eastAsia="仿宋" w:hAnsi="仿宋" w:cs="仿宋" w:hint="eastAsia"/>
            <w:lang w:eastAsia="zh-CN"/>
          </w:rPr>
          <w:t>(二)、变更实施与控制</w:t>
        </w:r>
        <w:r>
          <w:tab/>
        </w:r>
        <w:r>
          <w:fldChar w:fldCharType="begin"/>
        </w:r>
        <w:r>
          <w:instrText xml:space="preserve"> PAGEREF _Toc32164 \h </w:instrText>
        </w:r>
        <w:r>
          <w:fldChar w:fldCharType="separate"/>
        </w:r>
        <w:r>
          <w:t>61</w:t>
        </w:r>
        <w:r>
          <w:fldChar w:fldCharType="end"/>
        </w:r>
      </w:hyperlink>
    </w:p>
    <w:p>
      <w:pPr>
        <w:pStyle w:val="TOC1"/>
        <w:tabs>
          <w:tab w:val="right" w:leader="dot" w:pos="8306"/>
        </w:tabs>
      </w:pPr>
      <w:hyperlink w:anchor="_Toc14684" w:history="1">
        <w:r>
          <w:rPr>
            <w:rFonts w:ascii="仿宋" w:eastAsia="仿宋" w:hAnsi="仿宋" w:cs="仿宋" w:hint="eastAsia"/>
            <w:lang w:eastAsia="zh-CN"/>
          </w:rPr>
          <w:t>十六、营销与推广策略</w:t>
        </w:r>
        <w:r>
          <w:tab/>
        </w:r>
        <w:r>
          <w:fldChar w:fldCharType="begin"/>
        </w:r>
        <w:r>
          <w:instrText xml:space="preserve"> PAGEREF _Toc14684 \h </w:instrText>
        </w:r>
        <w:r>
          <w:fldChar w:fldCharType="separate"/>
        </w:r>
        <w:r>
          <w:t>61</w:t>
        </w:r>
        <w:r>
          <w:fldChar w:fldCharType="end"/>
        </w:r>
      </w:hyperlink>
    </w:p>
    <w:p>
      <w:pPr>
        <w:pStyle w:val="TOC2"/>
        <w:tabs>
          <w:tab w:val="right" w:leader="dot" w:pos="8306"/>
        </w:tabs>
      </w:pPr>
      <w:hyperlink w:anchor="_Toc18998" w:history="1">
        <w:r>
          <w:rPr>
            <w:rFonts w:ascii="仿宋" w:eastAsia="仿宋" w:hAnsi="仿宋" w:cs="仿宋" w:hint="eastAsia"/>
            <w:lang w:eastAsia="zh-CN"/>
          </w:rPr>
          <w:t>(一)、产品/服务定位与特点</w:t>
        </w:r>
        <w:r>
          <w:tab/>
        </w:r>
        <w:r>
          <w:fldChar w:fldCharType="begin"/>
        </w:r>
        <w:r>
          <w:instrText xml:space="preserve"> PAGEREF _Toc18998 \h </w:instrText>
        </w:r>
        <w:r>
          <w:fldChar w:fldCharType="separate"/>
        </w:r>
        <w:r>
          <w:t>61</w:t>
        </w:r>
        <w:r>
          <w:fldChar w:fldCharType="end"/>
        </w:r>
      </w:hyperlink>
    </w:p>
    <w:p>
      <w:pPr>
        <w:pStyle w:val="TOC2"/>
        <w:tabs>
          <w:tab w:val="right" w:leader="dot" w:pos="8306"/>
        </w:tabs>
      </w:pPr>
      <w:hyperlink w:anchor="_Toc32088" w:history="1">
        <w:r>
          <w:rPr>
            <w:rFonts w:ascii="仿宋" w:eastAsia="仿宋" w:hAnsi="仿宋" w:cs="仿宋" w:hint="eastAsia"/>
            <w:lang w:eastAsia="zh-CN"/>
          </w:rPr>
          <w:t>(二)、市场定位与竞争分析</w:t>
        </w:r>
        <w:r>
          <w:tab/>
        </w:r>
        <w:r>
          <w:fldChar w:fldCharType="begin"/>
        </w:r>
        <w:r>
          <w:instrText xml:space="preserve"> PAGEREF _Toc32088 \h </w:instrText>
        </w:r>
        <w:r>
          <w:fldChar w:fldCharType="separate"/>
        </w:r>
        <w:r>
          <w:t>63</w:t>
        </w:r>
        <w:r>
          <w:fldChar w:fldCharType="end"/>
        </w:r>
      </w:hyperlink>
    </w:p>
    <w:p>
      <w:pPr>
        <w:pStyle w:val="TOC2"/>
        <w:tabs>
          <w:tab w:val="right" w:leader="dot" w:pos="8306"/>
        </w:tabs>
      </w:pPr>
      <w:hyperlink w:anchor="_Toc24023" w:history="1">
        <w:r>
          <w:rPr>
            <w:rFonts w:ascii="仿宋" w:eastAsia="仿宋" w:hAnsi="仿宋" w:cs="仿宋" w:hint="eastAsia"/>
            <w:lang w:eastAsia="zh-CN"/>
          </w:rPr>
          <w:t>(三)、营销渠道与策略</w:t>
        </w:r>
        <w:r>
          <w:tab/>
        </w:r>
        <w:r>
          <w:fldChar w:fldCharType="begin"/>
        </w:r>
        <w:r>
          <w:instrText xml:space="preserve"> PAGEREF _Toc24023 \h </w:instrText>
        </w:r>
        <w:r>
          <w:fldChar w:fldCharType="separate"/>
        </w:r>
        <w:r>
          <w:t>64</w:t>
        </w:r>
        <w:r>
          <w:fldChar w:fldCharType="end"/>
        </w:r>
      </w:hyperlink>
    </w:p>
    <w:p>
      <w:pPr>
        <w:pStyle w:val="TOC2"/>
        <w:tabs>
          <w:tab w:val="right" w:leader="dot" w:pos="8306"/>
        </w:tabs>
      </w:pPr>
      <w:hyperlink w:anchor="_Toc3543" w:history="1">
        <w:r>
          <w:rPr>
            <w:rFonts w:ascii="仿宋" w:eastAsia="仿宋" w:hAnsi="仿宋" w:cs="仿宋" w:hint="eastAsia"/>
            <w:lang w:eastAsia="zh-CN"/>
          </w:rPr>
          <w:t>(四)、推广与宣传活动</w:t>
        </w:r>
        <w:r>
          <w:tab/>
        </w:r>
        <w:r>
          <w:fldChar w:fldCharType="begin"/>
        </w:r>
        <w:r>
          <w:instrText xml:space="preserve"> PAGEREF _Toc3543 \h </w:instrText>
        </w:r>
        <w:r>
          <w:fldChar w:fldCharType="separate"/>
        </w:r>
        <w:r>
          <w:t>65</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20118"/>
      <w:r>
        <w:rPr>
          <w:rFonts w:ascii="仿宋" w:eastAsia="仿宋" w:hAnsi="仿宋" w:cs="仿宋" w:hint="eastAsia"/>
          <w:lang w:eastAsia="zh-CN"/>
        </w:rPr>
        <w:t>前言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旨在保证项目开展过程的规范性和高效性，以确保项目能够按时、按质量完成。作为一份仅用于学习交流的文档，特此声明本方案不可做为商业用途。通过合理的规划和设计，我们将为项目提供详细的路线图，确保项目按照预期计划高效推进，并达到预期的目标。</w:t>
      </w:r>
    </w:p>
    <w:p>
      <w:pPr>
        <w:pStyle w:val="Heading1"/>
        <w:ind w:firstLine="560" w:firstLineChars="200"/>
        <w:rPr>
          <w:rFonts w:ascii="仿宋" w:eastAsia="仿宋" w:hAnsi="仿宋" w:cs="仿宋" w:hint="eastAsia"/>
          <w:sz w:val="28"/>
          <w:lang w:eastAsia="zh-CN"/>
        </w:rPr>
      </w:pPr>
      <w:bookmarkStart w:id="2" w:name="_Toc15427"/>
      <w:r>
        <w:rPr>
          <w:rFonts w:ascii="仿宋" w:eastAsia="仿宋" w:hAnsi="仿宋" w:cs="仿宋" w:hint="eastAsia"/>
          <w:sz w:val="28"/>
          <w:lang w:eastAsia="zh-CN"/>
        </w:rPr>
        <w:t>一、水处理药剂项目选址可行性分析</w:t>
      </w:r>
      <w:bookmarkEnd w:id="2"/>
    </w:p>
    <w:p>
      <w:pPr>
        <w:pStyle w:val="Heading2"/>
        <w:rPr>
          <w:rFonts w:ascii="仿宋" w:eastAsia="仿宋" w:hAnsi="仿宋" w:cs="仿宋" w:hint="eastAsia"/>
          <w:lang w:eastAsia="zh-CN"/>
        </w:rPr>
      </w:pPr>
      <w:bookmarkStart w:id="3" w:name="_Toc17215"/>
      <w:r>
        <w:rPr>
          <w:rFonts w:ascii="仿宋" w:eastAsia="仿宋" w:hAnsi="仿宋" w:cs="仿宋" w:hint="eastAsia"/>
          <w:lang w:eastAsia="zh-CN"/>
        </w:rPr>
        <w:t>(一)、水处理药剂项目选址</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该水处理药剂项目选址位于XX省XX市XX区XXX街道</w:t>
      </w:r>
    </w:p>
    <w:p>
      <w:pPr>
        <w:pStyle w:val="Heading2"/>
        <w:ind w:firstLine="560" w:firstLineChars="200"/>
        <w:rPr>
          <w:rFonts w:ascii="仿宋" w:eastAsia="仿宋" w:hAnsi="仿宋" w:cs="仿宋" w:hint="eastAsia"/>
          <w:sz w:val="28"/>
          <w:lang w:eastAsia="zh-CN"/>
        </w:rPr>
      </w:pPr>
      <w:bookmarkStart w:id="4" w:name="_Toc9272"/>
      <w:r>
        <w:rPr>
          <w:rFonts w:ascii="仿宋" w:eastAsia="仿宋" w:hAnsi="仿宋" w:cs="仿宋" w:hint="eastAsia"/>
          <w:sz w:val="28"/>
          <w:lang w:eastAsia="zh-CN"/>
        </w:rPr>
        <w:t>(二)、用地控制指标</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1. 征地面积： 水处理药剂项目的征地面积将根据水处理药剂项目的实际规模和需求进行精确规划。具体面积XXX平方米，旨在确保水处理药剂项目不仅能够满足当前的发展需求，还能够预留空间以适应未来的扩展。</w:t>
      </w:r>
    </w:p>
    <w:p>
      <w:pPr>
        <w:ind w:firstLine="560" w:firstLineChars="200"/>
        <w:rPr>
          <w:rFonts w:ascii="仿宋" w:eastAsia="仿宋" w:hAnsi="仿宋" w:cs="仿宋" w:hint="eastAsia"/>
          <w:sz w:val="28"/>
        </w:rPr>
      </w:pPr>
      <w:r>
        <w:rPr>
          <w:rFonts w:ascii="仿宋" w:eastAsia="仿宋" w:hAnsi="仿宋" w:cs="仿宋" w:hint="eastAsia"/>
          <w:sz w:val="28"/>
          <w:lang w:eastAsia="zh-CN"/>
        </w:rPr>
        <w:t>2. 净用地面积： 净用地面积是在征地面积基础上去除不可利用面积后的实际可开发用地。具体面积XXX平方米，考虑到环保、交通、安全等多方面因素，以确保水处理药剂项目在整体利用效率上达到最优。</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3.</w:t>
      </w:r>
      <w:r>
        <w:rPr>
          <w:rFonts w:ascii="仿宋" w:eastAsia="仿宋" w:hAnsi="仿宋" w:cs="仿宋" w:hint="eastAsia"/>
          <w:sz w:val="28"/>
          <w:lang w:eastAsia="zh-CN"/>
        </w:rPr>
        <w:t xml:space="preserve"> 建筑面积：</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水处理药剂项目计划建设的建筑总规模具体面积XXX平方米。这一规模的确定综合考虑了水处理药剂项目的性质、规模，以及城市规划的相关要求，确保建筑布局与周边环境协调一致。</w:t>
      </w:r>
    </w:p>
    <w:p>
      <w:pPr>
        <w:ind w:firstLine="560" w:firstLineChars="200"/>
        <w:rPr>
          <w:rFonts w:ascii="仿宋" w:eastAsia="仿宋" w:hAnsi="仿宋" w:cs="仿宋" w:hint="eastAsia"/>
          <w:sz w:val="28"/>
        </w:rPr>
      </w:pPr>
      <w:r>
        <w:rPr>
          <w:rFonts w:ascii="仿宋" w:eastAsia="仿宋" w:hAnsi="仿宋" w:cs="仿宋" w:hint="eastAsia"/>
          <w:sz w:val="28"/>
          <w:lang w:eastAsia="zh-CN"/>
        </w:rPr>
        <w:t>4. 绿地率： 绿地率是水处理药剂项目用地中被规划为绿地的比例。具体面积XXX平方米，旨在通过合理规划绿地，改善水处理药剂项目周边环境，提升居民生活质量，并符合城市整体绿化规划。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5.容积率： 容积率是用地上可以建设的建筑总体积与用地面积之比。具体面积XXX，通过合理的容积率规划，确保水处理药剂项目建筑规模与周边环境和谐共生。</w:t>
      </w:r>
    </w:p>
    <w:p>
      <w:pPr>
        <w:ind w:firstLine="560" w:firstLineChars="200"/>
        <w:rPr>
          <w:rFonts w:ascii="仿宋" w:eastAsia="仿宋" w:hAnsi="仿宋" w:cs="仿宋" w:hint="eastAsia"/>
          <w:sz w:val="28"/>
        </w:rPr>
      </w:pPr>
      <w:r>
        <w:rPr>
          <w:rFonts w:ascii="仿宋" w:eastAsia="仿宋" w:hAnsi="仿宋" w:cs="仿宋" w:hint="eastAsia"/>
          <w:sz w:val="28"/>
          <w:lang w:eastAsia="zh-CN"/>
        </w:rPr>
        <w:t>6. 城市规划一致性： 确保水处理药剂项目选址与当地城市规划相一致，具体面积XXX平方米。通过与城市规划部门深入沟通，确保水处理药剂项目不仅符合城市的整体发展方向，还能够融入城市的发展布局，为城市的长远发展贡献力量。</w:t>
      </w:r>
    </w:p>
    <w:p>
      <w:pPr>
        <w:ind w:firstLine="560" w:firstLineChars="200"/>
        <w:rPr>
          <w:rFonts w:ascii="仿宋" w:eastAsia="仿宋" w:hAnsi="仿宋" w:cs="仿宋" w:hint="eastAsia"/>
          <w:sz w:val="28"/>
        </w:rPr>
      </w:pPr>
      <w:r>
        <w:rPr>
          <w:rFonts w:ascii="仿宋" w:eastAsia="仿宋" w:hAnsi="仿宋" w:cs="仿宋" w:hint="eastAsia"/>
          <w:sz w:val="28"/>
          <w:lang w:eastAsia="zh-CN"/>
        </w:rPr>
        <w:t>7. 产业政策符合性： 充分了解并确保水处理药剂项目选址符合当地产业政策，具体面积XXX平方米。这包括水处理药剂项目对当地经济的促进作用，以及对相关产业的带动效应，确保水处理药剂项目与地方政府的产业政策保持一致，促进共赢合作。</w:t>
      </w:r>
    </w:p>
    <w:p>
      <w:pPr>
        <w:ind w:firstLine="560" w:firstLineChars="200"/>
        <w:rPr>
          <w:rFonts w:ascii="仿宋" w:eastAsia="仿宋" w:hAnsi="仿宋" w:cs="仿宋" w:hint="eastAsia"/>
          <w:sz w:val="28"/>
        </w:rPr>
      </w:pPr>
      <w:r>
        <w:rPr>
          <w:rFonts w:ascii="仿宋" w:eastAsia="仿宋" w:hAnsi="仿宋" w:cs="仿宋" w:hint="eastAsia"/>
          <w:sz w:val="28"/>
          <w:lang w:eastAsia="zh-CN"/>
        </w:rPr>
        <w:t>8. 环保和可持续性： 用地总体要求必须符合环保和可持续发展的原则，具体面积XXX平方米。通过采用绿色建筑设计、节能减排等措施，确保水处理药剂项目在建设和运营过程中对环境的影响最小化，达到可持续发展的要求。</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9.</w:t>
      </w:r>
      <w:r>
        <w:rPr>
          <w:rFonts w:ascii="仿宋" w:eastAsia="仿宋" w:hAnsi="仿宋" w:cs="仿宋" w:hint="eastAsia"/>
          <w:sz w:val="28"/>
          <w:lang w:eastAsia="zh-CN"/>
        </w:rPr>
        <w:t xml:space="preserve"> 公共设施配套：</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确保水处理药剂项目选址具备必要的公共设施配套，具体面积XXX平方米。这包括交通便利性、教育、医疗等基础设施，以提高居民生活品质，使得水处理药剂项目选址更具吸引力。</w:t>
      </w:r>
    </w:p>
    <w:p>
      <w:pPr>
        <w:ind w:firstLine="560" w:firstLineChars="200"/>
        <w:rPr>
          <w:rFonts w:ascii="仿宋" w:eastAsia="仿宋" w:hAnsi="仿宋" w:cs="仿宋" w:hint="eastAsia"/>
          <w:sz w:val="28"/>
        </w:rPr>
      </w:pPr>
      <w:r>
        <w:rPr>
          <w:rFonts w:ascii="仿宋" w:eastAsia="仿宋" w:hAnsi="仿宋" w:cs="仿宋" w:hint="eastAsia"/>
          <w:sz w:val="28"/>
          <w:lang w:eastAsia="zh-CN"/>
        </w:rPr>
        <w:t>10. 社会稳定性： 考虑用地总体要求对当地社会稳定性的影响，具体面积XXX平方米。通过深入了解当地社区反馈，确保水处理药剂项目的选址和建设过程对当地社会和谐稳定产生积极作用。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这些用地总体要求的详细规划，我们将确保水处理药剂项目选址不仅符合法规和规划，还在实际操作中具有可行性。这一全面规划将为水处理药剂项目的成功实施提供坚实的基础，确保水处理药剂项目选址阶段就能够奠定良好的发展基础。</w:t>
      </w:r>
    </w:p>
    <w:p>
      <w:pPr>
        <w:pStyle w:val="Heading2"/>
        <w:ind w:firstLine="560" w:firstLineChars="200"/>
        <w:rPr>
          <w:rFonts w:ascii="仿宋" w:eastAsia="仿宋" w:hAnsi="仿宋" w:cs="仿宋" w:hint="eastAsia"/>
          <w:sz w:val="28"/>
          <w:lang w:eastAsia="zh-CN"/>
        </w:rPr>
      </w:pPr>
      <w:bookmarkStart w:id="5" w:name="_Toc11699"/>
      <w:r>
        <w:rPr>
          <w:rFonts w:ascii="仿宋" w:eastAsia="仿宋" w:hAnsi="仿宋" w:cs="仿宋" w:hint="eastAsia"/>
          <w:sz w:val="28"/>
          <w:lang w:eastAsia="zh-CN"/>
        </w:rPr>
        <w:t>(三)、节约用地措施</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智能化建筑设计与最优空间利用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水处理药剂项目的选址和规划过程中，我们高度重视如何最大程度地节约用地、提高用地利用效率。首先，我们将采用智能化建筑设计的创新手段，以确保建筑结构和布局能够实现最佳的空间利用效果。通过引入智能化空调系统、光照调节系统等先进技术，我们能够精准地控制室内环境，同时避免了传统设计中可能存在的冗余空间。这一智能设计理念将使得每平方米的建筑空间都能够被最充分地利用，实现能耗的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灵活设备布局与多功能空间设计</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其次，在水处理药剂项目的设备规划和空间设计中，我们将采取灵活设备布局的措施。设备布局将根据实际需求进行灵活设计，避免不必要的浪费。通过合理规划设备摆放位置，我们将提高设备的利用率，减少设备间距，以确保水处理药剂项目的生产效率和能源利用效率得到最大程度的提升。同时，我们将引入多功能空间设计理念，使得建筑内部空间具备多种功能。这样的设计能够减少不同功能区域之间的空间浪费，进而提高整体空间利用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共享设施与垂直建筑设计的创新应用</w:t>
      </w:r>
    </w:p>
    <w:p>
      <w:pPr>
        <w:ind w:firstLine="560" w:firstLineChars="200"/>
        <w:rPr>
          <w:rFonts w:ascii="仿宋" w:eastAsia="仿宋" w:hAnsi="仿宋" w:cs="仿宋" w:hint="eastAsia"/>
          <w:sz w:val="28"/>
        </w:rPr>
      </w:pPr>
      <w:r>
        <w:rPr>
          <w:rFonts w:ascii="仿宋" w:eastAsia="仿宋" w:hAnsi="仿宋" w:cs="仿宋" w:hint="eastAsia"/>
          <w:sz w:val="28"/>
          <w:lang w:eastAsia="zh-CN"/>
        </w:rPr>
        <w:t>进一步，我们计划在水处理药剂项目内部引入共享设施的概念，例如共享会议室、办公区等。通过这种方式，我们可以减少对资源的重复建设，提高资源共享效率，从而减小水处理药剂项目整体用地需求。此外，我们将采用垂直建筑设计的创新应用，特别是在空间受限的情况下。通过提高建筑的垂直高度，我们能够在有限的占地面积内实现更大程度上的用地节约，有效降低对土地资源的压力。</w:t>
      </w:r>
    </w:p>
    <w:p>
      <w:pPr>
        <w:pStyle w:val="Heading2"/>
        <w:ind w:firstLine="560" w:firstLineChars="200"/>
        <w:rPr>
          <w:rFonts w:ascii="仿宋" w:eastAsia="仿宋" w:hAnsi="仿宋" w:cs="仿宋" w:hint="eastAsia"/>
          <w:sz w:val="28"/>
          <w:lang w:eastAsia="zh-CN"/>
        </w:rPr>
      </w:pPr>
      <w:bookmarkStart w:id="6" w:name="_Toc8575"/>
      <w:r>
        <w:rPr>
          <w:rFonts w:ascii="仿宋" w:eastAsia="仿宋" w:hAnsi="仿宋" w:cs="仿宋" w:hint="eastAsia"/>
          <w:sz w:val="28"/>
          <w:lang w:eastAsia="zh-CN"/>
        </w:rPr>
        <w:t>(四)、总图布置方案</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功能分区规划： 在水处理药剂项目的总图布置中，我们将不同功能区域进行明确的规划，以最大程度满足水处理药剂项目的多元需求。生产区将被合理布置，确保生产线的顺畅运作；办公区域将被设计成开放、灵活的办公空间，促进团队协作；休闲区域将被设置为员工放松休息的场所，提高员工工作舒适度。</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交通与通道设计： 我们将精心设计交通与通道系统，确保不同功能区域之间的交通畅通无阻。主要通道将被宽敞设计，以容纳员工和物流的流动；次要通道将连接各个功能区，确保便捷的移动路径。这样的设计有助于提高整体运营效率，降低工作中的阻力。</w:t>
      </w:r>
    </w:p>
    <w:p>
      <w:pPr>
        <w:ind w:firstLine="560" w:firstLineChars="200"/>
        <w:rPr>
          <w:rFonts w:ascii="仿宋" w:eastAsia="仿宋" w:hAnsi="仿宋" w:cs="仿宋" w:hint="eastAsia"/>
          <w:sz w:val="28"/>
        </w:rPr>
      </w:pPr>
      <w:r>
        <w:rPr>
          <w:rFonts w:ascii="仿宋" w:eastAsia="仿宋" w:hAnsi="仿宋" w:cs="仿宋" w:hint="eastAsia"/>
          <w:sz w:val="28"/>
          <w:lang w:eastAsia="zh-CN"/>
        </w:rPr>
        <w:t>建筑空间组织： 在总图布置方案中，我们将注重建筑空间的组织，确保建筑之间的布局和高度相互协调。高度差异将被合理利用，形成动态的建筑群体。通过巧妙的建筑组织，我们旨在提高空间利用效率，同时创造一个宜人、舒适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绿化与景观设计： 我们将在总图中融入绿化与景观设计，以打造宜人的工作环境。绿化带将被合理设置，增添自然元素；景观点将点缀在办公区域，提升员工的工作满意度。通过这些设计元素，我们旨在创造一个宜人、绿意盎然的工作场所，激发员工的创造力和活力。</w:t>
      </w:r>
    </w:p>
    <w:p>
      <w:pPr>
        <w:ind w:firstLine="560" w:firstLineChars="200"/>
        <w:rPr>
          <w:rFonts w:ascii="仿宋" w:eastAsia="仿宋" w:hAnsi="仿宋" w:cs="仿宋" w:hint="eastAsia"/>
          <w:sz w:val="28"/>
        </w:rPr>
      </w:pPr>
      <w:r>
        <w:rPr>
          <w:rFonts w:ascii="仿宋" w:eastAsia="仿宋" w:hAnsi="仿宋" w:cs="仿宋" w:hint="eastAsia"/>
          <w:sz w:val="28"/>
          <w:lang w:eastAsia="zh-CN"/>
        </w:rPr>
        <w:t>紧急疏散通道： 安全是总图布置中的首要考虑因素。我们将合理规划紧急疏散通道，确保在紧急情况下员工能够快速安全地疏散。紧急通道将被明确标识，并与灭火器材等安全设备相配合，以最大程度减少潜在的安全风险。</w:t>
      </w:r>
    </w:p>
    <w:p>
      <w:pPr>
        <w:pStyle w:val="Heading2"/>
        <w:ind w:firstLine="560" w:firstLineChars="200"/>
        <w:rPr>
          <w:rFonts w:ascii="仿宋" w:eastAsia="仿宋" w:hAnsi="仿宋" w:cs="仿宋" w:hint="eastAsia"/>
          <w:sz w:val="28"/>
          <w:lang w:eastAsia="zh-CN"/>
        </w:rPr>
      </w:pPr>
      <w:bookmarkStart w:id="7" w:name="_Toc5398"/>
      <w:r>
        <w:rPr>
          <w:rFonts w:ascii="仿宋" w:eastAsia="仿宋" w:hAnsi="仿宋" w:cs="仿宋" w:hint="eastAsia"/>
          <w:sz w:val="28"/>
          <w:lang w:eastAsia="zh-CN"/>
        </w:rPr>
        <w:t>(五)、选址综合评价</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市场因素： 我们首先关注市场因素，包括潜在客户分布、竞争对手位置、市场需求等。通过深入的市场调研，我们能够更准确地评估选址对于市场开拓和产品销售的影响，确保水处理药剂项目能够在有利的市场环境中蓬勃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交通便利性： 选址的交通便利性直接关系到物流运输和员工的出行。我们将评估选址周边的交通网络，包括高速公路、铁路、港口等，以确保原材料和成品的流通畅通，并为员工提供便捷的通勤条件。</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环保影响：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水处理药剂项目对环境的影响是综合评价的重要因素之一。我们将详细考虑选址周边的自然环境、生态保护区、水源地等情况，确保水处理药剂项目的建设和运营对环境影响最小化，并符合当地的环保法规标准。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政策法规： 对选址的评价还需充分考虑当地政府的产业政策和法规。我们将详细了解水处理药剂项目所在地的相关政策，确保水处理药剂项目的规划和运营与当地法规相符，降低不必要的法律风险。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社会稳定性： 考虑到社会稳定性对企业运营的重要性，我们将评估选址地区的社会安全情况、劳工关系、社区反馈等方面，以确保水处理药剂项目的建设和运营不会受到社会稳定性的负面影响。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用地成本： 最后，我们将综合考虑用地成本，包括土地购置费用、土地开发成本等。通过对用地成本的详细评估，我们能够做出更为精确的经济效益分析，为水处理药剂项目的投资决策提供有力支持。</w:t>
      </w:r>
    </w:p>
    <w:p>
      <w:pPr>
        <w:pStyle w:val="Heading1"/>
        <w:ind w:firstLine="560" w:firstLineChars="200"/>
        <w:rPr>
          <w:rFonts w:ascii="仿宋" w:eastAsia="仿宋" w:hAnsi="仿宋" w:cs="仿宋" w:hint="eastAsia"/>
          <w:sz w:val="28"/>
          <w:lang w:eastAsia="zh-CN"/>
        </w:rPr>
      </w:pPr>
      <w:bookmarkStart w:id="8" w:name="_Toc3663"/>
      <w:r>
        <w:rPr>
          <w:rFonts w:ascii="仿宋" w:eastAsia="仿宋" w:hAnsi="仿宋" w:cs="仿宋" w:hint="eastAsia"/>
          <w:sz w:val="28"/>
          <w:lang w:eastAsia="zh-CN"/>
        </w:rPr>
        <w:t>二、水处理药剂项目概论</w:t>
      </w:r>
      <w:bookmarkEnd w:id="8"/>
    </w:p>
    <w:p>
      <w:pPr>
        <w:pStyle w:val="Heading2"/>
        <w:rPr>
          <w:rFonts w:ascii="仿宋" w:eastAsia="仿宋" w:hAnsi="仿宋" w:cs="仿宋" w:hint="eastAsia"/>
          <w:lang w:eastAsia="zh-CN"/>
        </w:rPr>
      </w:pPr>
      <w:bookmarkStart w:id="9" w:name="_Toc9180"/>
      <w:r>
        <w:rPr>
          <w:rFonts w:ascii="仿宋" w:eastAsia="仿宋" w:hAnsi="仿宋" w:cs="仿宋" w:hint="eastAsia"/>
          <w:lang w:eastAsia="zh-CN"/>
        </w:rPr>
        <w:t>(一)、水处理药剂项目概况</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 背景</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水处理药剂项目的起源追溯至对市场的深入洞察。市场的不断演变与变革为水处理药剂项目提供了难得的机遇。当前市场存在的需求缺口和变革的大环境共同构成了水处理药剂项目的背景。这个水处理药剂项目旨在充分利用市场机遇，填补行业中尚未满足的需求，为客户提供全新的解决方案。市场的变革和需求的增长使得这个水处理药剂项目具备了巨大的发展潜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1.2 水处理药剂项目名称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水处理药剂项目正式命名为水处理药剂。这个名称不仅仅是一个标识，更代表了水处理药剂项目的核心理念和愿景。它蕴含着水处理药剂项目所要解决问题的关键字，具有强烈的表达和辨识度，为水处理药剂项目树立了鲜明的品牌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1.3 水处理药剂项目目标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水处理药剂项目的核心目标是提供一种全新、高效的解决方案，满足客户日益增长的需求。水处理药剂项目追求的不仅仅是满足市场需求，更是在市场中获得卓越的竞争优势。通过不断提升产品或服务的质量和创新水平，水处理药剂项目旨在成为行业中的领军者。</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1.4 水处理药剂项目范围</w:t>
      </w:r>
    </w:p>
    <w:p>
      <w:pPr>
        <w:ind w:firstLine="560" w:firstLineChars="200"/>
        <w:rPr>
          <w:rFonts w:ascii="仿宋" w:eastAsia="仿宋" w:hAnsi="仿宋" w:cs="仿宋" w:hint="eastAsia"/>
          <w:sz w:val="28"/>
        </w:rPr>
      </w:pPr>
      <w:r>
        <w:rPr>
          <w:rFonts w:ascii="仿宋" w:eastAsia="仿宋" w:hAnsi="仿宋" w:cs="仿宋" w:hint="eastAsia"/>
          <w:sz w:val="28"/>
          <w:lang w:eastAsia="zh-CN"/>
        </w:rPr>
        <w:t>水处理药剂项目全面涵盖了产品研发、制造、市场推广和售后服务，确保从产品设计到最终用户体验的全方位关注。这一全面的水处理药剂项目范围是为了确保水处理药剂项目能够在整个价值链中提供卓越的价值，从而满足客户的期望并赢得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1.5 水处理药剂项目时间表</w:t>
      </w:r>
    </w:p>
    <w:p>
      <w:pPr>
        <w:ind w:firstLine="560" w:firstLineChars="200"/>
        <w:rPr>
          <w:rFonts w:ascii="仿宋" w:eastAsia="仿宋" w:hAnsi="仿宋" w:cs="仿宋" w:hint="eastAsia"/>
          <w:sz w:val="28"/>
        </w:rPr>
      </w:pPr>
      <w:r>
        <w:rPr>
          <w:rFonts w:ascii="仿宋" w:eastAsia="仿宋" w:hAnsi="仿宋" w:cs="仿宋" w:hint="eastAsia"/>
          <w:sz w:val="28"/>
          <w:lang w:eastAsia="zh-CN"/>
        </w:rPr>
        <w:t>水处理药剂项目计划在未来18个月内完成，包括研发、测试、市场试点和正式推出等不同阶段。这个时间表的合理设计是为了确保水处理药剂项目各个阶段的顺利推进，以便按时交付高质量的成果。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1.6 水处理药剂项目预算</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水处理药剂项目总预算估算为XX百万美元，主要分配在研发、市场推广、人员培训和运营等方面。这一充足的预算为水处理药剂项目提供了充足的资源，确保水处理药剂项目在各个方面都能取得优异的表现。</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1.7 水处理药剂项目风险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水处理药剂项目可能面临的风险包括市场接受度低、技术难题、竞争激烈等。水处理药剂项目团队已经制定了相应的风险应对计划，通过前瞻性的风险管理，确保水处理药剂项目在面对不确定性时能够迅速做出应对。</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1.8 水处理药剂项目团队</w:t>
      </w:r>
    </w:p>
    <w:p>
      <w:pPr>
        <w:ind w:firstLine="560" w:firstLineChars="200"/>
        <w:rPr>
          <w:rFonts w:ascii="仿宋" w:eastAsia="仿宋" w:hAnsi="仿宋" w:cs="仿宋" w:hint="eastAsia"/>
          <w:sz w:val="28"/>
        </w:rPr>
      </w:pPr>
      <w:r>
        <w:rPr>
          <w:rFonts w:ascii="仿宋" w:eastAsia="仿宋" w:hAnsi="仿宋" w:cs="仿宋" w:hint="eastAsia"/>
          <w:sz w:val="28"/>
          <w:lang w:eastAsia="zh-CN"/>
        </w:rPr>
        <w:t>水处理药剂项目汇聚了一支经验丰富、多领域专业素养的核心团队，确保水处理药剂项目在各个方面都能拥有高水平的执行力。团队的协同作战是水处理药剂项目成功的关键因素之一。</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1.9 水处理药剂项目背景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水处理药剂项目的背景根植于市场对更高效、创新产品的渴望，同时也受到科技发展对行业格局的深刻改变的影响。这为水处理药剂项目提供了广阔的发展空间和市场需求。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1.10 水处理药剂项目现状</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截至目前，水处理药剂项目已完成市场调研和技术验证，取得了初步的成功。这为水处理药剂项目在未来的发展奠定了坚实的基础，为更远大的目标打下了坚实的基石。</w:t>
      </w:r>
    </w:p>
    <w:p>
      <w:pPr>
        <w:pStyle w:val="Heading2"/>
        <w:ind w:firstLine="560" w:firstLineChars="200"/>
        <w:rPr>
          <w:rFonts w:ascii="仿宋" w:eastAsia="仿宋" w:hAnsi="仿宋" w:cs="仿宋" w:hint="eastAsia"/>
          <w:sz w:val="28"/>
          <w:lang w:eastAsia="zh-CN"/>
        </w:rPr>
      </w:pPr>
      <w:bookmarkStart w:id="10" w:name="_Toc10239"/>
      <w:r>
        <w:rPr>
          <w:rFonts w:ascii="仿宋" w:eastAsia="仿宋" w:hAnsi="仿宋" w:cs="仿宋" w:hint="eastAsia"/>
          <w:sz w:val="28"/>
          <w:lang w:eastAsia="zh-CN"/>
        </w:rPr>
        <w:t>(二)、水处理药剂项目目标</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keyword》水处理药剂项目首要业务目标是在市场中占据有利地位，实现产品/服务的成功推广和销售。通过不断提升产品质量、创新性，水处理药剂项目追求成为行业中的领导者，赢得更多客户的青睐。</w:t>
      </w:r>
    </w:p>
    <w:p>
      <w:pPr>
        <w:ind w:firstLine="560" w:firstLineChars="200"/>
        <w:rPr>
          <w:rFonts w:ascii="仿宋" w:eastAsia="仿宋" w:hAnsi="仿宋" w:cs="仿宋" w:hint="eastAsia"/>
          <w:sz w:val="28"/>
        </w:rPr>
      </w:pPr>
      <w:r>
        <w:rPr>
          <w:rFonts w:ascii="仿宋" w:eastAsia="仿宋" w:hAnsi="仿宋" w:cs="仿宋" w:hint="eastAsia"/>
          <w:sz w:val="28"/>
          <w:lang w:eastAsia="zh-CN"/>
        </w:rPr>
        <w:t>在科技迅速发展的时代，水处理药剂项目着眼于技术创新。通过持续的研发和技术升级，水处理药剂项目旨在推出更具创新性的产品或服务，以满足市场对新鲜、先进解决方案的需求。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为了建立可持续的客户关系，水处理药剂项目设定了客户满意度目标。通过提供卓越的产品质量和优质的客户服务，水处理药剂项目追求赢得客户的信任和忠诚度，确保他们的满意度达到行业领先水平。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水处理药剂项目注重社会责任和可持续发展。通过实施环保、社会责任水处理药剂项目，水处理药剂项目致力于在经济发展的同时保护环境，促进社会公平，实现可持续经营。</w:t>
      </w:r>
    </w:p>
    <w:p>
      <w:pPr>
        <w:ind w:firstLine="560" w:firstLineChars="200"/>
        <w:rPr>
          <w:rFonts w:ascii="仿宋" w:eastAsia="仿宋" w:hAnsi="仿宋" w:cs="仿宋" w:hint="eastAsia"/>
          <w:sz w:val="28"/>
        </w:rPr>
      </w:pPr>
      <w:r>
        <w:rPr>
          <w:rFonts w:ascii="仿宋" w:eastAsia="仿宋" w:hAnsi="仿宋" w:cs="仿宋" w:hint="eastAsia"/>
          <w:sz w:val="28"/>
          <w:lang w:eastAsia="zh-CN"/>
        </w:rPr>
        <w:t>水处理药剂项目的团队是实现目标的核心驱动力。因此，水处理药剂项目设定了团队发展目标，包括提升团队成员的专业技能、培养领导力，以及搭建协同高效的团队工作氛围。</w:t>
      </w:r>
    </w:p>
    <w:p>
      <w:pPr>
        <w:pStyle w:val="Heading2"/>
        <w:ind w:firstLine="560" w:firstLineChars="200"/>
        <w:rPr>
          <w:rFonts w:ascii="仿宋" w:eastAsia="仿宋" w:hAnsi="仿宋" w:cs="仿宋" w:hint="eastAsia"/>
          <w:sz w:val="28"/>
          <w:lang w:eastAsia="zh-CN"/>
        </w:rPr>
      </w:pPr>
      <w:bookmarkStart w:id="11" w:name="_Toc13288"/>
      <w:r>
        <w:rPr>
          <w:rFonts w:ascii="仿宋" w:eastAsia="仿宋" w:hAnsi="仿宋" w:cs="仿宋" w:hint="eastAsia"/>
          <w:sz w:val="28"/>
          <w:lang w:eastAsia="zh-CN"/>
        </w:rPr>
        <w:t>(三)、水处理药剂项目提出的理由</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 2. 水处理药剂项目提出的理由</w:t>
      </w:r>
    </w:p>
    <w:p>
      <w:pPr>
        <w:ind w:firstLine="560" w:firstLineChars="200"/>
        <w:rPr>
          <w:rFonts w:ascii="仿宋" w:eastAsia="仿宋" w:hAnsi="仿宋" w:cs="仿宋" w:hint="eastAsia"/>
          <w:sz w:val="28"/>
        </w:rPr>
      </w:pPr>
      <w:r>
        <w:rPr>
          <w:rFonts w:ascii="仿宋" w:eastAsia="仿宋" w:hAnsi="仿宋" w:cs="仿宋" w:hint="eastAsia"/>
          <w:sz w:val="28"/>
          <w:lang w:eastAsia="zh-CN"/>
        </w:rPr>
        <w:t>2.1 市场机遇</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水处理药剂项目的提出源于对市场机遇的深刻洞察。当前市场中存在的需求缺口和行业发展趋势表明，有巨大的商业机会等待被开发。通过准确捕捉市场机遇，水处理药剂项目可以在激烈的竞争中脱颖而出，迅速占领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2.2 技术创新</w:t>
      </w:r>
    </w:p>
    <w:p>
      <w:pPr>
        <w:ind w:firstLine="560" w:firstLineChars="200"/>
        <w:rPr>
          <w:rFonts w:ascii="仿宋" w:eastAsia="仿宋" w:hAnsi="仿宋" w:cs="仿宋" w:hint="eastAsia"/>
          <w:sz w:val="28"/>
        </w:rPr>
      </w:pPr>
      <w:r>
        <w:rPr>
          <w:rFonts w:ascii="仿宋" w:eastAsia="仿宋" w:hAnsi="仿宋" w:cs="仿宋" w:hint="eastAsia"/>
          <w:sz w:val="28"/>
          <w:lang w:eastAsia="zh-CN"/>
        </w:rPr>
        <w:t>水处理药剂项目的理念基于对技术创新的信仰。通过持续的研发和技术投入，水处理药剂项目有望推出更具创新性的产品或服务。在科技飞速发展的当下，水处理药剂项目将充分利用先进技术，满足客户对高质量、高效率解决方案的迫切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2.3 行业竞争力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水处理药剂项目的提出是为了增强企业的行业竞争力。通过提升产品或服务的质量和独特性，水处理药剂项目力图在行业中建立起巩固的地位。这不仅有助于吸引更多客户，还能够吸引优秀的人才和合作伙伴，共同推动企业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2.4 消费者需求变化</w:t>
      </w:r>
    </w:p>
    <w:p>
      <w:pPr>
        <w:ind w:firstLine="560" w:firstLineChars="200"/>
        <w:rPr>
          <w:rFonts w:ascii="仿宋" w:eastAsia="仿宋" w:hAnsi="仿宋" w:cs="仿宋" w:hint="eastAsia"/>
          <w:sz w:val="28"/>
        </w:rPr>
      </w:pPr>
      <w:r>
        <w:rPr>
          <w:rFonts w:ascii="仿宋" w:eastAsia="仿宋" w:hAnsi="仿宋" w:cs="仿宋" w:hint="eastAsia"/>
          <w:sz w:val="28"/>
          <w:lang w:eastAsia="zh-CN"/>
        </w:rPr>
        <w:t>水处理药剂项目响应了消费者需求的变化。随着社会和科技的不断发展，消费者对产品和服务的需求也在发生变化。通过深入了解并及时回应消费者的新需求，水处理药剂项目将能够提供更符合市场潮流和客户期望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2.5 战略发展规划</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水处理药剂项目的提出是企业战略发展规划的一部分。在面对日益激烈的市场竞争和不断变化的商业环境中，水处理药剂项目作为企业战略的一环，旨在为企业开辟新的增长领域，巩固企业在行业中的地位。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2.6 社会责任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水处理药剂项目的提出不仅仅是基于商业考量，还注重社会责任。通过推出环保、社会责任等方面的水处理药剂项目，水处理药剂企业可以在社会中树立积极形象，为社会做出积极贡献，实现经济效益和社会效益的双赢。</w:t>
      </w:r>
    </w:p>
    <w:p>
      <w:pPr>
        <w:ind w:firstLine="560" w:firstLineChars="200"/>
        <w:rPr>
          <w:rFonts w:ascii="仿宋" w:eastAsia="仿宋" w:hAnsi="仿宋" w:cs="仿宋" w:hint="eastAsia"/>
          <w:sz w:val="28"/>
        </w:rPr>
      </w:pPr>
      <w:r>
        <w:rPr>
          <w:rFonts w:ascii="仿宋" w:eastAsia="仿宋" w:hAnsi="仿宋" w:cs="仿宋" w:hint="eastAsia"/>
          <w:sz w:val="28"/>
          <w:lang w:eastAsia="zh-CN"/>
        </w:rPr>
        <w:t>2.7 利益相关者期望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水处理药剂项目的提出反映了对利益相关者期望的关注。包括客户、员工、投资者等利益相关者在企业发展中都有着各自的期望，水处理药剂项目力求在满足这些期望的同时，取得更大的共赢。</w:t>
      </w:r>
    </w:p>
    <w:p>
      <w:pPr>
        <w:ind w:firstLine="560" w:firstLineChars="200"/>
        <w:rPr>
          <w:rFonts w:ascii="仿宋" w:eastAsia="仿宋" w:hAnsi="仿宋" w:cs="仿宋" w:hint="eastAsia"/>
          <w:sz w:val="28"/>
        </w:rPr>
      </w:pPr>
    </w:p>
    <w:p>
      <w:pPr>
        <w:pStyle w:val="Heading2"/>
        <w:ind w:firstLine="560" w:firstLineChars="200"/>
        <w:rPr>
          <w:rFonts w:ascii="仿宋" w:eastAsia="仿宋" w:hAnsi="仿宋" w:cs="仿宋" w:hint="eastAsia"/>
          <w:sz w:val="28"/>
          <w:lang w:eastAsia="zh-CN"/>
        </w:rPr>
      </w:pPr>
      <w:bookmarkStart w:id="12" w:name="_Toc21286"/>
      <w:r>
        <w:rPr>
          <w:rFonts w:ascii="仿宋" w:eastAsia="仿宋" w:hAnsi="仿宋" w:cs="仿宋" w:hint="eastAsia"/>
          <w:sz w:val="28"/>
          <w:lang w:eastAsia="zh-CN"/>
        </w:rPr>
        <w:t>(四)、水处理药剂项目意义</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在实施水处理药剂项目的过程中，我们不仅仅是在追逐商业成功，更是为企业和社会的多个层面创造了深远的意义。</w:t>
      </w:r>
    </w:p>
    <w:p>
      <w:pPr>
        <w:ind w:firstLine="560" w:firstLineChars="200"/>
        <w:rPr>
          <w:rFonts w:ascii="仿宋" w:eastAsia="仿宋" w:hAnsi="仿宋" w:cs="仿宋" w:hint="eastAsia"/>
          <w:sz w:val="28"/>
        </w:rPr>
      </w:pPr>
      <w:r>
        <w:rPr>
          <w:rFonts w:ascii="仿宋" w:eastAsia="仿宋" w:hAnsi="仿宋" w:cs="仿宋" w:hint="eastAsia"/>
          <w:sz w:val="28"/>
          <w:lang w:eastAsia="zh-CN"/>
        </w:rPr>
        <w:t>水处理药剂项目的首要意义在于提升企业的市场竞争力。通过持续的创新和对产品质量的高标准要求，水处理药剂项目将使企业在市场中脱颖而出。这不仅为企业带来了更多的商业机会，也将吸引更多的客户和投资者，为企业打造可持续增长的基石。</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此外，水处理药剂项目的推进将促使行业技术水平的提升。通过引入先进技术和创新性解决方案，水处理药剂项目有望在行业中树立标杆，推动整个行业走向更高水平。这对于行业的可持续发展和创新力的提升都具有积极的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在社会层面，水处理药剂项目不仅创造了大量就业机会，提高了就业水平，还注重社会责任和环保。通过参与社会公益事业和推动环保水处理药剂项目，水处理药剂项目为社会贡献了一份力量，体现了企业对社会的积极回馈。</w:t>
      </w:r>
    </w:p>
    <w:p>
      <w:pPr>
        <w:ind w:firstLine="560" w:firstLineChars="200"/>
        <w:rPr>
          <w:rFonts w:ascii="仿宋" w:eastAsia="仿宋" w:hAnsi="仿宋" w:cs="仿宋" w:hint="eastAsia"/>
          <w:sz w:val="28"/>
        </w:rPr>
      </w:pPr>
      <w:r>
        <w:rPr>
          <w:rFonts w:ascii="仿宋" w:eastAsia="仿宋" w:hAnsi="仿宋" w:cs="仿宋" w:hint="eastAsia"/>
          <w:sz w:val="28"/>
          <w:lang w:eastAsia="zh-CN"/>
        </w:rPr>
        <w:t>综合而言，水处理药剂项目意义重大，不仅推动了企业的发展，也为行业和社会的进步贡献了积极力量。这是一个全面而深刻的影响，将在未来产生可持续的正面效应。</w:t>
      </w:r>
    </w:p>
    <w:p>
      <w:pPr>
        <w:pStyle w:val="Heading2"/>
        <w:ind w:firstLine="560" w:firstLineChars="200"/>
        <w:rPr>
          <w:rFonts w:ascii="仿宋" w:eastAsia="仿宋" w:hAnsi="仿宋" w:cs="仿宋" w:hint="eastAsia"/>
          <w:sz w:val="28"/>
          <w:lang w:eastAsia="zh-CN"/>
        </w:rPr>
      </w:pPr>
      <w:bookmarkStart w:id="13" w:name="_Toc18607"/>
      <w:r>
        <w:rPr>
          <w:rFonts w:ascii="仿宋" w:eastAsia="仿宋" w:hAnsi="仿宋" w:cs="仿宋" w:hint="eastAsia"/>
          <w:sz w:val="28"/>
          <w:lang w:eastAsia="zh-CN"/>
        </w:rPr>
        <w:t>(五)、水处理药剂项目背景</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在当今迅猛发展的商业环境中，水处理药剂项目的动因根植于对多方面因素的审慎考量。这个水处理药剂项目的提出并非孤立的决策，而是对企业所处背景深入思考的产物。</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的不断演变是水处理药剂项目背后的首要原因。科技的迅速发展和全球市场的快速变化使得企业必须灵活应对。水处理药剂项目应运而生，旨在通过创新性的解决方案迎合市场的多变需求，赢得竞争中的先机。</w:t>
      </w:r>
    </w:p>
    <w:p>
      <w:pPr>
        <w:ind w:firstLine="560" w:firstLineChars="200"/>
        <w:rPr>
          <w:rFonts w:ascii="仿宋" w:eastAsia="仿宋" w:hAnsi="仿宋" w:cs="仿宋" w:hint="eastAsia"/>
          <w:sz w:val="28"/>
        </w:rPr>
      </w:pPr>
      <w:r>
        <w:rPr>
          <w:rFonts w:ascii="仿宋" w:eastAsia="仿宋" w:hAnsi="仿宋" w:cs="仿宋" w:hint="eastAsia"/>
          <w:sz w:val="28"/>
          <w:lang w:eastAsia="zh-CN"/>
        </w:rPr>
        <w:t>竞争的激烈程度也是水处理药剂项目背景中不可忽视的一环。企业需要在激烈竞争中脱颖而出，为此，水处理药剂项目致力于打破常规，提供独特的价值主张，以吸引客户并确保市场份额的增长。</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技术的迅速发展为企业带来了机遇与挑战。作为水处理药剂项目启动的背景之一，对新兴技术的应用将有助于提升企业的技术水平，使其在不断演进的商业环境中保持竞争优势。</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此外，社会对企业责任的期望也在逐渐升高。水处理药剂项目充分融入了社会责任的理念，通过可持续经营和社会公益水处理药剂项目，企图为社会贡献一份力量，在商业成功的同时关注社会价值。</w:t>
      </w:r>
    </w:p>
    <w:p>
      <w:pPr>
        <w:pStyle w:val="Heading1"/>
        <w:ind w:firstLine="560" w:firstLineChars="200"/>
        <w:rPr>
          <w:rFonts w:ascii="仿宋" w:eastAsia="仿宋" w:hAnsi="仿宋" w:cs="仿宋" w:hint="eastAsia"/>
          <w:sz w:val="28"/>
          <w:lang w:eastAsia="zh-CN"/>
        </w:rPr>
      </w:pPr>
      <w:bookmarkStart w:id="14" w:name="_Toc22968"/>
      <w:r>
        <w:rPr>
          <w:rFonts w:ascii="仿宋" w:eastAsia="仿宋" w:hAnsi="仿宋" w:cs="仿宋" w:hint="eastAsia"/>
          <w:sz w:val="28"/>
          <w:lang w:eastAsia="zh-CN"/>
        </w:rPr>
        <w:t>三、工艺说明</w:t>
      </w:r>
      <w:bookmarkEnd w:id="14"/>
    </w:p>
    <w:p>
      <w:pPr>
        <w:pStyle w:val="Heading2"/>
        <w:rPr>
          <w:rFonts w:ascii="仿宋" w:eastAsia="仿宋" w:hAnsi="仿宋" w:cs="仿宋" w:hint="eastAsia"/>
          <w:lang w:eastAsia="zh-CN"/>
        </w:rPr>
      </w:pPr>
      <w:bookmarkStart w:id="15" w:name="_Toc20322"/>
      <w:r>
        <w:rPr>
          <w:rFonts w:ascii="仿宋" w:eastAsia="仿宋" w:hAnsi="仿宋" w:cs="仿宋" w:hint="eastAsia"/>
          <w:lang w:eastAsia="zh-CN"/>
        </w:rPr>
        <w:t>(一)、技术管理特点</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水处理药剂项目的技术管理特点体现在其创新导向。通过引入最先进的技术趋势和解决方案，水处理药剂项目致力于提升科技含量、提高质量和效率水平。这意味着我们将采用最新的工具和方法，确保水处理药剂项目在技术层面始终走在前沿，从而在竞争激烈的市场中脱颖而出。</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整合性策略是水处理药剂项目技术管理的显著特征。通过整合不同领域的技术资源，我们实现了跨学科的协同工作。这有助于优化技术架构，提高整体效能。此外，整合性策略还促进了不同技术团队之间的紧密沟通和高效合作，确保水处理药剂项目各方面的技术都能得到协同发展。</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r>
        <w:rPr>
          <w:rFonts w:ascii="仿宋" w:eastAsia="仿宋" w:hAnsi="仿宋" w:cs="仿宋" w:hint="eastAsia"/>
          <w:sz w:val="28"/>
          <w:lang w:eastAsia="zh-CN"/>
        </w:rPr>
        <w:t>技术管理的第三个显著特点是持续优化。为了保持竞争力，我们将建立健全的技术监测体系，定期评估和更新水处理药剂项目所采用的技术。通过不断优化技术方案，水处理药剂项目将能够灵活应对市场和行业的变化，确保技术一直处于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另一方面，风险管理在技术管理中也占据重要地位。水处理药剂项目团队将在水处理药剂项目初期识别可能的技术风险，并采取相应的预防和应对措施。通过建立健全的风险评估机制，水处理药剂项目能够在实施过程中及时发现并解决潜在的技术问题，保障水处理药剂项目技术实施的平稳进行。</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这些独特的技术管理特点，我们确信在水处理药剂项目中，技术将成为水处理药剂项目成功的有力支持。这一深度剖析揭示了技术管理在水处理药剂项目实施中的关键作用，为水处理药剂项目的技术基础奠定了坚实的基础。</w:t>
      </w:r>
    </w:p>
    <w:p>
      <w:pPr>
        <w:pStyle w:val="Heading2"/>
        <w:ind w:firstLine="560" w:firstLineChars="200"/>
        <w:rPr>
          <w:rFonts w:ascii="仿宋" w:eastAsia="仿宋" w:hAnsi="仿宋" w:cs="仿宋" w:hint="eastAsia"/>
          <w:sz w:val="28"/>
          <w:lang w:eastAsia="zh-CN"/>
        </w:rPr>
      </w:pPr>
      <w:bookmarkStart w:id="16" w:name="_Toc15110"/>
      <w:r>
        <w:rPr>
          <w:rFonts w:ascii="仿宋" w:eastAsia="仿宋" w:hAnsi="仿宋" w:cs="仿宋" w:hint="eastAsia"/>
          <w:sz w:val="28"/>
          <w:lang w:eastAsia="zh-CN"/>
        </w:rPr>
        <w:t>(二)、水处理药剂项目工艺技术设计方案</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对于生产技术方案的选用，水处理药剂项目将遵循“利用资源”的原则，选择当前较先进的集散型控制系统。这系统能够全面掌控整个生产线的各项工艺参数，确保产品质量稳定在高水平，同时降低物料的消耗。这一决策旨在通过高效的控制系统实现生产过程的优化，提高产品生产的效率和质量。</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经营活动方面，水处理药剂项目将严格按照相关行业规范要求进行组织。通过有效控制产品质量，水处理药剂项目将致力于为顾客提供优质的水处理药剂项目产品和良好的服务。这体现了水处理药剂项目对于生产活动合规性和质量标准的高度重视，为水处理药剂项目的可持续发展和顾客满意度奠定了基础。</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https://d.book118.com/388073142024006034</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水处理药剂项目规划设计方案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水处理药剂项目规划设计方案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水处理药剂项目规划设计方案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水处理药剂项目规划设计方案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水处理药剂项目规划设计方案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水处理药剂项目规划设计方案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水处理药剂项目规划设计方案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水处理药剂项目规划设计方案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水处理药剂项目规划设计方案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水处理药剂项目规划设计方案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水处理药剂项目规划设计方案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水处理药剂项目规划设计方案</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水处理药剂项目规划设计方案</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水处理药剂项目规划设计方案</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水处理药剂项目规划设计方案</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水处理药剂项目规划设计方案</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水处理药剂项目规划设计方案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D921128"/>
    <w:rsid w:val="2D921128"/>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autoRedefine/>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388073142024006034"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22</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2024-02-02T10:49:00Z</dcterms:created>
  <dcterms:modified xsi:type="dcterms:W3CDTF">2024-02-02T10:50:00Z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A41B7551BC6C4617B47588E7CADC2041_11</vt:lpwstr>
  </property>
  <property fmtid="{D5CDD505-2E9C-101B-9397-08002B2CF9AE}" pid="3" name="KSOProductBuildVer">
    <vt:lpwstr>2052-12.1.0.16250</vt:lpwstr>
  </property>
</Properties>
</file>