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化学气相沉积硒化锌(CVDZNSE)晶体项目规划设计方案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79" w:history="1">
        <w:r>
          <w:rPr>
            <w:rFonts w:ascii="仿宋" w:eastAsia="仿宋" w:hAnsi="仿宋" w:cs="仿宋" w:hint="eastAsia"/>
            <w:lang w:eastAsia="zh-CN"/>
          </w:rPr>
          <w:t>概论</w:t>
        </w:r>
        <w:r>
          <w:tab/>
        </w:r>
        <w:r>
          <w:fldChar w:fldCharType="begin"/>
        </w:r>
        <w:r>
          <w:instrText xml:space="preserve"> PAGEREF _Toc26579 \h </w:instrText>
        </w:r>
        <w:r>
          <w:fldChar w:fldCharType="separate"/>
        </w:r>
        <w:r>
          <w:t>3</w:t>
        </w:r>
        <w:r>
          <w:fldChar w:fldCharType="end"/>
        </w:r>
      </w:hyperlink>
    </w:p>
    <w:p>
      <w:pPr>
        <w:pStyle w:val="TOC1"/>
        <w:tabs>
          <w:tab w:val="right" w:leader="dot" w:pos="8306"/>
        </w:tabs>
      </w:pPr>
      <w:hyperlink w:anchor="_Toc26648" w:history="1">
        <w:r>
          <w:rPr>
            <w:rFonts w:ascii="仿宋" w:eastAsia="仿宋" w:hAnsi="仿宋" w:cs="仿宋" w:hint="eastAsia"/>
            <w:lang w:eastAsia="zh-CN"/>
          </w:rPr>
          <w:t>一、化学气相沉积硒化锌(CVDZNSE)晶体项目文档管理</w:t>
        </w:r>
        <w:r>
          <w:tab/>
        </w:r>
        <w:r>
          <w:fldChar w:fldCharType="begin"/>
        </w:r>
        <w:r>
          <w:instrText xml:space="preserve"> PAGEREF _Toc26648 \h </w:instrText>
        </w:r>
        <w:r>
          <w:fldChar w:fldCharType="separate"/>
        </w:r>
        <w:r>
          <w:t>3</w:t>
        </w:r>
        <w:r>
          <w:fldChar w:fldCharType="end"/>
        </w:r>
      </w:hyperlink>
    </w:p>
    <w:p>
      <w:pPr>
        <w:pStyle w:val="TOC2"/>
        <w:tabs>
          <w:tab w:val="right" w:leader="dot" w:pos="8306"/>
        </w:tabs>
      </w:pPr>
      <w:hyperlink w:anchor="_Toc4988" w:history="1">
        <w:r>
          <w:rPr>
            <w:rFonts w:ascii="仿宋" w:eastAsia="仿宋" w:hAnsi="仿宋" w:cs="仿宋" w:hint="eastAsia"/>
            <w:lang w:eastAsia="zh-CN"/>
          </w:rPr>
          <w:t>(一)、文档编制与审查</w:t>
        </w:r>
        <w:r>
          <w:tab/>
        </w:r>
        <w:r>
          <w:fldChar w:fldCharType="begin"/>
        </w:r>
        <w:r>
          <w:instrText xml:space="preserve"> PAGEREF _Toc4988 \h </w:instrText>
        </w:r>
        <w:r>
          <w:fldChar w:fldCharType="separate"/>
        </w:r>
        <w:r>
          <w:t>3</w:t>
        </w:r>
        <w:r>
          <w:fldChar w:fldCharType="end"/>
        </w:r>
      </w:hyperlink>
    </w:p>
    <w:p>
      <w:pPr>
        <w:pStyle w:val="TOC2"/>
        <w:tabs>
          <w:tab w:val="right" w:leader="dot" w:pos="8306"/>
        </w:tabs>
      </w:pPr>
      <w:hyperlink w:anchor="_Toc2339" w:history="1">
        <w:r>
          <w:rPr>
            <w:rFonts w:ascii="仿宋" w:eastAsia="仿宋" w:hAnsi="仿宋" w:cs="仿宋" w:hint="eastAsia"/>
            <w:lang w:eastAsia="zh-CN"/>
          </w:rPr>
          <w:t>(二)、文档发布与分发</w:t>
        </w:r>
        <w:r>
          <w:tab/>
        </w:r>
        <w:r>
          <w:fldChar w:fldCharType="begin"/>
        </w:r>
        <w:r>
          <w:instrText xml:space="preserve"> PAGEREF _Toc2339 \h </w:instrText>
        </w:r>
        <w:r>
          <w:fldChar w:fldCharType="separate"/>
        </w:r>
        <w:r>
          <w:t>5</w:t>
        </w:r>
        <w:r>
          <w:fldChar w:fldCharType="end"/>
        </w:r>
      </w:hyperlink>
    </w:p>
    <w:p>
      <w:pPr>
        <w:pStyle w:val="TOC2"/>
        <w:tabs>
          <w:tab w:val="right" w:leader="dot" w:pos="8306"/>
        </w:tabs>
      </w:pPr>
      <w:hyperlink w:anchor="_Toc2919" w:history="1">
        <w:r>
          <w:rPr>
            <w:rFonts w:ascii="仿宋" w:eastAsia="仿宋" w:hAnsi="仿宋" w:cs="仿宋" w:hint="eastAsia"/>
            <w:lang w:eastAsia="zh-CN"/>
          </w:rPr>
          <w:t>(三)、文档存档与归档</w:t>
        </w:r>
        <w:r>
          <w:tab/>
        </w:r>
        <w:r>
          <w:fldChar w:fldCharType="begin"/>
        </w:r>
        <w:r>
          <w:instrText xml:space="preserve"> PAGEREF _Toc2919 \h </w:instrText>
        </w:r>
        <w:r>
          <w:fldChar w:fldCharType="separate"/>
        </w:r>
        <w:r>
          <w:t>5</w:t>
        </w:r>
        <w:r>
          <w:fldChar w:fldCharType="end"/>
        </w:r>
      </w:hyperlink>
    </w:p>
    <w:p>
      <w:pPr>
        <w:pStyle w:val="TOC1"/>
        <w:tabs>
          <w:tab w:val="right" w:leader="dot" w:pos="8306"/>
        </w:tabs>
      </w:pPr>
      <w:hyperlink w:anchor="_Toc15078" w:history="1">
        <w:r>
          <w:rPr>
            <w:rFonts w:ascii="仿宋" w:eastAsia="仿宋" w:hAnsi="仿宋" w:cs="仿宋" w:hint="eastAsia"/>
            <w:lang w:eastAsia="zh-CN"/>
          </w:rPr>
          <w:t>二、化学气相沉积硒化锌(CVDZNSE)晶体项目建设背景及必要性分析</w:t>
        </w:r>
        <w:r>
          <w:tab/>
        </w:r>
        <w:r>
          <w:fldChar w:fldCharType="begin"/>
        </w:r>
        <w:r>
          <w:instrText xml:space="preserve"> PAGEREF _Toc15078 \h </w:instrText>
        </w:r>
        <w:r>
          <w:fldChar w:fldCharType="separate"/>
        </w:r>
        <w:r>
          <w:t>7</w:t>
        </w:r>
        <w:r>
          <w:fldChar w:fldCharType="end"/>
        </w:r>
      </w:hyperlink>
    </w:p>
    <w:p>
      <w:pPr>
        <w:pStyle w:val="TOC2"/>
        <w:tabs>
          <w:tab w:val="right" w:leader="dot" w:pos="8306"/>
        </w:tabs>
      </w:pPr>
      <w:hyperlink w:anchor="_Toc10681" w:history="1">
        <w:r>
          <w:rPr>
            <w:rFonts w:ascii="仿宋" w:eastAsia="仿宋" w:hAnsi="仿宋" w:cs="仿宋" w:hint="eastAsia"/>
            <w:lang w:eastAsia="zh-CN"/>
          </w:rPr>
          <w:t>(一)、化学气相沉积硒化锌(CVDZNSE)晶体项目背景分析</w:t>
        </w:r>
        <w:r>
          <w:tab/>
        </w:r>
        <w:r>
          <w:fldChar w:fldCharType="begin"/>
        </w:r>
        <w:r>
          <w:instrText xml:space="preserve"> PAGEREF _Toc10681 \h </w:instrText>
        </w:r>
        <w:r>
          <w:fldChar w:fldCharType="separate"/>
        </w:r>
        <w:r>
          <w:t>7</w:t>
        </w:r>
        <w:r>
          <w:fldChar w:fldCharType="end"/>
        </w:r>
      </w:hyperlink>
    </w:p>
    <w:p>
      <w:pPr>
        <w:pStyle w:val="TOC2"/>
        <w:tabs>
          <w:tab w:val="right" w:leader="dot" w:pos="8306"/>
        </w:tabs>
      </w:pPr>
      <w:hyperlink w:anchor="_Toc17598" w:history="1">
        <w:r>
          <w:rPr>
            <w:rFonts w:ascii="仿宋" w:eastAsia="仿宋" w:hAnsi="仿宋" w:cs="仿宋" w:hint="eastAsia"/>
            <w:lang w:eastAsia="zh-CN"/>
          </w:rPr>
          <w:t>(二)、化学气相沉积硒化锌(CVDZNSE)晶体项目建设必要性分析</w:t>
        </w:r>
        <w:r>
          <w:tab/>
        </w:r>
        <w:r>
          <w:fldChar w:fldCharType="begin"/>
        </w:r>
        <w:r>
          <w:instrText xml:space="preserve"> PAGEREF _Toc17598 \h </w:instrText>
        </w:r>
        <w:r>
          <w:fldChar w:fldCharType="separate"/>
        </w:r>
        <w:r>
          <w:t>9</w:t>
        </w:r>
        <w:r>
          <w:fldChar w:fldCharType="end"/>
        </w:r>
      </w:hyperlink>
    </w:p>
    <w:p>
      <w:pPr>
        <w:pStyle w:val="TOC1"/>
        <w:tabs>
          <w:tab w:val="right" w:leader="dot" w:pos="8306"/>
        </w:tabs>
      </w:pPr>
      <w:hyperlink w:anchor="_Toc24296" w:history="1">
        <w:r>
          <w:rPr>
            <w:rFonts w:ascii="仿宋" w:eastAsia="仿宋" w:hAnsi="仿宋" w:cs="仿宋" w:hint="eastAsia"/>
            <w:lang w:eastAsia="zh-CN"/>
          </w:rPr>
          <w:t>三、化学气相沉积硒化锌(CVDZNSE)晶体项目概论</w:t>
        </w:r>
        <w:r>
          <w:tab/>
        </w:r>
        <w:r>
          <w:fldChar w:fldCharType="begin"/>
        </w:r>
        <w:r>
          <w:instrText xml:space="preserve"> PAGEREF _Toc24296 \h </w:instrText>
        </w:r>
        <w:r>
          <w:fldChar w:fldCharType="separate"/>
        </w:r>
        <w:r>
          <w:t>10</w:t>
        </w:r>
        <w:r>
          <w:fldChar w:fldCharType="end"/>
        </w:r>
      </w:hyperlink>
    </w:p>
    <w:p>
      <w:pPr>
        <w:pStyle w:val="TOC2"/>
        <w:tabs>
          <w:tab w:val="right" w:leader="dot" w:pos="8306"/>
        </w:tabs>
      </w:pPr>
      <w:hyperlink w:anchor="_Toc10667" w:history="1">
        <w:r>
          <w:rPr>
            <w:rFonts w:ascii="仿宋" w:eastAsia="仿宋" w:hAnsi="仿宋" w:cs="仿宋" w:hint="eastAsia"/>
            <w:lang w:eastAsia="zh-CN"/>
          </w:rPr>
          <w:t>(一)、化学气相沉积硒化锌(CVDZNSE)晶体项目概况</w:t>
        </w:r>
        <w:r>
          <w:tab/>
        </w:r>
        <w:r>
          <w:fldChar w:fldCharType="begin"/>
        </w:r>
        <w:r>
          <w:instrText xml:space="preserve"> PAGEREF _Toc10667 \h </w:instrText>
        </w:r>
        <w:r>
          <w:fldChar w:fldCharType="separate"/>
        </w:r>
        <w:r>
          <w:t>10</w:t>
        </w:r>
        <w:r>
          <w:fldChar w:fldCharType="end"/>
        </w:r>
      </w:hyperlink>
    </w:p>
    <w:p>
      <w:pPr>
        <w:pStyle w:val="TOC2"/>
        <w:tabs>
          <w:tab w:val="right" w:leader="dot" w:pos="8306"/>
        </w:tabs>
      </w:pPr>
      <w:hyperlink w:anchor="_Toc11469" w:history="1">
        <w:r>
          <w:rPr>
            <w:rFonts w:ascii="仿宋" w:eastAsia="仿宋" w:hAnsi="仿宋" w:cs="仿宋" w:hint="eastAsia"/>
            <w:lang w:eastAsia="zh-CN"/>
          </w:rPr>
          <w:t>(二)、化学气相沉积硒化锌(CVDZNSE)晶体项目目标</w:t>
        </w:r>
        <w:r>
          <w:tab/>
        </w:r>
        <w:r>
          <w:fldChar w:fldCharType="begin"/>
        </w:r>
        <w:r>
          <w:instrText xml:space="preserve"> PAGEREF _Toc11469 \h </w:instrText>
        </w:r>
        <w:r>
          <w:fldChar w:fldCharType="separate"/>
        </w:r>
        <w:r>
          <w:t>13</w:t>
        </w:r>
        <w:r>
          <w:fldChar w:fldCharType="end"/>
        </w:r>
      </w:hyperlink>
    </w:p>
    <w:p>
      <w:pPr>
        <w:pStyle w:val="TOC2"/>
        <w:tabs>
          <w:tab w:val="right" w:leader="dot" w:pos="8306"/>
        </w:tabs>
      </w:pPr>
      <w:hyperlink w:anchor="_Toc11162" w:history="1">
        <w:r>
          <w:rPr>
            <w:rFonts w:ascii="仿宋" w:eastAsia="仿宋" w:hAnsi="仿宋" w:cs="仿宋" w:hint="eastAsia"/>
            <w:lang w:eastAsia="zh-CN"/>
          </w:rPr>
          <w:t>(三)、化学气相沉积硒化锌(CVDZNSE)晶体项目提出的理由</w:t>
        </w:r>
        <w:r>
          <w:tab/>
        </w:r>
        <w:r>
          <w:fldChar w:fldCharType="begin"/>
        </w:r>
        <w:r>
          <w:instrText xml:space="preserve"> PAGEREF _Toc11162 \h </w:instrText>
        </w:r>
        <w:r>
          <w:fldChar w:fldCharType="separate"/>
        </w:r>
        <w:r>
          <w:t>14</w:t>
        </w:r>
        <w:r>
          <w:fldChar w:fldCharType="end"/>
        </w:r>
      </w:hyperlink>
    </w:p>
    <w:p>
      <w:pPr>
        <w:pStyle w:val="TOC2"/>
        <w:tabs>
          <w:tab w:val="right" w:leader="dot" w:pos="8306"/>
        </w:tabs>
      </w:pPr>
      <w:hyperlink w:anchor="_Toc16203" w:history="1">
        <w:r>
          <w:rPr>
            <w:rFonts w:ascii="仿宋" w:eastAsia="仿宋" w:hAnsi="仿宋" w:cs="仿宋" w:hint="eastAsia"/>
            <w:lang w:eastAsia="zh-CN"/>
          </w:rPr>
          <w:t>(四)、化学气相沉积硒化锌(CVDZNSE)晶体项目意义</w:t>
        </w:r>
        <w:r>
          <w:tab/>
        </w:r>
        <w:r>
          <w:fldChar w:fldCharType="begin"/>
        </w:r>
        <w:r>
          <w:instrText xml:space="preserve"> PAGEREF _Toc16203 \h </w:instrText>
        </w:r>
        <w:r>
          <w:fldChar w:fldCharType="separate"/>
        </w:r>
        <w:r>
          <w:t>16</w:t>
        </w:r>
        <w:r>
          <w:fldChar w:fldCharType="end"/>
        </w:r>
      </w:hyperlink>
    </w:p>
    <w:p>
      <w:pPr>
        <w:pStyle w:val="TOC2"/>
        <w:tabs>
          <w:tab w:val="right" w:leader="dot" w:pos="8306"/>
        </w:tabs>
      </w:pPr>
      <w:hyperlink w:anchor="_Toc6622" w:history="1">
        <w:r>
          <w:rPr>
            <w:rFonts w:ascii="仿宋" w:eastAsia="仿宋" w:hAnsi="仿宋" w:cs="仿宋" w:hint="eastAsia"/>
            <w:lang w:eastAsia="zh-CN"/>
          </w:rPr>
          <w:t>(五)、化学气相沉积硒化锌(CVDZNSE)晶体项目背景</w:t>
        </w:r>
        <w:r>
          <w:tab/>
        </w:r>
        <w:r>
          <w:fldChar w:fldCharType="begin"/>
        </w:r>
        <w:r>
          <w:instrText xml:space="preserve"> PAGEREF _Toc6622 \h </w:instrText>
        </w:r>
        <w:r>
          <w:fldChar w:fldCharType="separate"/>
        </w:r>
        <w:r>
          <w:t>17</w:t>
        </w:r>
        <w:r>
          <w:fldChar w:fldCharType="end"/>
        </w:r>
      </w:hyperlink>
    </w:p>
    <w:p>
      <w:pPr>
        <w:pStyle w:val="TOC1"/>
        <w:tabs>
          <w:tab w:val="right" w:leader="dot" w:pos="8306"/>
        </w:tabs>
      </w:pPr>
      <w:hyperlink w:anchor="_Toc14178" w:history="1">
        <w:r>
          <w:rPr>
            <w:rFonts w:ascii="仿宋" w:eastAsia="仿宋" w:hAnsi="仿宋" w:cs="仿宋" w:hint="eastAsia"/>
            <w:lang w:eastAsia="zh-CN"/>
          </w:rPr>
          <w:t>四、化学气相沉积硒化锌(CVDZNSE)晶体项目绩效评估</w:t>
        </w:r>
        <w:r>
          <w:tab/>
        </w:r>
        <w:r>
          <w:fldChar w:fldCharType="begin"/>
        </w:r>
        <w:r>
          <w:instrText xml:space="preserve"> PAGEREF _Toc14178 \h </w:instrText>
        </w:r>
        <w:r>
          <w:fldChar w:fldCharType="separate"/>
        </w:r>
        <w:r>
          <w:t>18</w:t>
        </w:r>
        <w:r>
          <w:fldChar w:fldCharType="end"/>
        </w:r>
      </w:hyperlink>
    </w:p>
    <w:p>
      <w:pPr>
        <w:pStyle w:val="TOC2"/>
        <w:tabs>
          <w:tab w:val="right" w:leader="dot" w:pos="8306"/>
        </w:tabs>
      </w:pPr>
      <w:hyperlink w:anchor="_Toc19595" w:history="1">
        <w:r>
          <w:rPr>
            <w:rFonts w:ascii="仿宋" w:eastAsia="仿宋" w:hAnsi="仿宋" w:cs="仿宋" w:hint="eastAsia"/>
            <w:lang w:eastAsia="zh-CN"/>
          </w:rPr>
          <w:t>(一)、绩效评估指标</w:t>
        </w:r>
        <w:r>
          <w:tab/>
        </w:r>
        <w:r>
          <w:fldChar w:fldCharType="begin"/>
        </w:r>
        <w:r>
          <w:instrText xml:space="preserve"> PAGEREF _Toc19595 \h </w:instrText>
        </w:r>
        <w:r>
          <w:fldChar w:fldCharType="separate"/>
        </w:r>
        <w:r>
          <w:t>18</w:t>
        </w:r>
        <w:r>
          <w:fldChar w:fldCharType="end"/>
        </w:r>
      </w:hyperlink>
    </w:p>
    <w:p>
      <w:pPr>
        <w:pStyle w:val="TOC2"/>
        <w:tabs>
          <w:tab w:val="right" w:leader="dot" w:pos="8306"/>
        </w:tabs>
      </w:pPr>
      <w:hyperlink w:anchor="_Toc9123" w:history="1">
        <w:r>
          <w:rPr>
            <w:rFonts w:ascii="仿宋" w:eastAsia="仿宋" w:hAnsi="仿宋" w:cs="仿宋" w:hint="eastAsia"/>
            <w:lang w:eastAsia="zh-CN"/>
          </w:rPr>
          <w:t>(二)、绩效评估方法</w:t>
        </w:r>
        <w:r>
          <w:tab/>
        </w:r>
        <w:r>
          <w:fldChar w:fldCharType="begin"/>
        </w:r>
        <w:r>
          <w:instrText xml:space="preserve"> PAGEREF _Toc9123 \h </w:instrText>
        </w:r>
        <w:r>
          <w:fldChar w:fldCharType="separate"/>
        </w:r>
        <w:r>
          <w:t>19</w:t>
        </w:r>
        <w:r>
          <w:fldChar w:fldCharType="end"/>
        </w:r>
      </w:hyperlink>
    </w:p>
    <w:p>
      <w:pPr>
        <w:pStyle w:val="TOC2"/>
        <w:tabs>
          <w:tab w:val="right" w:leader="dot" w:pos="8306"/>
        </w:tabs>
      </w:pPr>
      <w:hyperlink w:anchor="_Toc31633" w:history="1">
        <w:r>
          <w:rPr>
            <w:rFonts w:ascii="仿宋" w:eastAsia="仿宋" w:hAnsi="仿宋" w:cs="仿宋" w:hint="eastAsia"/>
            <w:lang w:eastAsia="zh-CN"/>
          </w:rPr>
          <w:t>(三)、绩效评估周期</w:t>
        </w:r>
        <w:r>
          <w:tab/>
        </w:r>
        <w:r>
          <w:fldChar w:fldCharType="begin"/>
        </w:r>
        <w:r>
          <w:instrText xml:space="preserve"> PAGEREF _Toc31633 \h </w:instrText>
        </w:r>
        <w:r>
          <w:fldChar w:fldCharType="separate"/>
        </w:r>
        <w:r>
          <w:t>21</w:t>
        </w:r>
        <w:r>
          <w:fldChar w:fldCharType="end"/>
        </w:r>
      </w:hyperlink>
    </w:p>
    <w:p>
      <w:pPr>
        <w:pStyle w:val="TOC1"/>
        <w:tabs>
          <w:tab w:val="right" w:leader="dot" w:pos="8306"/>
        </w:tabs>
      </w:pPr>
      <w:hyperlink w:anchor="_Toc14678" w:history="1">
        <w:r>
          <w:rPr>
            <w:rFonts w:ascii="仿宋" w:eastAsia="仿宋" w:hAnsi="仿宋" w:cs="仿宋" w:hint="eastAsia"/>
            <w:lang w:eastAsia="zh-CN"/>
          </w:rPr>
          <w:t>五、产品规划分析</w:t>
        </w:r>
        <w:r>
          <w:tab/>
        </w:r>
        <w:r>
          <w:fldChar w:fldCharType="begin"/>
        </w:r>
        <w:r>
          <w:instrText xml:space="preserve"> PAGEREF _Toc14678 \h </w:instrText>
        </w:r>
        <w:r>
          <w:fldChar w:fldCharType="separate"/>
        </w:r>
        <w:r>
          <w:t>22</w:t>
        </w:r>
        <w:r>
          <w:fldChar w:fldCharType="end"/>
        </w:r>
      </w:hyperlink>
    </w:p>
    <w:p>
      <w:pPr>
        <w:pStyle w:val="TOC2"/>
        <w:tabs>
          <w:tab w:val="right" w:leader="dot" w:pos="8306"/>
        </w:tabs>
      </w:pPr>
      <w:hyperlink w:anchor="_Toc22472" w:history="1">
        <w:r>
          <w:rPr>
            <w:rFonts w:ascii="仿宋" w:eastAsia="仿宋" w:hAnsi="仿宋" w:cs="仿宋" w:hint="eastAsia"/>
            <w:lang w:eastAsia="zh-CN"/>
          </w:rPr>
          <w:t>(一)、产品规划</w:t>
        </w:r>
        <w:r>
          <w:tab/>
        </w:r>
        <w:r>
          <w:fldChar w:fldCharType="begin"/>
        </w:r>
        <w:r>
          <w:instrText xml:space="preserve"> PAGEREF _Toc22472 \h </w:instrText>
        </w:r>
        <w:r>
          <w:fldChar w:fldCharType="separate"/>
        </w:r>
        <w:r>
          <w:t>22</w:t>
        </w:r>
        <w:r>
          <w:fldChar w:fldCharType="end"/>
        </w:r>
      </w:hyperlink>
    </w:p>
    <w:p>
      <w:pPr>
        <w:pStyle w:val="TOC2"/>
        <w:tabs>
          <w:tab w:val="right" w:leader="dot" w:pos="8306"/>
        </w:tabs>
      </w:pPr>
      <w:hyperlink w:anchor="_Toc15325" w:history="1">
        <w:r>
          <w:rPr>
            <w:rFonts w:ascii="仿宋" w:eastAsia="仿宋" w:hAnsi="仿宋" w:cs="仿宋" w:hint="eastAsia"/>
            <w:lang w:eastAsia="zh-CN"/>
          </w:rPr>
          <w:t>(二)、建设规模</w:t>
        </w:r>
        <w:r>
          <w:tab/>
        </w:r>
        <w:r>
          <w:fldChar w:fldCharType="begin"/>
        </w:r>
        <w:r>
          <w:instrText xml:space="preserve"> PAGEREF _Toc15325 \h </w:instrText>
        </w:r>
        <w:r>
          <w:fldChar w:fldCharType="separate"/>
        </w:r>
        <w:r>
          <w:t>23</w:t>
        </w:r>
        <w:r>
          <w:fldChar w:fldCharType="end"/>
        </w:r>
      </w:hyperlink>
    </w:p>
    <w:p>
      <w:pPr>
        <w:pStyle w:val="TOC1"/>
        <w:tabs>
          <w:tab w:val="right" w:leader="dot" w:pos="8306"/>
        </w:tabs>
      </w:pPr>
      <w:hyperlink w:anchor="_Toc15697" w:history="1">
        <w:r>
          <w:rPr>
            <w:rFonts w:ascii="仿宋" w:eastAsia="仿宋" w:hAnsi="仿宋" w:cs="仿宋" w:hint="eastAsia"/>
            <w:lang w:eastAsia="zh-CN"/>
          </w:rPr>
          <w:t>六、化学气相沉积硒化锌(CVDZNSE)晶体项目建设单位说明</w:t>
        </w:r>
        <w:r>
          <w:tab/>
        </w:r>
        <w:r>
          <w:fldChar w:fldCharType="begin"/>
        </w:r>
        <w:r>
          <w:instrText xml:space="preserve"> PAGEREF _Toc15697 \h </w:instrText>
        </w:r>
        <w:r>
          <w:fldChar w:fldCharType="separate"/>
        </w:r>
        <w:r>
          <w:t>24</w:t>
        </w:r>
        <w:r>
          <w:fldChar w:fldCharType="end"/>
        </w:r>
      </w:hyperlink>
    </w:p>
    <w:p>
      <w:pPr>
        <w:pStyle w:val="TOC2"/>
        <w:tabs>
          <w:tab w:val="right" w:leader="dot" w:pos="8306"/>
        </w:tabs>
      </w:pPr>
      <w:hyperlink w:anchor="_Toc11280" w:history="1">
        <w:r>
          <w:rPr>
            <w:rFonts w:ascii="仿宋" w:eastAsia="仿宋" w:hAnsi="仿宋" w:cs="仿宋" w:hint="eastAsia"/>
            <w:lang w:eastAsia="zh-CN"/>
          </w:rPr>
          <w:t>(一)、化学气相沉积硒化锌(CVDZNSE)晶体项目承办单位基本情况</w:t>
        </w:r>
        <w:r>
          <w:tab/>
        </w:r>
        <w:r>
          <w:fldChar w:fldCharType="begin"/>
        </w:r>
        <w:r>
          <w:instrText xml:space="preserve"> PAGEREF _Toc11280 \h </w:instrText>
        </w:r>
        <w:r>
          <w:fldChar w:fldCharType="separate"/>
        </w:r>
        <w:r>
          <w:t>24</w:t>
        </w:r>
        <w:r>
          <w:fldChar w:fldCharType="end"/>
        </w:r>
      </w:hyperlink>
    </w:p>
    <w:p>
      <w:pPr>
        <w:pStyle w:val="TOC2"/>
        <w:tabs>
          <w:tab w:val="right" w:leader="dot" w:pos="8306"/>
        </w:tabs>
      </w:pPr>
      <w:hyperlink w:anchor="_Toc20976" w:history="1">
        <w:r>
          <w:rPr>
            <w:rFonts w:ascii="仿宋" w:eastAsia="仿宋" w:hAnsi="仿宋" w:cs="仿宋" w:hint="eastAsia"/>
            <w:lang w:eastAsia="zh-CN"/>
          </w:rPr>
          <w:t>(二)、公司经济效益分析</w:t>
        </w:r>
        <w:r>
          <w:tab/>
        </w:r>
        <w:r>
          <w:fldChar w:fldCharType="begin"/>
        </w:r>
        <w:r>
          <w:instrText xml:space="preserve"> PAGEREF _Toc20976 \h </w:instrText>
        </w:r>
        <w:r>
          <w:fldChar w:fldCharType="separate"/>
        </w:r>
        <w:r>
          <w:t>25</w:t>
        </w:r>
        <w:r>
          <w:fldChar w:fldCharType="end"/>
        </w:r>
      </w:hyperlink>
    </w:p>
    <w:p>
      <w:pPr>
        <w:pStyle w:val="TOC1"/>
        <w:tabs>
          <w:tab w:val="right" w:leader="dot" w:pos="8306"/>
        </w:tabs>
      </w:pPr>
      <w:hyperlink w:anchor="_Toc26541" w:history="1">
        <w:r>
          <w:rPr>
            <w:rFonts w:ascii="仿宋" w:eastAsia="仿宋" w:hAnsi="仿宋" w:cs="仿宋" w:hint="eastAsia"/>
            <w:lang w:eastAsia="zh-CN"/>
          </w:rPr>
          <w:t>七、化学气相沉积硒化锌(CVDZNSE)晶体项目财务管理</w:t>
        </w:r>
        <w:r>
          <w:tab/>
        </w:r>
        <w:r>
          <w:fldChar w:fldCharType="begin"/>
        </w:r>
        <w:r>
          <w:instrText xml:space="preserve"> PAGEREF _Toc26541 \h </w:instrText>
        </w:r>
        <w:r>
          <w:fldChar w:fldCharType="separate"/>
        </w:r>
        <w:r>
          <w:t>26</w:t>
        </w:r>
        <w:r>
          <w:fldChar w:fldCharType="end"/>
        </w:r>
      </w:hyperlink>
    </w:p>
    <w:p>
      <w:pPr>
        <w:pStyle w:val="TOC2"/>
        <w:tabs>
          <w:tab w:val="right" w:leader="dot" w:pos="8306"/>
        </w:tabs>
      </w:pPr>
      <w:hyperlink w:anchor="_Toc14158" w:history="1">
        <w:r>
          <w:rPr>
            <w:rFonts w:ascii="仿宋" w:eastAsia="仿宋" w:hAnsi="仿宋" w:cs="仿宋" w:hint="eastAsia"/>
            <w:lang w:eastAsia="zh-CN"/>
          </w:rPr>
          <w:t>(一)、资金需求大</w:t>
        </w:r>
        <w:r>
          <w:tab/>
        </w:r>
        <w:r>
          <w:fldChar w:fldCharType="begin"/>
        </w:r>
        <w:r>
          <w:instrText xml:space="preserve"> PAGEREF _Toc14158 \h </w:instrText>
        </w:r>
        <w:r>
          <w:fldChar w:fldCharType="separate"/>
        </w:r>
        <w:r>
          <w:t>26</w:t>
        </w:r>
        <w:r>
          <w:fldChar w:fldCharType="end"/>
        </w:r>
      </w:hyperlink>
    </w:p>
    <w:p>
      <w:pPr>
        <w:pStyle w:val="TOC2"/>
        <w:tabs>
          <w:tab w:val="right" w:leader="dot" w:pos="8306"/>
        </w:tabs>
      </w:pPr>
      <w:hyperlink w:anchor="_Toc24848" w:history="1">
        <w:r>
          <w:rPr>
            <w:rFonts w:ascii="仿宋" w:eastAsia="仿宋" w:hAnsi="仿宋" w:cs="仿宋" w:hint="eastAsia"/>
            <w:lang w:eastAsia="zh-CN"/>
          </w:rPr>
          <w:t>(二)、研发周期长</w:t>
        </w:r>
        <w:r>
          <w:tab/>
        </w:r>
        <w:r>
          <w:fldChar w:fldCharType="begin"/>
        </w:r>
        <w:r>
          <w:instrText xml:space="preserve"> PAGEREF _Toc24848 \h </w:instrText>
        </w:r>
        <w:r>
          <w:fldChar w:fldCharType="separate"/>
        </w:r>
        <w:r>
          <w:t>27</w:t>
        </w:r>
        <w:r>
          <w:fldChar w:fldCharType="end"/>
        </w:r>
      </w:hyperlink>
    </w:p>
    <w:p>
      <w:pPr>
        <w:pStyle w:val="TOC2"/>
        <w:tabs>
          <w:tab w:val="right" w:leader="dot" w:pos="8306"/>
        </w:tabs>
      </w:pPr>
      <w:hyperlink w:anchor="_Toc30794" w:history="1">
        <w:r>
          <w:rPr>
            <w:rFonts w:ascii="仿宋" w:eastAsia="仿宋" w:hAnsi="仿宋" w:cs="仿宋" w:hint="eastAsia"/>
            <w:lang w:eastAsia="zh-CN"/>
          </w:rPr>
          <w:t>(三)、市场风险大</w:t>
        </w:r>
        <w:r>
          <w:tab/>
        </w:r>
        <w:r>
          <w:fldChar w:fldCharType="begin"/>
        </w:r>
        <w:r>
          <w:instrText xml:space="preserve"> PAGEREF _Toc30794 \h </w:instrText>
        </w:r>
        <w:r>
          <w:fldChar w:fldCharType="separate"/>
        </w:r>
        <w:r>
          <w:t>29</w:t>
        </w:r>
        <w:r>
          <w:fldChar w:fldCharType="end"/>
        </w:r>
      </w:hyperlink>
    </w:p>
    <w:p>
      <w:pPr>
        <w:pStyle w:val="TOC2"/>
        <w:tabs>
          <w:tab w:val="right" w:leader="dot" w:pos="8306"/>
        </w:tabs>
      </w:pPr>
      <w:hyperlink w:anchor="_Toc6600" w:history="1">
        <w:r>
          <w:rPr>
            <w:rFonts w:ascii="仿宋" w:eastAsia="仿宋" w:hAnsi="仿宋" w:cs="仿宋" w:hint="eastAsia"/>
            <w:lang w:eastAsia="zh-CN"/>
          </w:rPr>
          <w:t>(四)、利润率高</w:t>
        </w:r>
        <w:r>
          <w:tab/>
        </w:r>
        <w:r>
          <w:fldChar w:fldCharType="begin"/>
        </w:r>
        <w:r>
          <w:instrText xml:space="preserve"> PAGEREF _Toc6600 \h </w:instrText>
        </w:r>
        <w:r>
          <w:fldChar w:fldCharType="separate"/>
        </w:r>
        <w:r>
          <w:t>32</w:t>
        </w:r>
        <w:r>
          <w:fldChar w:fldCharType="end"/>
        </w:r>
      </w:hyperlink>
    </w:p>
    <w:p>
      <w:pPr>
        <w:pStyle w:val="TOC1"/>
        <w:tabs>
          <w:tab w:val="right" w:leader="dot" w:pos="8306"/>
        </w:tabs>
      </w:pPr>
      <w:hyperlink w:anchor="_Toc20924" w:history="1">
        <w:r>
          <w:rPr>
            <w:rFonts w:ascii="仿宋" w:eastAsia="仿宋" w:hAnsi="仿宋" w:cs="仿宋" w:hint="eastAsia"/>
            <w:lang w:eastAsia="zh-CN"/>
          </w:rPr>
          <w:t>八、化学气相沉积硒化锌(CVDZNSE)晶体项目创新与研发</w:t>
        </w:r>
        <w:r>
          <w:tab/>
        </w:r>
        <w:r>
          <w:fldChar w:fldCharType="begin"/>
        </w:r>
        <w:r>
          <w:instrText xml:space="preserve"> PAGEREF _Toc20924 \h </w:instrText>
        </w:r>
        <w:r>
          <w:fldChar w:fldCharType="separate"/>
        </w:r>
        <w:r>
          <w:t>34</w:t>
        </w:r>
        <w:r>
          <w:fldChar w:fldCharType="end"/>
        </w:r>
      </w:hyperlink>
    </w:p>
    <w:p>
      <w:pPr>
        <w:pStyle w:val="TOC2"/>
        <w:tabs>
          <w:tab w:val="right" w:leader="dot" w:pos="8306"/>
        </w:tabs>
      </w:pPr>
      <w:hyperlink w:anchor="_Toc7882" w:history="1">
        <w:r>
          <w:rPr>
            <w:rFonts w:ascii="仿宋" w:eastAsia="仿宋" w:hAnsi="仿宋" w:cs="仿宋" w:hint="eastAsia"/>
            <w:lang w:eastAsia="zh-CN"/>
          </w:rPr>
          <w:t>(一)、创新策略与方向</w:t>
        </w:r>
        <w:r>
          <w:tab/>
        </w:r>
        <w:r>
          <w:fldChar w:fldCharType="begin"/>
        </w:r>
        <w:r>
          <w:instrText xml:space="preserve"> PAGEREF _Toc7882 \h </w:instrText>
        </w:r>
        <w:r>
          <w:fldChar w:fldCharType="separate"/>
        </w:r>
        <w:r>
          <w:t>34</w:t>
        </w:r>
        <w:r>
          <w:fldChar w:fldCharType="end"/>
        </w:r>
      </w:hyperlink>
    </w:p>
    <w:p>
      <w:pPr>
        <w:pStyle w:val="TOC2"/>
        <w:tabs>
          <w:tab w:val="right" w:leader="dot" w:pos="8306"/>
        </w:tabs>
      </w:pPr>
      <w:hyperlink w:anchor="_Toc14929" w:history="1">
        <w:r>
          <w:rPr>
            <w:rFonts w:ascii="仿宋" w:eastAsia="仿宋" w:hAnsi="仿宋" w:cs="仿宋" w:hint="eastAsia"/>
            <w:lang w:eastAsia="zh-CN"/>
          </w:rPr>
          <w:t>(二)、研发规划与投入</w:t>
        </w:r>
        <w:r>
          <w:tab/>
        </w:r>
        <w:r>
          <w:fldChar w:fldCharType="begin"/>
        </w:r>
        <w:r>
          <w:instrText xml:space="preserve"> PAGEREF _Toc14929 \h </w:instrText>
        </w:r>
        <w:r>
          <w:fldChar w:fldCharType="separate"/>
        </w:r>
        <w:r>
          <w:t>35</w:t>
        </w:r>
        <w:r>
          <w:fldChar w:fldCharType="end"/>
        </w:r>
      </w:hyperlink>
    </w:p>
    <w:p>
      <w:pPr>
        <w:pStyle w:val="TOC1"/>
        <w:tabs>
          <w:tab w:val="right" w:leader="dot" w:pos="8306"/>
        </w:tabs>
      </w:pPr>
      <w:hyperlink w:anchor="_Toc31572" w:history="1">
        <w:r>
          <w:rPr>
            <w:rFonts w:ascii="仿宋" w:eastAsia="仿宋" w:hAnsi="仿宋" w:cs="仿宋" w:hint="eastAsia"/>
            <w:lang w:eastAsia="zh-CN"/>
          </w:rPr>
          <w:t>九、化学气相沉积硒化锌(CVDZNSE)晶体项目人力资源管理</w:t>
        </w:r>
        <w:r>
          <w:tab/>
        </w:r>
        <w:r>
          <w:fldChar w:fldCharType="begin"/>
        </w:r>
        <w:r>
          <w:instrText xml:space="preserve"> PAGEREF _Toc31572 \h </w:instrText>
        </w:r>
        <w:r>
          <w:fldChar w:fldCharType="separate"/>
        </w:r>
        <w:r>
          <w:t>37</w:t>
        </w:r>
        <w:r>
          <w:fldChar w:fldCharType="end"/>
        </w:r>
      </w:hyperlink>
    </w:p>
    <w:p>
      <w:pPr>
        <w:pStyle w:val="TOC2"/>
        <w:tabs>
          <w:tab w:val="right" w:leader="dot" w:pos="8306"/>
        </w:tabs>
      </w:pPr>
      <w:hyperlink w:anchor="_Toc27256" w:history="1">
        <w:r>
          <w:rPr>
            <w:rFonts w:ascii="仿宋" w:eastAsia="仿宋" w:hAnsi="仿宋" w:cs="仿宋" w:hint="eastAsia"/>
            <w:lang w:eastAsia="zh-CN"/>
          </w:rPr>
          <w:t>(一)、建立健全的预算管理制度</w:t>
        </w:r>
        <w:r>
          <w:tab/>
        </w:r>
        <w:r>
          <w:fldChar w:fldCharType="begin"/>
        </w:r>
        <w:r>
          <w:instrText xml:space="preserve"> PAGEREF _Toc27256 \h </w:instrText>
        </w:r>
        <w:r>
          <w:fldChar w:fldCharType="separate"/>
        </w:r>
        <w:r>
          <w:t>37</w:t>
        </w:r>
        <w:r>
          <w:fldChar w:fldCharType="end"/>
        </w:r>
      </w:hyperlink>
    </w:p>
    <w:p>
      <w:pPr>
        <w:pStyle w:val="TOC2"/>
        <w:tabs>
          <w:tab w:val="right" w:leader="dot" w:pos="8306"/>
        </w:tabs>
      </w:pPr>
      <w:hyperlink w:anchor="_Toc32693" w:history="1">
        <w:r>
          <w:rPr>
            <w:rFonts w:ascii="仿宋" w:eastAsia="仿宋" w:hAnsi="仿宋" w:cs="仿宋" w:hint="eastAsia"/>
            <w:lang w:eastAsia="zh-CN"/>
          </w:rPr>
          <w:t>(二)、加强资金流动监控</w:t>
        </w:r>
        <w:r>
          <w:tab/>
        </w:r>
        <w:r>
          <w:fldChar w:fldCharType="begin"/>
        </w:r>
        <w:r>
          <w:instrText xml:space="preserve"> PAGEREF _Toc32693 \h </w:instrText>
        </w:r>
        <w:r>
          <w:fldChar w:fldCharType="separate"/>
        </w:r>
        <w:r>
          <w:t>39</w:t>
        </w:r>
        <w:r>
          <w:fldChar w:fldCharType="end"/>
        </w:r>
      </w:hyperlink>
    </w:p>
    <w:p>
      <w:pPr>
        <w:pStyle w:val="TOC2"/>
        <w:tabs>
          <w:tab w:val="right" w:leader="dot" w:pos="8306"/>
        </w:tabs>
      </w:pPr>
      <w:hyperlink w:anchor="_Toc27760" w:history="1">
        <w:r>
          <w:rPr>
            <w:rFonts w:ascii="仿宋" w:eastAsia="仿宋" w:hAnsi="仿宋" w:cs="仿宋" w:hint="eastAsia"/>
            <w:lang w:eastAsia="zh-CN"/>
          </w:rPr>
          <w:t>(三)、制定完善的风险控制机制</w:t>
        </w:r>
        <w:r>
          <w:tab/>
        </w:r>
        <w:r>
          <w:fldChar w:fldCharType="begin"/>
        </w:r>
        <w:r>
          <w:instrText xml:space="preserve"> PAGEREF _Toc27760 \h </w:instrText>
        </w:r>
        <w:r>
          <w:fldChar w:fldCharType="separate"/>
        </w:r>
        <w:r>
          <w:t>41</w:t>
        </w:r>
        <w:r>
          <w:fldChar w:fldCharType="end"/>
        </w:r>
      </w:hyperlink>
    </w:p>
    <w:p>
      <w:pPr>
        <w:pStyle w:val="TOC2"/>
        <w:tabs>
          <w:tab w:val="right" w:leader="dot" w:pos="8306"/>
        </w:tabs>
      </w:pPr>
      <w:hyperlink w:anchor="_Toc25500" w:history="1">
        <w:r>
          <w:rPr>
            <w:rFonts w:ascii="仿宋" w:eastAsia="仿宋" w:hAnsi="仿宋" w:cs="仿宋" w:hint="eastAsia"/>
            <w:lang w:eastAsia="zh-CN"/>
          </w:rPr>
          <w:t>(四)、优化成本管理</w:t>
        </w:r>
        <w:r>
          <w:tab/>
        </w:r>
        <w:r>
          <w:fldChar w:fldCharType="begin"/>
        </w:r>
        <w:r>
          <w:instrText xml:space="preserve"> PAGEREF _Toc25500 \h </w:instrText>
        </w:r>
        <w:r>
          <w:fldChar w:fldCharType="separate"/>
        </w:r>
        <w:r>
          <w:t>42</w:t>
        </w:r>
        <w:r>
          <w:fldChar w:fldCharType="end"/>
        </w:r>
      </w:hyperlink>
    </w:p>
    <w:p>
      <w:pPr>
        <w:pStyle w:val="TOC1"/>
        <w:tabs>
          <w:tab w:val="right" w:leader="dot" w:pos="8306"/>
        </w:tabs>
      </w:pPr>
      <w:hyperlink w:anchor="_Toc15855" w:history="1">
        <w:r>
          <w:rPr>
            <w:rFonts w:ascii="仿宋" w:eastAsia="仿宋" w:hAnsi="仿宋" w:cs="仿宋" w:hint="eastAsia"/>
            <w:lang w:eastAsia="zh-CN"/>
          </w:rPr>
          <w:t>十、化学气相沉积硒化锌(CVDZNSE)晶体项目社会影响</w:t>
        </w:r>
        <w:r>
          <w:tab/>
        </w:r>
        <w:r>
          <w:fldChar w:fldCharType="begin"/>
        </w:r>
        <w:r>
          <w:instrText xml:space="preserve"> PAGEREF _Toc15855 \h </w:instrText>
        </w:r>
        <w:r>
          <w:fldChar w:fldCharType="separate"/>
        </w:r>
        <w:r>
          <w:t>44</w:t>
        </w:r>
        <w:r>
          <w:fldChar w:fldCharType="end"/>
        </w:r>
      </w:hyperlink>
    </w:p>
    <w:p>
      <w:pPr>
        <w:pStyle w:val="TOC2"/>
        <w:tabs>
          <w:tab w:val="right" w:leader="dot" w:pos="8306"/>
        </w:tabs>
      </w:pPr>
      <w:hyperlink w:anchor="_Toc18335" w:history="1">
        <w:r>
          <w:rPr>
            <w:rFonts w:ascii="仿宋" w:eastAsia="仿宋" w:hAnsi="仿宋" w:cs="仿宋" w:hint="eastAsia"/>
            <w:lang w:eastAsia="zh-CN"/>
          </w:rPr>
          <w:t>(一)、社会责任与义务</w:t>
        </w:r>
        <w:r>
          <w:tab/>
        </w:r>
        <w:r>
          <w:fldChar w:fldCharType="begin"/>
        </w:r>
        <w:r>
          <w:instrText xml:space="preserve"> PAGEREF _Toc18335 \h </w:instrText>
        </w:r>
        <w:r>
          <w:fldChar w:fldCharType="separate"/>
        </w:r>
        <w:r>
          <w:t>44</w:t>
        </w:r>
        <w:r>
          <w:fldChar w:fldCharType="end"/>
        </w:r>
      </w:hyperlink>
    </w:p>
    <w:p>
      <w:pPr>
        <w:pStyle w:val="TOC2"/>
        <w:tabs>
          <w:tab w:val="right" w:leader="dot" w:pos="8306"/>
        </w:tabs>
      </w:pPr>
      <w:hyperlink w:anchor="_Toc6154" w:history="1">
        <w:r>
          <w:rPr>
            <w:rFonts w:ascii="仿宋" w:eastAsia="仿宋" w:hAnsi="仿宋" w:cs="仿宋" w:hint="eastAsia"/>
            <w:lang w:eastAsia="zh-CN"/>
          </w:rPr>
          <w:t>(二)、社会参与与沟通</w:t>
        </w:r>
        <w:r>
          <w:tab/>
        </w:r>
        <w:r>
          <w:fldChar w:fldCharType="begin"/>
        </w:r>
        <w:r>
          <w:instrText xml:space="preserve"> PAGEREF _Toc6154 \h </w:instrText>
        </w:r>
        <w:r>
          <w:fldChar w:fldCharType="separate"/>
        </w:r>
        <w:r>
          <w:t>45</w:t>
        </w:r>
        <w:r>
          <w:fldChar w:fldCharType="end"/>
        </w:r>
      </w:hyperlink>
    </w:p>
    <w:p>
      <w:pPr>
        <w:pStyle w:val="TOC1"/>
        <w:tabs>
          <w:tab w:val="right" w:leader="dot" w:pos="8306"/>
        </w:tabs>
      </w:pPr>
      <w:hyperlink w:anchor="_Toc30729" w:history="1">
        <w:r>
          <w:rPr>
            <w:rFonts w:ascii="仿宋" w:eastAsia="仿宋" w:hAnsi="仿宋" w:cs="仿宋" w:hint="eastAsia"/>
            <w:lang w:eastAsia="zh-CN"/>
          </w:rPr>
          <w:t>十一、化学气相沉积硒化锌(CVDZNSE)晶体项目投资规划</w:t>
        </w:r>
        <w:r>
          <w:tab/>
        </w:r>
        <w:r>
          <w:fldChar w:fldCharType="begin"/>
        </w:r>
        <w:r>
          <w:instrText xml:space="preserve"> PAGEREF _Toc30729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32" w:history="1">
        <w:r>
          <w:rPr>
            <w:rFonts w:ascii="仿宋" w:eastAsia="仿宋" w:hAnsi="仿宋" w:cs="仿宋" w:hint="eastAsia"/>
            <w:lang w:eastAsia="zh-CN"/>
          </w:rPr>
          <w:t>(一)、化学气相沉积硒化锌(CVDZNSE)晶体项目总投资估算</w:t>
        </w:r>
        <w:r>
          <w:tab/>
        </w:r>
        <w:r>
          <w:fldChar w:fldCharType="begin"/>
        </w:r>
        <w:r>
          <w:instrText xml:space="preserve"> PAGEREF _Toc22332 \h </w:instrText>
        </w:r>
        <w:r>
          <w:fldChar w:fldCharType="separate"/>
        </w:r>
        <w:r>
          <w:t>46</w:t>
        </w:r>
        <w:r>
          <w:fldChar w:fldCharType="end"/>
        </w:r>
      </w:hyperlink>
    </w:p>
    <w:p>
      <w:pPr>
        <w:pStyle w:val="TOC2"/>
        <w:tabs>
          <w:tab w:val="right" w:leader="dot" w:pos="8306"/>
        </w:tabs>
      </w:pPr>
      <w:hyperlink w:anchor="_Toc9027" w:history="1">
        <w:r>
          <w:rPr>
            <w:rFonts w:ascii="仿宋" w:eastAsia="仿宋" w:hAnsi="仿宋" w:cs="仿宋" w:hint="eastAsia"/>
            <w:lang w:eastAsia="zh-CN"/>
          </w:rPr>
          <w:t>(二)、资金筹措</w:t>
        </w:r>
        <w:r>
          <w:tab/>
        </w:r>
        <w:r>
          <w:fldChar w:fldCharType="begin"/>
        </w:r>
        <w:r>
          <w:instrText xml:space="preserve"> PAGEREF _Toc9027 \h </w:instrText>
        </w:r>
        <w:r>
          <w:fldChar w:fldCharType="separate"/>
        </w:r>
        <w:r>
          <w:t>47</w:t>
        </w:r>
        <w:r>
          <w:fldChar w:fldCharType="end"/>
        </w:r>
      </w:hyperlink>
    </w:p>
    <w:p>
      <w:pPr>
        <w:pStyle w:val="TOC1"/>
        <w:tabs>
          <w:tab w:val="right" w:leader="dot" w:pos="8306"/>
        </w:tabs>
      </w:pPr>
      <w:hyperlink w:anchor="_Toc3261" w:history="1">
        <w:r>
          <w:rPr>
            <w:rFonts w:ascii="仿宋" w:eastAsia="仿宋" w:hAnsi="仿宋" w:cs="仿宋" w:hint="eastAsia"/>
            <w:lang w:eastAsia="zh-CN"/>
          </w:rPr>
          <w:t>十二、化学气相沉积硒化锌(CVDZNSE)晶体项目技术管理</w:t>
        </w:r>
        <w:r>
          <w:tab/>
        </w:r>
        <w:r>
          <w:fldChar w:fldCharType="begin"/>
        </w:r>
        <w:r>
          <w:instrText xml:space="preserve"> PAGEREF _Toc3261 \h </w:instrText>
        </w:r>
        <w:r>
          <w:fldChar w:fldCharType="separate"/>
        </w:r>
        <w:r>
          <w:t>48</w:t>
        </w:r>
        <w:r>
          <w:fldChar w:fldCharType="end"/>
        </w:r>
      </w:hyperlink>
    </w:p>
    <w:p>
      <w:pPr>
        <w:pStyle w:val="TOC2"/>
        <w:tabs>
          <w:tab w:val="right" w:leader="dot" w:pos="8306"/>
        </w:tabs>
      </w:pPr>
      <w:hyperlink w:anchor="_Toc2126" w:history="1">
        <w:r>
          <w:rPr>
            <w:rFonts w:ascii="仿宋" w:eastAsia="仿宋" w:hAnsi="仿宋" w:cs="仿宋" w:hint="eastAsia"/>
            <w:lang w:eastAsia="zh-CN"/>
          </w:rPr>
          <w:t>(一)、技术方案选用方向</w:t>
        </w:r>
        <w:r>
          <w:tab/>
        </w:r>
        <w:r>
          <w:fldChar w:fldCharType="begin"/>
        </w:r>
        <w:r>
          <w:instrText xml:space="preserve"> PAGEREF _Toc2126 \h </w:instrText>
        </w:r>
        <w:r>
          <w:fldChar w:fldCharType="separate"/>
        </w:r>
        <w:r>
          <w:t>48</w:t>
        </w:r>
        <w:r>
          <w:fldChar w:fldCharType="end"/>
        </w:r>
      </w:hyperlink>
    </w:p>
    <w:p>
      <w:pPr>
        <w:pStyle w:val="TOC2"/>
        <w:tabs>
          <w:tab w:val="right" w:leader="dot" w:pos="8306"/>
        </w:tabs>
      </w:pPr>
      <w:hyperlink w:anchor="_Toc19344" w:history="1">
        <w:r>
          <w:rPr>
            <w:rFonts w:ascii="仿宋" w:eastAsia="仿宋" w:hAnsi="仿宋" w:cs="仿宋" w:hint="eastAsia"/>
            <w:lang w:eastAsia="zh-CN"/>
          </w:rPr>
          <w:t>(二)、工艺技术方案选用原则</w:t>
        </w:r>
        <w:r>
          <w:tab/>
        </w:r>
        <w:r>
          <w:fldChar w:fldCharType="begin"/>
        </w:r>
        <w:r>
          <w:instrText xml:space="preserve"> PAGEREF _Toc19344 \h </w:instrText>
        </w:r>
        <w:r>
          <w:fldChar w:fldCharType="separate"/>
        </w:r>
        <w:r>
          <w:t>50</w:t>
        </w:r>
        <w:r>
          <w:fldChar w:fldCharType="end"/>
        </w:r>
      </w:hyperlink>
    </w:p>
    <w:p>
      <w:pPr>
        <w:pStyle w:val="TOC2"/>
        <w:tabs>
          <w:tab w:val="right" w:leader="dot" w:pos="8306"/>
        </w:tabs>
      </w:pPr>
      <w:hyperlink w:anchor="_Toc1565" w:history="1">
        <w:r>
          <w:rPr>
            <w:rFonts w:ascii="仿宋" w:eastAsia="仿宋" w:hAnsi="仿宋" w:cs="仿宋" w:hint="eastAsia"/>
            <w:lang w:eastAsia="zh-CN"/>
          </w:rPr>
          <w:t>(三)、工艺技术方案要求</w:t>
        </w:r>
        <w:r>
          <w:tab/>
        </w:r>
        <w:r>
          <w:fldChar w:fldCharType="begin"/>
        </w:r>
        <w:r>
          <w:instrText xml:space="preserve"> PAGEREF _Toc1565 \h </w:instrText>
        </w:r>
        <w:r>
          <w:fldChar w:fldCharType="separate"/>
        </w:r>
        <w:r>
          <w:t>52</w:t>
        </w:r>
        <w:r>
          <w:fldChar w:fldCharType="end"/>
        </w:r>
      </w:hyperlink>
    </w:p>
    <w:p>
      <w:pPr>
        <w:pStyle w:val="TOC1"/>
        <w:tabs>
          <w:tab w:val="right" w:leader="dot" w:pos="8306"/>
        </w:tabs>
      </w:pPr>
      <w:hyperlink w:anchor="_Toc5864" w:history="1">
        <w:r>
          <w:rPr>
            <w:rFonts w:ascii="仿宋" w:eastAsia="仿宋" w:hAnsi="仿宋" w:cs="仿宋" w:hint="eastAsia"/>
            <w:lang w:eastAsia="zh-CN"/>
          </w:rPr>
          <w:t>十三、化学气相沉积硒化锌(CVDZNSE)晶体项目变更管理</w:t>
        </w:r>
        <w:r>
          <w:tab/>
        </w:r>
        <w:r>
          <w:fldChar w:fldCharType="begin"/>
        </w:r>
        <w:r>
          <w:instrText xml:space="preserve"> PAGEREF _Toc5864 \h </w:instrText>
        </w:r>
        <w:r>
          <w:fldChar w:fldCharType="separate"/>
        </w:r>
        <w:r>
          <w:t>55</w:t>
        </w:r>
        <w:r>
          <w:fldChar w:fldCharType="end"/>
        </w:r>
      </w:hyperlink>
    </w:p>
    <w:p>
      <w:pPr>
        <w:pStyle w:val="TOC2"/>
        <w:tabs>
          <w:tab w:val="right" w:leader="dot" w:pos="8306"/>
        </w:tabs>
      </w:pPr>
      <w:hyperlink w:anchor="_Toc31458" w:history="1">
        <w:r>
          <w:rPr>
            <w:rFonts w:ascii="仿宋" w:eastAsia="仿宋" w:hAnsi="仿宋" w:cs="仿宋" w:hint="eastAsia"/>
            <w:lang w:eastAsia="zh-CN"/>
          </w:rPr>
          <w:t>(一)、变更申请与评估</w:t>
        </w:r>
        <w:r>
          <w:tab/>
        </w:r>
        <w:r>
          <w:fldChar w:fldCharType="begin"/>
        </w:r>
        <w:r>
          <w:instrText xml:space="preserve"> PAGEREF _Toc31458 \h </w:instrText>
        </w:r>
        <w:r>
          <w:fldChar w:fldCharType="separate"/>
        </w:r>
        <w:r>
          <w:t>55</w:t>
        </w:r>
        <w:r>
          <w:fldChar w:fldCharType="end"/>
        </w:r>
      </w:hyperlink>
    </w:p>
    <w:p>
      <w:pPr>
        <w:pStyle w:val="TOC2"/>
        <w:tabs>
          <w:tab w:val="right" w:leader="dot" w:pos="8306"/>
        </w:tabs>
      </w:pPr>
      <w:hyperlink w:anchor="_Toc17623" w:history="1">
        <w:r>
          <w:rPr>
            <w:rFonts w:ascii="仿宋" w:eastAsia="仿宋" w:hAnsi="仿宋" w:cs="仿宋" w:hint="eastAsia"/>
            <w:lang w:eastAsia="zh-CN"/>
          </w:rPr>
          <w:t>(二)、变更实施与控制</w:t>
        </w:r>
        <w:r>
          <w:tab/>
        </w:r>
        <w:r>
          <w:fldChar w:fldCharType="begin"/>
        </w:r>
        <w:r>
          <w:instrText xml:space="preserve"> PAGEREF _Toc17623 \h </w:instrText>
        </w:r>
        <w:r>
          <w:fldChar w:fldCharType="separate"/>
        </w:r>
        <w:r>
          <w:t>55</w:t>
        </w:r>
        <w:r>
          <w:fldChar w:fldCharType="end"/>
        </w:r>
      </w:hyperlink>
    </w:p>
    <w:p>
      <w:pPr>
        <w:pStyle w:val="TOC1"/>
        <w:tabs>
          <w:tab w:val="right" w:leader="dot" w:pos="8306"/>
        </w:tabs>
      </w:pPr>
      <w:hyperlink w:anchor="_Toc6781" w:history="1">
        <w:r>
          <w:rPr>
            <w:rFonts w:ascii="仿宋" w:eastAsia="仿宋" w:hAnsi="仿宋" w:cs="仿宋" w:hint="eastAsia"/>
            <w:lang w:eastAsia="zh-CN"/>
          </w:rPr>
          <w:t>十四、营销与推广策略</w:t>
        </w:r>
        <w:r>
          <w:tab/>
        </w:r>
        <w:r>
          <w:fldChar w:fldCharType="begin"/>
        </w:r>
        <w:r>
          <w:instrText xml:space="preserve"> PAGEREF _Toc6781 \h </w:instrText>
        </w:r>
        <w:r>
          <w:fldChar w:fldCharType="separate"/>
        </w:r>
        <w:r>
          <w:t>56</w:t>
        </w:r>
        <w:r>
          <w:fldChar w:fldCharType="end"/>
        </w:r>
      </w:hyperlink>
    </w:p>
    <w:p>
      <w:pPr>
        <w:pStyle w:val="TOC2"/>
        <w:tabs>
          <w:tab w:val="right" w:leader="dot" w:pos="8306"/>
        </w:tabs>
      </w:pPr>
      <w:hyperlink w:anchor="_Toc32618" w:history="1">
        <w:r>
          <w:rPr>
            <w:rFonts w:ascii="仿宋" w:eastAsia="仿宋" w:hAnsi="仿宋" w:cs="仿宋" w:hint="eastAsia"/>
            <w:lang w:eastAsia="zh-CN"/>
          </w:rPr>
          <w:t>(一)、产品/服务定位与特点</w:t>
        </w:r>
        <w:r>
          <w:tab/>
        </w:r>
        <w:r>
          <w:fldChar w:fldCharType="begin"/>
        </w:r>
        <w:r>
          <w:instrText xml:space="preserve"> PAGEREF _Toc32618 \h </w:instrText>
        </w:r>
        <w:r>
          <w:fldChar w:fldCharType="separate"/>
        </w:r>
        <w:r>
          <w:t>56</w:t>
        </w:r>
        <w:r>
          <w:fldChar w:fldCharType="end"/>
        </w:r>
      </w:hyperlink>
    </w:p>
    <w:p>
      <w:pPr>
        <w:pStyle w:val="TOC2"/>
        <w:tabs>
          <w:tab w:val="right" w:leader="dot" w:pos="8306"/>
        </w:tabs>
      </w:pPr>
      <w:hyperlink w:anchor="_Toc23987" w:history="1">
        <w:r>
          <w:rPr>
            <w:rFonts w:ascii="仿宋" w:eastAsia="仿宋" w:hAnsi="仿宋" w:cs="仿宋" w:hint="eastAsia"/>
            <w:lang w:eastAsia="zh-CN"/>
          </w:rPr>
          <w:t>(二)、市场定位与竞争分析</w:t>
        </w:r>
        <w:r>
          <w:tab/>
        </w:r>
        <w:r>
          <w:fldChar w:fldCharType="begin"/>
        </w:r>
        <w:r>
          <w:instrText xml:space="preserve"> PAGEREF _Toc23987 \h </w:instrText>
        </w:r>
        <w:r>
          <w:fldChar w:fldCharType="separate"/>
        </w:r>
        <w:r>
          <w:t>57</w:t>
        </w:r>
        <w:r>
          <w:fldChar w:fldCharType="end"/>
        </w:r>
      </w:hyperlink>
    </w:p>
    <w:p>
      <w:pPr>
        <w:pStyle w:val="TOC2"/>
        <w:tabs>
          <w:tab w:val="right" w:leader="dot" w:pos="8306"/>
        </w:tabs>
      </w:pPr>
      <w:hyperlink w:anchor="_Toc8088" w:history="1">
        <w:r>
          <w:rPr>
            <w:rFonts w:ascii="仿宋" w:eastAsia="仿宋" w:hAnsi="仿宋" w:cs="仿宋" w:hint="eastAsia"/>
            <w:lang w:eastAsia="zh-CN"/>
          </w:rPr>
          <w:t>(三)、营销渠道与策略</w:t>
        </w:r>
        <w:r>
          <w:tab/>
        </w:r>
        <w:r>
          <w:fldChar w:fldCharType="begin"/>
        </w:r>
        <w:r>
          <w:instrText xml:space="preserve"> PAGEREF _Toc8088 \h </w:instrText>
        </w:r>
        <w:r>
          <w:fldChar w:fldCharType="separate"/>
        </w:r>
        <w:r>
          <w:t>59</w:t>
        </w:r>
        <w:r>
          <w:fldChar w:fldCharType="end"/>
        </w:r>
      </w:hyperlink>
    </w:p>
    <w:p>
      <w:pPr>
        <w:pStyle w:val="TOC2"/>
        <w:tabs>
          <w:tab w:val="right" w:leader="dot" w:pos="8306"/>
        </w:tabs>
      </w:pPr>
      <w:hyperlink w:anchor="_Toc30683" w:history="1">
        <w:r>
          <w:rPr>
            <w:rFonts w:ascii="仿宋" w:eastAsia="仿宋" w:hAnsi="仿宋" w:cs="仿宋" w:hint="eastAsia"/>
            <w:lang w:eastAsia="zh-CN"/>
          </w:rPr>
          <w:t>(四)、推广与宣传活动</w:t>
        </w:r>
        <w:r>
          <w:tab/>
        </w:r>
        <w:r>
          <w:fldChar w:fldCharType="begin"/>
        </w:r>
        <w:r>
          <w:instrText xml:space="preserve"> PAGEREF _Toc30683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48"/>
      <w:r>
        <w:rPr>
          <w:rFonts w:ascii="仿宋" w:eastAsia="仿宋" w:hAnsi="仿宋" w:cs="仿宋" w:hint="eastAsia"/>
          <w:sz w:val="28"/>
          <w:lang w:eastAsia="zh-CN"/>
        </w:rPr>
        <w:t>一、化学气相沉积硒化锌(CVDZNSE)晶体项目文档管理</w:t>
      </w:r>
      <w:bookmarkEnd w:id="2"/>
    </w:p>
    <w:p>
      <w:pPr>
        <w:pStyle w:val="Heading2"/>
        <w:rPr>
          <w:rFonts w:ascii="仿宋" w:eastAsia="仿宋" w:hAnsi="仿宋" w:cs="仿宋" w:hint="eastAsia"/>
          <w:lang w:eastAsia="zh-CN"/>
        </w:rPr>
      </w:pPr>
      <w:bookmarkStart w:id="3" w:name="_Toc49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化学气相沉积硒化锌(CVDZNSE)晶体项目高度重视文档的质量和准确性，以支持化学气相沉积硒化锌(CVDZNSE)晶体项目的各项活动和决策。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文档的编制始于化学气相沉积硒化锌(CVDZNSE)晶体项目计划的初期，我们制定了详细的文档编制计划，明确了每个文档的内容、格式和编写责任人。在化学气相沉积硒化锌(CVDZNSE)晶体项目启动阶段，我们首先编制了化学气相沉积硒化锌(CVDZNSE)晶体项目章程，明确定义了化学气相沉积硒化锌(CVDZNSE)晶体项目的目标、范围、风险等关键要素。随后，化学气相沉积硒化锌(CVDZNSE)晶体项目团队根据计划陆续编制了需求文档、设计文档、测试文档等各类文档，确保化学气相沉积硒化锌(CVDZNSE)晶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气相沉积硒化锌(CVDZNSE)晶体项目管理中的重要环节，旨在确保化学气相沉积硒化锌(CVDZNSE)晶体项目文档符合质量标准和化学气相沉积硒化锌(CVDZNSE)晶体项目需求。在化学气相沉积硒化锌(CVDZNSE)晶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气相沉积硒化锌(CVDZNSE)晶体项目相关利益方和专业领域的专家对文档进行独立审查。这有助于获取更全面、客观的反馈，确保化学气相沉积硒化锌(CVDZNSE)晶体项目文档不仅符合内部标准，也满足外部需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化学气相沉积硒化锌(CVDZNSE)晶体项目在文档编制与审查方面建立了严格的管理机制，通过规范的流程和多维度的审查，确保化学气相沉积硒化锌(CVDZNSE)晶体项目文档的质量、准确性和可靠性，为化学气相沉积硒化锌(CVDZNSE)晶体项目的顺利推进提供了有力支持。</w:t>
      </w:r>
    </w:p>
    <w:p>
      <w:pPr>
        <w:pStyle w:val="Heading2"/>
        <w:ind w:firstLine="560" w:firstLineChars="200"/>
        <w:rPr>
          <w:rFonts w:ascii="仿宋" w:eastAsia="仿宋" w:hAnsi="仿宋" w:cs="仿宋" w:hint="eastAsia"/>
          <w:sz w:val="28"/>
          <w:lang w:eastAsia="zh-CN"/>
        </w:rPr>
      </w:pPr>
      <w:bookmarkStart w:id="4" w:name="_Toc233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在化学气相沉积硒化锌(CVDZNSE)晶体项目中，我们致力于优化文档发布与分发过程，以确保信息的高效传递和团队间协作的顺畅进行。以下是我们采取的关键优化策略：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我们通过多渠道发布文档，包括电子邮件、化学气相沉积硒化锌(CVDZNSE)晶体项目管理平台、内部网站等，以满足不同团队成员的偏好和需求。多渠道发布确保了信息的全面覆盖。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我们采用了精细的权限控制，确保只有授权人员可以访问敏感信息。这种安全措施保护了化学气相沉积硒化锌(CVDZNSE)晶体项目文档的机密性，防止了未经授权的信息泄露。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1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气相沉积硒化锌(CVDZNSE)晶体项目生命周期中一个至关重要的环节，直接关系到化学气相沉积硒化锌(CVDZNSE)晶体项目信息的长期保存和历史记录的完整性。在化学气相沉积硒化锌(CVDZNSE)晶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078"/>
      <w:r>
        <w:rPr>
          <w:rFonts w:ascii="仿宋" w:eastAsia="仿宋" w:hAnsi="仿宋" w:cs="仿宋" w:hint="eastAsia"/>
          <w:sz w:val="28"/>
          <w:lang w:eastAsia="zh-CN"/>
        </w:rPr>
        <w:t>二、化学气相沉积硒化锌(CVDZNSE)晶体项目建设背景及必要性分析</w:t>
      </w:r>
      <w:bookmarkEnd w:id="6"/>
    </w:p>
    <w:p>
      <w:pPr>
        <w:pStyle w:val="Heading2"/>
        <w:rPr>
          <w:rFonts w:ascii="仿宋" w:eastAsia="仿宋" w:hAnsi="仿宋" w:cs="仿宋" w:hint="eastAsia"/>
          <w:lang w:eastAsia="zh-CN"/>
        </w:rPr>
      </w:pPr>
      <w:bookmarkStart w:id="7" w:name="_Toc10681"/>
      <w:r>
        <w:rPr>
          <w:rFonts w:ascii="仿宋" w:eastAsia="仿宋" w:hAnsi="仿宋" w:cs="仿宋" w:hint="eastAsia"/>
          <w:lang w:eastAsia="zh-CN"/>
        </w:rPr>
        <w:t>(一)、化学气相沉积硒化锌(CVDZNSE)晶体项目背景分析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气相沉积硒化锌(CVDZNSE)晶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气相沉积硒化锌(CVDZNSE)晶体项目在这个潮流中的定位。同时，我们将关注行业内涌现的新兴机遇，以便化学气相沉积硒化锌(CVDZNSE)晶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化学气相沉积硒化锌(CVDZNSE)晶体项目提供了强大的发展动力。我们将聚焦于行业内最新的技术发展趋势，包括但不限于人工智能、大数据分析、物联网等领域。通过深度的技术研究，我们将确保化学气相沉积硒化锌(CVDZNSE)晶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气相沉积硒化锌(CVDZNSE)晶体项目发展的源泉。我们将投入更多的精力对市场需求进行深入剖析，超越表面的需求，深入挖掘潜在的市场痛点和机遇。通过对市场需求的细致了解，化学气相沉积硒化锌(CVDZNSE)晶体项目将更有针对性地设计解决方案，满足市场的多样化需求，从而更好地促进化学气相沉积硒化锌(CVDZNSE)晶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气相沉积硒化锌(CVDZNSE)晶体项目战略至关重要。我们将对竞争态势进行更为深入的分析，包括但不限于市场份额、产品特点、客户满意度等多个维度。通过深度的竞争分析，化学气相沉积硒化锌(CVDZNSE)晶体项目将能够更准确地把握市场脉搏，制定具有竞争力的化学气相沉积硒化锌(CVDZNSE)晶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化学气相沉积硒化锌(CVDZNSE)晶体项目的发展具有直接的影响。我们将进行更为全面的法规和政策分析，了解行业发展中的潜在法律风险和合规挑战。通过充分了解和遵守相关法规，化学气相沉积硒化锌(CVDZNSE)晶体项目将确保在法律框架内合法合规运营，为化学气相沉积硒化锌(CVDZNSE)晶体项目的稳健发展提供有力支持。</w:t>
      </w:r>
    </w:p>
    <w:p>
      <w:pPr>
        <w:pStyle w:val="Heading2"/>
        <w:ind w:firstLine="560" w:firstLineChars="200"/>
        <w:rPr>
          <w:rFonts w:ascii="仿宋" w:eastAsia="仿宋" w:hAnsi="仿宋" w:cs="仿宋" w:hint="eastAsia"/>
          <w:sz w:val="28"/>
          <w:lang w:eastAsia="zh-CN"/>
        </w:rPr>
      </w:pPr>
      <w:bookmarkStart w:id="8" w:name="_Toc17598"/>
      <w:r>
        <w:rPr>
          <w:rFonts w:ascii="仿宋" w:eastAsia="仿宋" w:hAnsi="仿宋" w:cs="仿宋" w:hint="eastAsia"/>
          <w:sz w:val="28"/>
          <w:lang w:eastAsia="zh-CN"/>
        </w:rPr>
        <w:t>(二)、化学气相沉积硒化锌(CVDZNSE)晶体项目建设必要性分析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建设的迫切性源于对行业发展趋势的深刻洞察。我们正处于一个行业变革的时代，科技创新、数字化转型成为企业发展的关键动力。化学气相沉积硒化锌(CVDZNSE)晶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建设不仅仅是为了跟上潮流，更是为了通过技术创新推动企业的持续发展。通过引入先进的技术和解决方案，化学气相沉积硒化锌(CVDZNSE)晶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气相沉积硒化锌(CVDZNSE)晶体项目的建设成为必然选择，通过提高产品质量、拓展服务领域，从而在竞争中获得更多的机会。化学气相沉积硒化锌(CVDZNSE)晶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气相沉积硒化锌(CVDZNSE)晶体项目建设的必要性体现在对客户需求更精准的满足。通过化学气相沉积硒化锌(CVDZNSE)晶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建设的背后是对企业持续创新的追求。只有通过不断创新，企业才能在竞争中立于不败之地。化学气相沉积硒化锌(CVDZNSE)晶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296"/>
      <w:r>
        <w:rPr>
          <w:rFonts w:ascii="仿宋" w:eastAsia="仿宋" w:hAnsi="仿宋" w:cs="仿宋" w:hint="eastAsia"/>
          <w:sz w:val="28"/>
          <w:lang w:eastAsia="zh-CN"/>
        </w:rPr>
        <w:t>三、化学气相沉积硒化锌(CVDZNSE)晶体项目概论</w:t>
      </w:r>
      <w:bookmarkEnd w:id="9"/>
    </w:p>
    <w:p>
      <w:pPr>
        <w:pStyle w:val="Heading2"/>
        <w:rPr>
          <w:rFonts w:ascii="仿宋" w:eastAsia="仿宋" w:hAnsi="仿宋" w:cs="仿宋" w:hint="eastAsia"/>
          <w:lang w:eastAsia="zh-CN"/>
        </w:rPr>
      </w:pPr>
      <w:bookmarkStart w:id="10" w:name="_Toc10667"/>
      <w:r>
        <w:rPr>
          <w:rFonts w:ascii="仿宋" w:eastAsia="仿宋" w:hAnsi="仿宋" w:cs="仿宋" w:hint="eastAsia"/>
          <w:lang w:eastAsia="zh-CN"/>
        </w:rPr>
        <w:t>(一)、化学气相沉积硒化锌(CVDZNSE)晶体项目概况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化学气相沉积硒化锌(CVDZNSE)晶体项目的起源追溯至对市场的深入洞察。市场的不断演变与变革为化学气相沉积硒化锌(CVDZNSE)晶体项目提供了难得的机遇。当前市场存在的需求缺口和变革的大环境共同构成了化学气相沉积硒化锌(CVDZNSE)晶体项目的背景。这个化学气相沉积硒化锌(CVDZNSE)晶体项目旨在充分利用市场机遇，填补行业中尚未满足的需求，为客户提供全新的解决方案。市场的变革和需求的增长使得这个化学气相沉积硒化锌(CVDZNSE)晶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化学气相沉积硒化锌(CVDZNSE)晶体项目名称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正式命名为化学气相沉积硒化锌(CVDZNSE)晶体。这个名称不仅仅是一个标识，更代表了化学气相沉积硒化锌(CVDZNSE)晶体项目的核心理念和愿景。它蕴含着化学气相沉积硒化锌(CVDZNSE)晶体项目所要解决问题的关键字，具有强烈的表达和辨识度，为化学气相沉积硒化锌(CVDZNSE)晶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化学气相沉积硒化锌(CVDZNSE)晶体项目目标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核心目标是提供一种全新、高效的解决方案，满足客户日益增长的需求。化学气相沉积硒化锌(CVDZNSE)晶体项目追求的不仅仅是满足市场需求，更是在市场中获得卓越的竞争优势。通过不断提升产品或服务的质量和创新水平，化学气相沉积硒化锌(CVDZNSE)晶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化学气相沉积硒化锌(CVDZNSE)晶体项目范围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全面涵盖了产品研发、制造、市场推广和售后服务，确保从产品设计到最终用户体验的全方位关注。这一全面的化学气相沉积硒化锌(CVDZNSE)晶体项目范围是为了确保化学气相沉积硒化锌(CVDZNSE)晶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化学气相沉积硒化锌(CVDZNSE)晶体项目时间表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计划在未来18个月内完成，包括研发、测试、市场试点和正式推出等不同阶段。这个时间表的合理设计是为了确保化学气相沉积硒化锌(CVDZNSE)晶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化学气相沉积硒化锌(CVDZNSE)晶体项目预算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总预算估算为XX百万美元，主要分配在研发、市场推广、人员培训和运营等方面。这一充足的预算为化学气相沉积硒化锌(CVDZNSE)晶体项目提供了充足的资源，确保化学气相沉积硒化锌(CVDZNSE)晶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化学气相沉积硒化锌(CVDZNSE)晶体项目风险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可能面临的风险包括市场接受度低、技术难题、竞争激烈等。化学气相沉积硒化锌(CVDZNSE)晶体项目团队已经制定了相应的风险应对计划，通过前瞻性的风险管理，确保化学气相沉积硒化锌(CVDZNSE)晶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化学气相沉积硒化锌(CVDZNSE)晶体项目团队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汇聚了一支经验丰富、多领域专业素养的核心团队，确保化学气相沉积硒化锌(CVDZNSE)晶体项目在各个方面都能拥有高水平的执行力。团队的协同作战是化学气相沉积硒化锌(CVDZNSE)晶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化学气相沉积硒化锌(CVDZNSE)晶体项目背景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背景根植于市场对更高效、创新产品的渴望，同时也受到科技发展对行业格局的深刻改变的影响。这为化学气相沉积硒化锌(CVDZNSE)晶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化学气相沉积硒化锌(CVDZNSE)晶体项目现状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截至目前，化学气相沉积硒化锌(CVDZNSE)晶体项目已完成市场调研和技术验证，取得了初步的成功。这为化学气相沉积硒化锌(CVDZNSE)晶体项目在未来的发展奠定了坚实的基础，为更远大的目标打下了坚实的基石。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69"/>
      <w:r>
        <w:rPr>
          <w:rFonts w:ascii="仿宋" w:eastAsia="仿宋" w:hAnsi="仿宋" w:cs="仿宋" w:hint="eastAsia"/>
          <w:sz w:val="28"/>
          <w:lang w:eastAsia="zh-CN"/>
        </w:rPr>
        <w:t>(二)、化学气相沉积硒化锌(CVDZNSE)晶体项目目标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气相沉积硒化锌(CVDZNSE)晶体项目首要业务目标是在市场中占据有利地位，实现产品/服务的成功推广和销售。通过不断提升产品质量、创新性，化学气相沉积硒化锌(CVDZNSE)晶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气相沉积硒化锌(CVDZNSE)晶体项目着眼于技术创新。通过持续的研发和技术升级，化学气相沉积硒化锌(CVDZNSE)晶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气相沉积硒化锌(CVDZNSE)晶体项目设定了客户满意度目标。通过提供卓越的产品质量和优质的客户服务，化学气相沉积硒化锌(CVDZNSE)晶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注重社会责任和可持续发展。通过实施环保、社会责任化学气相沉积硒化锌(CVDZNSE)晶体项目，化学气相沉积硒化锌(CVDZNSE)晶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团队是实现目标的核心驱动力。因此，化学气相沉积硒化锌(CVDZNSE)晶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162"/>
      <w:r>
        <w:rPr>
          <w:rFonts w:ascii="仿宋" w:eastAsia="仿宋" w:hAnsi="仿宋" w:cs="仿宋" w:hint="eastAsia"/>
          <w:sz w:val="28"/>
          <w:lang w:eastAsia="zh-CN"/>
        </w:rPr>
        <w:t>(三)、化学气相沉积硒化锌(CVDZNSE)晶体项目提出的理由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化学气相沉积硒化锌(CVDZNSE)晶体项目提出的理由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提出源于对市场机遇的深刻洞察。当前市场中存在的需求缺口和行业发展趋势表明，有巨大的商业机会等待被开发。通过准确捕捉市场机遇，化学气相沉积硒化锌(CVDZNSE)晶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化学气相沉积硒化锌(CVDZNSE)晶体项目的理念基于对技术创新的信仰。通过持续的研发和技术投入，化学气相沉积硒化锌(CVDZNSE)晶体项目有望推出更具创新性的产品或服务。在科技飞速发展的当下，化学气相沉积硒化锌(CVDZNSE)晶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提出是为了增强企业的行业竞争力。通过提升产品或服务的质量和独特性，化学气相沉积硒化锌(CVDZNSE)晶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响应了消费者需求的变化。随着社会和科技的不断发展，消费者对产品和服务的需求也在发生变化。通过深入了解并及时回应消费者的新需求，化学气相沉积硒化锌(CVDZNSE)晶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提出是企业战略发展规划的一部分。在面对日益激烈的市场竞争和不断变化的商业环境中，化学气相沉积硒化锌(CVDZNSE)晶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提出不仅仅是基于商业考量，还注重社会责任。通过推出环保、社会责任等方面的化学气相沉积硒化锌(CVDZNSE)晶体项目，化学气相沉积硒化锌(CVDZNSE)晶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提出反映了对利益相关者期望的关注。包括客户、员工、投资者等利益相关者在企业发展中都有着各自的期望，化学气相沉积硒化锌(CVDZNSE)晶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6203"/>
      <w:r>
        <w:rPr>
          <w:rFonts w:ascii="仿宋" w:eastAsia="仿宋" w:hAnsi="仿宋" w:cs="仿宋" w:hint="eastAsia"/>
          <w:sz w:val="28"/>
          <w:lang w:eastAsia="zh-CN"/>
        </w:rPr>
        <w:t>(四)、化学气相沉积硒化锌(CVDZNSE)晶体项目意义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在实施化学气相沉积硒化锌(CVDZNSE)晶体项目的过程中，我们不仅仅是在追逐商业成功，更是为企业和社会的多个层面创造了深远的意义。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硒化锌(CVDZNSE)晶体项目的首要意义在于提升企业的市场竞争力。通过持续的创新和对产品质量的高标准要求，化学气相沉积硒化锌(CVDZNSE)晶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气相沉积硒化锌(CVDZNSE)晶体项目的推进将促使行业技术水平的提升。通过引入先进技术和创新性解决方案，化学气相沉积硒化锌(CVDZNSE)晶体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https://d.book118.com/388075056117006023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化学气相沉积硒化锌(CVDZNSE)晶体项目规划设计方案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42667F"/>
    <w:rsid w:val="6C4266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7505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2024-01-03T17:49:00Z</dcterms:created>
  <dcterms:modified xsi:type="dcterms:W3CDTF">2024-01-03T17:49:36Z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29A8A5A5751846EE81D1E2ACF3BA4AE2_11</vt:lpwstr>
  </property>
  <property fmtid="{D5CDD505-2E9C-101B-9397-08002B2CF9AE}" pid="3" name="KSOProductBuildVer">
    <vt:lpwstr>2052-12.1.0.16120</vt:lpwstr>
  </property>
</Properties>
</file>