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2024年石化燃料行业分析报告及未来五到十年行业发展趋势报告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35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_Toc26350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1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_Toc24417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50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_Toc14950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5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_Toc28265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2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_Toc3222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016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_Toc10016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76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_Toc19776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0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_Toc15062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3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_Toc20134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77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_Toc18477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30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_Toc7330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29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_Toc31829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591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_Toc9591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5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_Toc29452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_Toc2639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61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_Toc29617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77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_Toc23677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536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_Toc23536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06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65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_Toc19665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73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_Toc20173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22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_Toc5422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57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_Toc32257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1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_Toc27861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67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_Toc19676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4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_Toc28144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9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_Toc13094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621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_Toc26210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97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_Toc3978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4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_Toc10542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737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_Toc17371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05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_Toc2105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647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_Toc23647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10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_Toc8410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523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_Toc25237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863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_Toc14863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4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_Toc16148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058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_Toc10587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506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06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_Toc7065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4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35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_Toc3357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3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4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_Toc8645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3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_Toc6439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0962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_Toc30962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401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_Toc28401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2339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_Toc22339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4589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_Toc24589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162" w:history="1">
        <w:r>
          <w:rPr>
            <w:rFonts w:eastAsia="微软雅黑" w:hint="eastAsia"/>
            <w:snapToGrid/>
            <w:lang w:val="en-US" w:eastAsia="en-US"/>
          </w:rPr>
          <w:t>十一、2024-2029年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_Toc24162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4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_Toc16247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68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_Toc21868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94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行业市场成熟度分析</w:t>
        </w:r>
        <w:r>
          <w:tab/>
        </w:r>
        <w:r>
          <w:fldChar w:fldCharType="begin"/>
        </w:r>
        <w:r>
          <w:instrText xml:space="preserve"> PAGEREF _Toc16294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721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_Toc13721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06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_Toc19206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68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_Toc9568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13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_Toc1313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51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_Toc7519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75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_Toc25175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529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_Toc3529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04" w:history="1">
        <w:r>
          <w:rPr>
            <w:rFonts w:eastAsia="微软雅黑" w:hint="eastAsia"/>
            <w:snapToGrid/>
            <w:lang w:val="en-US" w:eastAsia="zh-CN"/>
          </w:rPr>
          <w:t>(七)、呈现集群</w:t>
        </w:r>
        <w:r>
          <w:rPr>
            <w:rFonts w:eastAsia="微软雅黑" w:hint="eastAsia"/>
            <w:snapToGrid/>
            <w:lang w:val="en-US" w:eastAsia="zh-CN"/>
          </w:rPr>
          <w:t>化分布</w:t>
        </w:r>
        <w:r>
          <w:tab/>
        </w:r>
        <w:r>
          <w:fldChar w:fldCharType="begin"/>
        </w:r>
        <w:r>
          <w:instrText xml:space="preserve"> PAGEREF _Toc29204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40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石化燃料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_Toc20540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09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_Toc6109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62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_Toc20762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3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_Toc4533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_Toc29920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22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_Toc24222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9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_Toc8469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236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石化燃料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https://d.book118.com/388115135140006022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88115135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