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07" w:lineRule="auto"/>
      </w:pPr>
    </w:p>
    <w:p>
      <w:pPr>
        <w:spacing w:line="610" w:lineRule="exact"/>
        <w:ind w:left="1707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-260038</wp:posOffset>
            </wp:positionV>
            <wp:extent cx="12192000" cy="68580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drawing>
          <wp:inline distT="0" distB="0" distL="0" distR="0">
            <wp:extent cx="1073139" cy="38733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3139" cy="387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" w:line="225" w:lineRule="auto"/>
        <w:ind w:left="17130"/>
        <w:rPr>
          <w:rFonts w:ascii="SimHei" w:eastAsia="SimHei" w:hAnsi="SimHei" w:cs="SimHei"/>
          <w:sz w:val="19"/>
          <w:szCs w:val="19"/>
        </w:rPr>
      </w:pPr>
      <w:r>
        <w:rPr>
          <w:rFonts w:ascii="YouYuan" w:eastAsia="YouYuan" w:hAnsi="YouYuan" w:cs="YouYuan"/>
          <w:spacing w:val="-2"/>
          <w:sz w:val="19"/>
          <w:szCs w:val="19"/>
        </w:rPr>
        <w:t>艾</w:t>
      </w:r>
      <w:r>
        <w:rPr>
          <w:rFonts w:ascii="YouYuan" w:eastAsia="YouYuan" w:hAnsi="YouYuan" w:cs="YouYuan"/>
          <w:spacing w:val="-2"/>
          <w:sz w:val="19"/>
          <w:szCs w:val="19"/>
        </w:rPr>
        <w:t xml:space="preserve">   </w:t>
      </w:r>
      <w:r>
        <w:rPr>
          <w:rFonts w:ascii="YouYuan" w:eastAsia="YouYuan" w:hAnsi="YouYuan" w:cs="YouYuan"/>
          <w:spacing w:val="-2"/>
          <w:sz w:val="19"/>
          <w:szCs w:val="19"/>
        </w:rPr>
        <w:t>瑞</w:t>
      </w:r>
      <w:r>
        <w:rPr>
          <w:rFonts w:ascii="YouYuan" w:eastAsia="YouYuan" w:hAnsi="YouYuan" w:cs="YouYuan"/>
          <w:spacing w:val="2"/>
          <w:sz w:val="19"/>
          <w:szCs w:val="19"/>
        </w:rPr>
        <w:t xml:space="preserve">   </w:t>
      </w:r>
      <w:r>
        <w:rPr>
          <w:rFonts w:ascii="YouYuan" w:eastAsia="YouYuan" w:hAnsi="YouYuan" w:cs="YouYuan"/>
          <w:spacing w:val="-2"/>
          <w:sz w:val="19"/>
          <w:szCs w:val="19"/>
        </w:rPr>
        <w:t>咨</w:t>
      </w:r>
      <w:r>
        <w:rPr>
          <w:rFonts w:ascii="YouYuan" w:eastAsia="YouYuan" w:hAnsi="YouYuan" w:cs="YouYuan"/>
          <w:spacing w:val="4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-2"/>
          <w:sz w:val="19"/>
          <w:szCs w:val="19"/>
        </w:rPr>
        <w:t>询</w:t>
      </w:r>
    </w:p>
    <w:p>
      <w:pPr>
        <w:pStyle w:val="BodyText"/>
        <w:spacing w:line="436" w:lineRule="auto"/>
      </w:pPr>
    </w:p>
    <w:p>
      <w:pPr>
        <w:pStyle w:val="BodyText"/>
        <w:spacing w:before="92" w:line="198" w:lineRule="auto"/>
        <w:ind w:left="1260"/>
        <w:rPr>
          <w:sz w:val="32"/>
          <w:szCs w:val="32"/>
        </w:rPr>
      </w:pPr>
      <w:r>
        <w:rPr>
          <w:b/>
          <w:bCs/>
          <w:color w:val="FFFFFF"/>
          <w:spacing w:val="-2"/>
          <w:sz w:val="32"/>
          <w:szCs w:val="32"/>
        </w:rPr>
        <w:t>CONTENTS</w:t>
      </w:r>
    </w:p>
    <w:p>
      <w:pPr>
        <w:spacing w:before="209" w:line="222" w:lineRule="auto"/>
        <w:ind w:left="1279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color w:val="FFFFFF"/>
          <w:spacing w:val="4"/>
          <w:sz w:val="65"/>
          <w:szCs w:val="65"/>
        </w:rPr>
        <w:t>目录</w:t>
      </w:r>
      <w:r>
        <w:rPr>
          <w:rFonts w:ascii="SimHei" w:eastAsia="SimHei" w:hAnsi="SimHei" w:cs="SimHei"/>
          <w:color w:val="FFFFFF"/>
          <w:spacing w:val="4"/>
          <w:sz w:val="65"/>
          <w:szCs w:val="65"/>
        </w:rPr>
        <w:t xml:space="preserve">                  </w:t>
      </w:r>
      <w:r>
        <w:rPr>
          <w:rFonts w:ascii="SimHei" w:eastAsia="SimHei" w:hAnsi="SimHei" w:cs="SimHei"/>
          <w:spacing w:val="4"/>
          <w:sz w:val="32"/>
          <w:szCs w:val="32"/>
        </w:rPr>
        <w:t>01</w:t>
      </w:r>
      <w:r>
        <w:rPr>
          <w:rFonts w:ascii="SimHei" w:eastAsia="SimHei" w:hAnsi="SimHei" w:cs="SimHei"/>
          <w:spacing w:val="55"/>
          <w:sz w:val="32"/>
          <w:szCs w:val="32"/>
        </w:rPr>
        <w:t xml:space="preserve">  </w:t>
      </w:r>
      <w:r>
        <w:rPr>
          <w:rFonts w:ascii="SimHei" w:eastAsia="SimHei" w:hAnsi="SimHei" w:cs="SimHei"/>
          <w:spacing w:val="4"/>
          <w:sz w:val="32"/>
          <w:szCs w:val="32"/>
        </w:rPr>
        <w:t>元宇宙文化消费发展背景</w:t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04" w:line="221" w:lineRule="auto"/>
        <w:ind w:left="854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02</w:t>
      </w:r>
      <w:r>
        <w:rPr>
          <w:rFonts w:ascii="SimHei" w:eastAsia="SimHei" w:hAnsi="SimHei" w:cs="SimHei"/>
          <w:spacing w:val="55"/>
          <w:sz w:val="32"/>
          <w:szCs w:val="32"/>
        </w:rPr>
        <w:t xml:space="preserve">  </w:t>
      </w:r>
      <w:r>
        <w:rPr>
          <w:rFonts w:ascii="SimHei" w:eastAsia="SimHei" w:hAnsi="SimHei" w:cs="SimHei"/>
          <w:spacing w:val="2"/>
          <w:sz w:val="32"/>
          <w:szCs w:val="32"/>
        </w:rPr>
        <w:t>元宇宙文化消费典型场景</w:t>
      </w:r>
    </w:p>
    <w:p>
      <w:pPr>
        <w:pStyle w:val="BodyText"/>
        <w:spacing w:line="319" w:lineRule="auto"/>
      </w:pPr>
    </w:p>
    <w:p>
      <w:pPr>
        <w:pStyle w:val="BodyText"/>
        <w:spacing w:line="320" w:lineRule="auto"/>
      </w:pPr>
    </w:p>
    <w:p>
      <w:pPr>
        <w:spacing w:before="104" w:line="222" w:lineRule="auto"/>
        <w:ind w:left="854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03</w:t>
      </w:r>
      <w:r>
        <w:rPr>
          <w:rFonts w:ascii="SimHei" w:eastAsia="SimHei" w:hAnsi="SimHei" w:cs="SimHei"/>
          <w:spacing w:val="56"/>
          <w:sz w:val="32"/>
          <w:szCs w:val="32"/>
        </w:rPr>
        <w:t xml:space="preserve">  </w:t>
      </w:r>
      <w:r>
        <w:rPr>
          <w:rFonts w:ascii="SimHei" w:eastAsia="SimHei" w:hAnsi="SimHei" w:cs="SimHei"/>
          <w:spacing w:val="2"/>
          <w:sz w:val="32"/>
          <w:szCs w:val="32"/>
        </w:rPr>
        <w:t>元宇宙文化消费用户洞察</w:t>
      </w:r>
    </w:p>
    <w:p>
      <w:pPr>
        <w:pStyle w:val="BodyText"/>
        <w:spacing w:line="328" w:lineRule="auto"/>
      </w:pPr>
    </w:p>
    <w:p>
      <w:pPr>
        <w:pStyle w:val="BodyText"/>
        <w:spacing w:line="329" w:lineRule="auto"/>
      </w:pPr>
    </w:p>
    <w:p>
      <w:pPr>
        <w:spacing w:before="104" w:line="222" w:lineRule="auto"/>
        <w:ind w:left="854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1"/>
          <w:sz w:val="32"/>
          <w:szCs w:val="32"/>
        </w:rPr>
        <w:t>04</w:t>
      </w:r>
      <w:r>
        <w:rPr>
          <w:rFonts w:ascii="SimHei" w:eastAsia="SimHei" w:hAnsi="SimHei" w:cs="SimHei"/>
          <w:spacing w:val="59"/>
          <w:sz w:val="32"/>
          <w:szCs w:val="32"/>
        </w:rPr>
        <w:t xml:space="preserve">  </w:t>
      </w:r>
      <w:r>
        <w:rPr>
          <w:rFonts w:ascii="SimHei" w:eastAsia="SimHei" w:hAnsi="SimHei" w:cs="SimHei"/>
          <w:spacing w:val="1"/>
          <w:sz w:val="32"/>
          <w:szCs w:val="32"/>
        </w:rPr>
        <w:t>元宇宙文化消费产业侧机会</w:t>
      </w:r>
    </w:p>
    <w:p>
      <w:pPr>
        <w:pStyle w:val="BodyText"/>
        <w:spacing w:line="323" w:lineRule="auto"/>
      </w:pPr>
    </w:p>
    <w:p>
      <w:pPr>
        <w:pStyle w:val="BodyText"/>
        <w:spacing w:line="324" w:lineRule="auto"/>
      </w:pPr>
    </w:p>
    <w:p>
      <w:pPr>
        <w:spacing w:before="105" w:line="222" w:lineRule="auto"/>
        <w:ind w:left="854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05</w:t>
      </w:r>
      <w:r>
        <w:rPr>
          <w:rFonts w:ascii="SimHei" w:eastAsia="SimHei" w:hAnsi="SimHei" w:cs="SimHei"/>
          <w:spacing w:val="57"/>
          <w:sz w:val="32"/>
          <w:szCs w:val="32"/>
        </w:rPr>
        <w:t xml:space="preserve">  </w:t>
      </w:r>
      <w:r>
        <w:rPr>
          <w:rFonts w:ascii="SimHei" w:eastAsia="SimHei" w:hAnsi="SimHei" w:cs="SimHei"/>
          <w:spacing w:val="2"/>
          <w:sz w:val="32"/>
          <w:szCs w:val="32"/>
        </w:rPr>
        <w:t>元宇宙文化消费应用案例</w:t>
      </w:r>
    </w:p>
    <w:p>
      <w:pPr>
        <w:pStyle w:val="BodyText"/>
        <w:spacing w:line="303" w:lineRule="auto"/>
      </w:pPr>
    </w:p>
    <w:p>
      <w:pPr>
        <w:pStyle w:val="BodyText"/>
        <w:spacing w:line="303" w:lineRule="auto"/>
        <w:sectPr>
          <w:footerReference w:type="default" r:id="rId6"/>
          <w:pgSz w:w="19200" w:h="10800"/>
          <w:pgMar w:top="0" w:right="0" w:bottom="1" w:left="0" w:header="0" w:footer="0" w:gutter="0"/>
          <w:cols w:space="708"/>
        </w:sectPr>
      </w:pPr>
    </w:p>
    <w:p>
      <w:pPr>
        <w:spacing w:before="104" w:line="221" w:lineRule="auto"/>
        <w:ind w:left="854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1"/>
          <w:sz w:val="32"/>
          <w:szCs w:val="32"/>
        </w:rPr>
        <w:t>06</w:t>
      </w:r>
      <w:r>
        <w:rPr>
          <w:rFonts w:ascii="SimHei" w:eastAsia="SimHei" w:hAnsi="SimHei" w:cs="SimHei"/>
          <w:spacing w:val="60"/>
          <w:sz w:val="32"/>
          <w:szCs w:val="32"/>
        </w:rPr>
        <w:t xml:space="preserve">  </w:t>
      </w:r>
      <w:r>
        <w:rPr>
          <w:rFonts w:ascii="SimHei" w:eastAsia="SimHei" w:hAnsi="SimHei" w:cs="SimHei"/>
          <w:spacing w:val="1"/>
          <w:sz w:val="32"/>
          <w:szCs w:val="32"/>
        </w:rPr>
        <w:t>元宇宙文化消费发展趋势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75" w:line="183" w:lineRule="auto"/>
        <w:ind w:left="1871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z w:val="23"/>
          <w:szCs w:val="23"/>
        </w:rPr>
        <w:t>3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  <w:sectPr>
          <w:footerReference w:type="default" r:id="rId7"/>
          <w:type w:val="nextPage"/>
          <w:pgSz w:w="192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77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2203460</wp:posOffset>
            </wp:positionH>
            <wp:positionV relativeFrom="page">
              <wp:posOffset>2527310</wp:posOffset>
            </wp:positionV>
            <wp:extent cx="1803440" cy="103500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3440" cy="1035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930" w:lineRule="exact"/>
        <w:ind w:firstLine="17049"/>
      </w:pPr>
      <w:r>
        <w:rPr>
          <w:position w:val="-18"/>
        </w:rPr>
        <w:drawing>
          <wp:inline distT="0" distB="0" distL="0" distR="0">
            <wp:extent cx="1130320" cy="59054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0320" cy="59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279" w:line="227" w:lineRule="auto"/>
        <w:ind w:left="6710"/>
        <w:rPr>
          <w:rFonts w:ascii="SimHei" w:eastAsia="SimHei" w:hAnsi="SimHei" w:cs="SimHei"/>
          <w:sz w:val="86"/>
          <w:szCs w:val="8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-2388887</wp:posOffset>
            </wp:positionV>
            <wp:extent cx="12192000" cy="68580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FFFFFF"/>
          <w:spacing w:val="22"/>
          <w:sz w:val="86"/>
          <w:szCs w:val="86"/>
        </w:rPr>
        <w:t>元宇宙文化消费</w:t>
      </w:r>
    </w:p>
    <w:p>
      <w:pPr>
        <w:spacing w:before="3" w:line="220" w:lineRule="auto"/>
        <w:ind w:left="6690"/>
        <w:rPr>
          <w:rFonts w:ascii="SimHei" w:eastAsia="SimHei" w:hAnsi="SimHei" w:cs="SimHei"/>
          <w:sz w:val="86"/>
          <w:szCs w:val="86"/>
        </w:rPr>
      </w:pPr>
      <w:r>
        <w:rPr>
          <w:rFonts w:ascii="SimHei" w:eastAsia="SimHei" w:hAnsi="SimHei" w:cs="SimHei"/>
          <w:color w:val="FFFFFF"/>
          <w:spacing w:val="36"/>
          <w:sz w:val="86"/>
          <w:szCs w:val="86"/>
        </w:rPr>
        <w:t>发展背景</w:t>
      </w:r>
    </w:p>
    <w:p>
      <w:pPr>
        <w:spacing w:line="220" w:lineRule="auto"/>
        <w:rPr>
          <w:rFonts w:ascii="SimHei" w:eastAsia="SimHei" w:hAnsi="SimHei" w:cs="SimHei"/>
          <w:sz w:val="86"/>
          <w:szCs w:val="86"/>
        </w:rPr>
        <w:sectPr>
          <w:footerReference w:type="default" r:id="rId11"/>
          <w:pgSz w:w="19200" w:h="10800"/>
          <w:pgMar w:top="0" w:right="0" w:bottom="400" w:left="0" w:header="0" w:footer="0" w:gutter="0"/>
          <w:pgNumType w:start="3"/>
          <w:cols w:space="708"/>
        </w:sectPr>
      </w:pPr>
    </w:p>
    <w:p>
      <w:pPr>
        <w:spacing w:before="382" w:line="221" w:lineRule="auto"/>
        <w:ind w:left="29"/>
        <w:rPr>
          <w:rFonts w:ascii="SimHei" w:eastAsia="SimHei" w:hAnsi="SimHei" w:cs="SimHei"/>
          <w:sz w:val="70"/>
          <w:szCs w:val="70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8928080</wp:posOffset>
            </wp:positionH>
            <wp:positionV relativeFrom="page">
              <wp:posOffset>1568424</wp:posOffset>
            </wp:positionV>
            <wp:extent cx="660440" cy="666803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0440" cy="666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533400</wp:posOffset>
            </wp:positionH>
            <wp:positionV relativeFrom="page">
              <wp:posOffset>6565917</wp:posOffset>
            </wp:positionV>
            <wp:extent cx="11125200" cy="12687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25200" cy="1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1.5pt;height:14.85pt;margin-top:28.32pt;margin-left:816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225" w:lineRule="auto"/>
                    <w:jc w:val="right"/>
                    <w:rPr>
                      <w:rFonts w:ascii="YouYuan" w:eastAsia="YouYuan" w:hAnsi="YouYuan" w:cs="YouYuan"/>
                      <w:sz w:val="21"/>
                      <w:szCs w:val="21"/>
                    </w:rPr>
                  </w:pP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艾</w:t>
                  </w:r>
                  <w:r>
                    <w:rPr>
                      <w:rFonts w:ascii="YouYuan" w:eastAsia="YouYuan" w:hAnsi="YouYuan" w:cs="YouYuan"/>
                      <w:spacing w:val="37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瑞</w:t>
                  </w:r>
                  <w:r>
                    <w:rPr>
                      <w:rFonts w:ascii="YouYuan" w:eastAsia="YouYuan" w:hAnsi="YouYuan" w:cs="YouYuan"/>
                      <w:spacing w:val="31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咨</w:t>
                  </w:r>
                  <w:r>
                    <w:rPr>
                      <w:rFonts w:ascii="YouYuan" w:eastAsia="YouYuan" w:hAnsi="YouYuan" w:cs="YouYuan"/>
                      <w:spacing w:val="43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询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10852099</wp:posOffset>
            </wp:positionH>
            <wp:positionV relativeFrom="page">
              <wp:posOffset>266707</wp:posOffset>
            </wp:positionV>
            <wp:extent cx="1060460" cy="38733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60460" cy="38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6FC500"/>
          <w:spacing w:val="14"/>
          <w:sz w:val="70"/>
          <w:szCs w:val="70"/>
        </w:rPr>
        <w:t>元宇宙文化消费发展背景(1/6)</w:t>
      </w:r>
    </w:p>
    <w:p>
      <w:pPr>
        <w:spacing w:line="31" w:lineRule="exact"/>
      </w:pPr>
    </w:p>
    <w:p>
      <w:pPr>
        <w:spacing w:line="31" w:lineRule="exact"/>
        <w:sectPr>
          <w:footerReference w:type="default" r:id="rId15"/>
          <w:pgSz w:w="19200" w:h="10800"/>
          <w:pgMar w:top="420" w:right="415" w:bottom="236" w:left="800" w:header="0" w:footer="0" w:gutter="0"/>
          <w:pgNumType w:start="4"/>
          <w:cols w:num="1" w:space="708" w:equalWidth="0">
            <w:col w:w="17985" w:space="0"/>
          </w:cols>
        </w:sectPr>
      </w:pPr>
    </w:p>
    <w:p>
      <w:pPr>
        <w:spacing w:before="74" w:line="221" w:lineRule="auto"/>
        <w:ind w:left="25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-17"/>
          <w:sz w:val="37"/>
          <w:szCs w:val="37"/>
        </w:rPr>
        <w:t>宏观背景：</w:t>
      </w:r>
      <w:r>
        <w:rPr>
          <w:rFonts w:ascii="SimHei" w:eastAsia="SimHei" w:hAnsi="SimHei" w:cs="SimHei"/>
          <w:spacing w:val="-17"/>
          <w:sz w:val="37"/>
          <w:szCs w:val="37"/>
        </w:rPr>
        <w:t xml:space="preserve"> </w:t>
      </w:r>
      <w:r>
        <w:rPr>
          <w:rFonts w:ascii="SimHei" w:eastAsia="SimHei" w:hAnsi="SimHei" w:cs="SimHei"/>
          <w:spacing w:val="-17"/>
          <w:sz w:val="37"/>
          <w:szCs w:val="37"/>
        </w:rPr>
        <w:t>市场内外部变化共同促使元宇宙概念引起广泛关注</w:t>
      </w:r>
    </w:p>
    <w:p>
      <w:pPr>
        <w:spacing w:before="29"/>
      </w:pPr>
    </w:p>
    <w:tbl>
      <w:tblPr>
        <w:tblStyle w:val="TableNormal0"/>
        <w:tblW w:w="1273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25"/>
        <w:gridCol w:w="2730"/>
        <w:gridCol w:w="1690"/>
        <w:gridCol w:w="2973"/>
        <w:gridCol w:w="1451"/>
        <w:gridCol w:w="2762"/>
      </w:tblGrid>
      <w:tr>
        <w:tblPrEx>
          <w:tblW w:w="1273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89"/>
        </w:trPr>
        <w:tc>
          <w:tcPr>
            <w:tcW w:w="1125" w:type="dxa"/>
            <w:vAlign w:val="top"/>
          </w:tcPr>
          <w:p>
            <w:pPr>
              <w:spacing w:line="1079" w:lineRule="exact"/>
            </w:pPr>
            <w:r>
              <w:rPr>
                <w:position w:val="-21"/>
              </w:rPr>
              <w:drawing>
                <wp:inline distT="0" distB="0" distL="0" distR="0">
                  <wp:extent cx="679460" cy="68516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60" cy="68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6" w:lineRule="auto"/>
              <w:ind w:left="55" w:right="425"/>
              <w:rPr>
                <w:sz w:val="26"/>
                <w:szCs w:val="26"/>
              </w:rPr>
            </w:pPr>
            <w:r>
              <w:rPr>
                <w:spacing w:val="-11"/>
                <w:sz w:val="26"/>
                <w:szCs w:val="26"/>
              </w:rPr>
              <w:t>数字经济时代来临，</w:t>
            </w:r>
            <w:r>
              <w:rPr>
                <w:spacing w:val="7"/>
                <w:sz w:val="26"/>
                <w:szCs w:val="26"/>
              </w:rPr>
              <w:t xml:space="preserve"> </w:t>
            </w:r>
            <w:r>
              <w:rPr>
                <w:spacing w:val="-2"/>
                <w:sz w:val="26"/>
                <w:szCs w:val="26"/>
              </w:rPr>
              <w:t>数智化共识增强</w:t>
            </w:r>
          </w:p>
        </w:tc>
        <w:tc>
          <w:tcPr>
            <w:tcW w:w="1690" w:type="dxa"/>
            <w:vAlign w:val="top"/>
          </w:tcPr>
          <w:p>
            <w:pPr>
              <w:spacing w:line="1060" w:lineRule="exact"/>
              <w:ind w:firstLine="554"/>
            </w:pPr>
            <w:r>
              <w:rPr>
                <w:position w:val="-21"/>
              </w:rPr>
              <w:drawing>
                <wp:inline distT="0" distB="0" distL="0" distR="0">
                  <wp:extent cx="685800" cy="673112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73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3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6" w:lineRule="auto"/>
              <w:ind w:left="54" w:right="331" w:firstLine="9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多项前沿技术出现潜在</w:t>
            </w:r>
            <w:r>
              <w:rPr>
                <w:spacing w:val="5"/>
                <w:sz w:val="26"/>
                <w:szCs w:val="26"/>
              </w:rPr>
              <w:t xml:space="preserve"> </w:t>
            </w:r>
            <w:r>
              <w:rPr>
                <w:spacing w:val="-4"/>
                <w:sz w:val="26"/>
                <w:szCs w:val="26"/>
              </w:rPr>
              <w:t>拐点</w:t>
            </w:r>
          </w:p>
        </w:tc>
        <w:tc>
          <w:tcPr>
            <w:tcW w:w="1451" w:type="dxa"/>
            <w:vAlign w:val="top"/>
          </w:tcPr>
          <w:p>
            <w:pPr>
              <w:spacing w:line="1069" w:lineRule="exact"/>
              <w:ind w:firstLine="331"/>
            </w:pPr>
            <w:r>
              <w:rPr>
                <w:position w:val="-21"/>
              </w:rPr>
              <w:drawing>
                <wp:inline distT="0" distB="0" distL="0" distR="0">
                  <wp:extent cx="679460" cy="679422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60" cy="679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2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left="50"/>
              <w:rPr>
                <w:sz w:val="26"/>
                <w:szCs w:val="26"/>
              </w:rPr>
            </w:pPr>
            <w:r>
              <w:rPr>
                <w:spacing w:val="-14"/>
                <w:sz w:val="26"/>
                <w:szCs w:val="26"/>
              </w:rPr>
              <w:t>移动互联网进入成熟期</w:t>
            </w:r>
            <w:r>
              <w:rPr>
                <w:color w:val="40AF00"/>
                <w:spacing w:val="-14"/>
                <w:sz w:val="26"/>
                <w:szCs w:val="26"/>
              </w:rPr>
              <w:t>，</w:t>
            </w:r>
            <w:r>
              <w:rPr>
                <w:color w:val="40AF00"/>
                <w:spacing w:val="4"/>
                <w:sz w:val="26"/>
                <w:szCs w:val="26"/>
              </w:rPr>
              <w:t xml:space="preserve"> </w:t>
            </w:r>
            <w:r>
              <w:rPr>
                <w:spacing w:val="-12"/>
                <w:sz w:val="26"/>
                <w:szCs w:val="26"/>
              </w:rPr>
              <w:t>行业需要新增长曲线</w:t>
            </w:r>
          </w:p>
        </w:tc>
      </w:tr>
    </w:tbl>
    <w:p>
      <w:pPr>
        <w:spacing w:before="173"/>
      </w:pPr>
    </w:p>
    <w:tbl>
      <w:tblPr>
        <w:tblStyle w:val="TableNormal0"/>
        <w:tblW w:w="12651" w:type="dxa"/>
        <w:tblInd w:w="189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F3F3F3"/>
        <w:tblLayout w:type="fixed"/>
      </w:tblPr>
      <w:tblGrid>
        <w:gridCol w:w="4090"/>
        <w:gridCol w:w="4489"/>
        <w:gridCol w:w="4072"/>
      </w:tblGrid>
      <w:tr>
        <w:tblPrEx>
          <w:tblW w:w="12651" w:type="dxa"/>
          <w:tblInd w:w="1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shd w:val="clear" w:color="auto" w:fill="F3F3F3"/>
          <w:tblLayout w:type="fixed"/>
        </w:tblPrEx>
        <w:trPr>
          <w:trHeight w:val="5125"/>
        </w:trPr>
        <w:tc>
          <w:tcPr>
            <w:tcW w:w="4090" w:type="dxa"/>
            <w:shd w:val="clear" w:color="auto" w:fill="F3F3F3"/>
            <w:vAlign w:val="top"/>
          </w:tcPr>
          <w:p>
            <w:pPr>
              <w:pStyle w:val="TableText"/>
              <w:spacing w:before="1" w:line="260" w:lineRule="auto"/>
              <w:ind w:right="304" w:firstLine="3"/>
            </w:pPr>
            <w:r>
              <w:rPr>
                <w:b/>
                <w:bCs/>
                <w:spacing w:val="-16"/>
              </w:rPr>
              <w:t>政策端：</w:t>
            </w:r>
            <w:r>
              <w:rPr>
                <w:spacing w:val="-16"/>
              </w:rPr>
              <w:t>近年来，我国</w:t>
            </w:r>
            <w:r>
              <w:rPr>
                <w:b/>
                <w:bCs/>
                <w:spacing w:val="-16"/>
              </w:rPr>
              <w:t>数字经济发展迅猛，</w:t>
            </w:r>
            <w:r>
              <w:rPr>
                <w:spacing w:val="-16"/>
              </w:rPr>
              <w:t xml:space="preserve"> </w:t>
            </w:r>
            <w:r>
              <w:rPr>
                <w:b/>
                <w:bCs/>
                <w:spacing w:val="-13"/>
              </w:rPr>
              <w:t>有关政策紧密出台，</w:t>
            </w:r>
            <w:r>
              <w:rPr>
                <w:spacing w:val="-13"/>
              </w:rPr>
              <w:t>数字经济已成我国经济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高质量发展新引擎，为元宇宙的发展提供了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宏观环境的支持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5" w:lineRule="auto"/>
              <w:ind w:right="304" w:firstLine="2"/>
            </w:pPr>
            <w:r>
              <w:rPr>
                <w:b/>
                <w:bCs/>
                <w:spacing w:val="-16"/>
              </w:rPr>
              <w:t>消费者端：</w:t>
            </w:r>
            <w:r>
              <w:rPr>
                <w:spacing w:val="-34"/>
              </w:rPr>
              <w:t xml:space="preserve"> </w:t>
            </w:r>
            <w:r>
              <w:rPr>
                <w:spacing w:val="-16"/>
              </w:rPr>
              <w:t>数字经济时代下，数字化生活方</w:t>
            </w:r>
            <w:r>
              <w:t xml:space="preserve"> </w:t>
            </w:r>
            <w:r>
              <w:rPr>
                <w:spacing w:val="-13"/>
              </w:rPr>
              <w:t>式的</w:t>
            </w:r>
            <w:r>
              <w:rPr>
                <w:b/>
                <w:bCs/>
                <w:spacing w:val="-13"/>
              </w:rPr>
              <w:t>接触面不</w:t>
            </w:r>
            <w:r>
              <w:rPr>
                <w:spacing w:val="-13"/>
              </w:rPr>
              <w:t>断拓宽，大众对于数字化生活</w:t>
            </w:r>
            <w:r>
              <w:rPr>
                <w:spacing w:val="17"/>
              </w:rPr>
              <w:t xml:space="preserve"> </w:t>
            </w:r>
            <w:r>
              <w:rPr>
                <w:b/>
                <w:bCs/>
                <w:spacing w:val="-12"/>
              </w:rPr>
              <w:t>的接受度持</w:t>
            </w:r>
            <w:r>
              <w:rPr>
                <w:spacing w:val="-12"/>
              </w:rPr>
              <w:t>续提升，为元宇宙的普及奠定了</w:t>
            </w:r>
            <w:r>
              <w:rPr>
                <w:spacing w:val="11"/>
              </w:rPr>
              <w:t xml:space="preserve"> </w:t>
            </w:r>
            <w:r>
              <w:rPr>
                <w:spacing w:val="-8"/>
              </w:rPr>
              <w:t>潜在基础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72" w:lineRule="auto"/>
              <w:ind w:right="135" w:firstLine="2"/>
            </w:pPr>
            <w:r>
              <w:rPr>
                <w:b/>
                <w:bCs/>
                <w:spacing w:val="-16"/>
              </w:rPr>
              <w:t>产业端：</w:t>
            </w:r>
            <w:r>
              <w:rPr>
                <w:spacing w:val="-32"/>
              </w:rPr>
              <w:t xml:space="preserve"> </w:t>
            </w:r>
            <w:r>
              <w:rPr>
                <w:spacing w:val="-16"/>
              </w:rPr>
              <w:t>数字经济的快速发展亦催生了大量</w:t>
            </w:r>
            <w:r>
              <w:t xml:space="preserve">  </w:t>
            </w:r>
            <w:r>
              <w:rPr>
                <w:b/>
                <w:bCs/>
                <w:spacing w:val="-13"/>
              </w:rPr>
              <w:t>新兴产业，</w:t>
            </w:r>
            <w:r>
              <w:rPr>
                <w:spacing w:val="-13"/>
              </w:rPr>
              <w:t>为元宇宙的落地提供丰富的资源；</w:t>
            </w:r>
            <w:r>
              <w:rPr>
                <w:spacing w:val="2"/>
              </w:rPr>
              <w:t xml:space="preserve"> </w:t>
            </w:r>
            <w:r>
              <w:rPr>
                <w:spacing w:val="-12"/>
              </w:rPr>
              <w:t>与此同时，市场竞争压力与消费者需求变化</w:t>
            </w:r>
            <w:r>
              <w:rPr>
                <w:spacing w:val="2"/>
              </w:rPr>
              <w:t xml:space="preserve">  </w:t>
            </w:r>
            <w:r>
              <w:rPr>
                <w:spacing w:val="-12"/>
              </w:rPr>
              <w:t>使数字化转型逐渐在传统行业中成为广泛共</w:t>
            </w:r>
            <w:r>
              <w:rPr>
                <w:spacing w:val="4"/>
              </w:rPr>
              <w:t xml:space="preserve">  </w:t>
            </w:r>
            <w:r>
              <w:rPr>
                <w:spacing w:val="-19"/>
              </w:rPr>
              <w:t>识</w:t>
            </w:r>
            <w:r>
              <w:rPr>
                <w:spacing w:val="-19"/>
              </w:rPr>
              <w:t xml:space="preserve"> </w:t>
            </w:r>
            <w:r>
              <w:rPr>
                <w:spacing w:val="-19"/>
              </w:rPr>
              <w:t>，</w:t>
            </w:r>
            <w:r>
              <w:rPr>
                <w:b/>
                <w:bCs/>
                <w:spacing w:val="-19"/>
              </w:rPr>
              <w:t>传统行业企业在数字经济中的参与度不</w:t>
            </w:r>
            <w:r>
              <w:rPr>
                <w:spacing w:val="5"/>
              </w:rPr>
              <w:t xml:space="preserve">   </w:t>
            </w:r>
            <w:r>
              <w:rPr>
                <w:b/>
                <w:bCs/>
                <w:spacing w:val="-11"/>
              </w:rPr>
              <w:t>断提升</w:t>
            </w:r>
          </w:p>
        </w:tc>
        <w:tc>
          <w:tcPr>
            <w:tcW w:w="4489" w:type="dxa"/>
            <w:shd w:val="clear" w:color="auto" w:fill="F3F3F3"/>
            <w:vAlign w:val="top"/>
          </w:tcPr>
          <w:p>
            <w:pPr>
              <w:pStyle w:val="TableText"/>
              <w:spacing w:before="1" w:line="242" w:lineRule="auto"/>
              <w:ind w:left="242" w:right="267"/>
            </w:pPr>
            <w:r>
              <w:rPr>
                <w:b/>
                <w:bCs/>
                <w:spacing w:val="-14"/>
              </w:rPr>
              <w:t>新兴技术不断进步，共同构成得以支撑元宇宙</w:t>
            </w:r>
            <w:r>
              <w:rPr>
                <w:spacing w:val="13"/>
              </w:rPr>
              <w:t xml:space="preserve"> </w:t>
            </w:r>
            <w:r>
              <w:rPr>
                <w:b/>
                <w:bCs/>
                <w:spacing w:val="-20"/>
              </w:rPr>
              <w:t>雏形探索的技术底座，</w:t>
            </w:r>
            <w:r>
              <w:rPr>
                <w:spacing w:val="-41"/>
              </w:rPr>
              <w:t xml:space="preserve"> </w:t>
            </w:r>
            <w:r>
              <w:rPr>
                <w:spacing w:val="-20"/>
              </w:rPr>
              <w:t>例如：</w:t>
            </w:r>
          </w:p>
          <w:p>
            <w:pPr>
              <w:pStyle w:val="TableText"/>
              <w:spacing w:before="171" w:line="241" w:lineRule="auto"/>
              <w:ind w:left="499" w:right="483" w:hanging="260"/>
            </w:pPr>
            <w:r>
              <w:rPr>
                <w:spacing w:val="-14"/>
              </w:rPr>
              <w:t>·</w:t>
            </w:r>
            <w:r>
              <w:rPr>
                <w:spacing w:val="52"/>
              </w:rPr>
              <w:t xml:space="preserve"> </w:t>
            </w:r>
            <w:r>
              <w:rPr>
                <w:b/>
                <w:bCs/>
                <w:spacing w:val="-14"/>
              </w:rPr>
              <w:t>5G</w:t>
            </w:r>
            <w:r>
              <w:rPr>
                <w:spacing w:val="-52"/>
              </w:rPr>
              <w:t xml:space="preserve"> </w:t>
            </w:r>
            <w:r>
              <w:rPr>
                <w:b/>
                <w:bCs/>
                <w:spacing w:val="-14"/>
              </w:rPr>
              <w:t>网</w:t>
            </w:r>
            <w:r>
              <w:rPr>
                <w:spacing w:val="-14"/>
              </w:rPr>
              <w:t>络覆盖率提升，6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G</w:t>
            </w:r>
            <w:r>
              <w:rPr>
                <w:spacing w:val="-14"/>
              </w:rPr>
              <w:t>技术持续探索，</w:t>
            </w:r>
            <w:r>
              <w:t xml:space="preserve"> </w:t>
            </w:r>
            <w:r>
              <w:rPr>
                <w:spacing w:val="-13"/>
              </w:rPr>
              <w:t>为元宇宙提供</w:t>
            </w:r>
            <w:r>
              <w:rPr>
                <w:b/>
                <w:bCs/>
                <w:spacing w:val="-13"/>
              </w:rPr>
              <w:t>通信基础；</w:t>
            </w:r>
          </w:p>
          <w:p>
            <w:pPr>
              <w:pStyle w:val="TableText"/>
              <w:spacing w:before="188" w:line="238" w:lineRule="auto"/>
              <w:ind w:left="239" w:right="226"/>
              <w:jc w:val="right"/>
            </w:pPr>
            <w:r>
              <w:rPr>
                <w:spacing w:val="-15"/>
              </w:rPr>
              <w:t>·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15"/>
              </w:rPr>
              <w:t>智能算力</w:t>
            </w:r>
            <w:r>
              <w:rPr>
                <w:spacing w:val="-15"/>
              </w:rPr>
              <w:t>供应泛化、</w:t>
            </w:r>
            <w:r>
              <w:rPr>
                <w:b/>
                <w:bCs/>
                <w:spacing w:val="-15"/>
              </w:rPr>
              <w:t>云计算</w:t>
            </w:r>
            <w:r>
              <w:rPr>
                <w:spacing w:val="-15"/>
              </w:rPr>
              <w:t>成本下降、</w:t>
            </w:r>
            <w:r>
              <w:rPr>
                <w:b/>
                <w:bCs/>
                <w:spacing w:val="-15"/>
              </w:rPr>
              <w:t>边</w:t>
            </w:r>
            <w:r>
              <w:t xml:space="preserve">   </w:t>
            </w:r>
            <w:r>
              <w:rPr>
                <w:b/>
                <w:bCs/>
                <w:spacing w:val="-13"/>
              </w:rPr>
              <w:t>缘计算</w:t>
            </w:r>
            <w:r>
              <w:rPr>
                <w:spacing w:val="-13"/>
              </w:rPr>
              <w:t>步入实践，为元宇宙提</w:t>
            </w:r>
            <w:r>
              <w:rPr>
                <w:b/>
                <w:bCs/>
                <w:spacing w:val="-13"/>
              </w:rPr>
              <w:t>供算力基础；</w:t>
            </w:r>
          </w:p>
          <w:p>
            <w:pPr>
              <w:pStyle w:val="TableText"/>
              <w:spacing w:before="169" w:line="233" w:lineRule="auto"/>
              <w:ind w:left="499" w:right="316" w:hanging="260"/>
            </w:pPr>
            <w:r>
              <w:rPr>
                <w:spacing w:val="-12"/>
              </w:rPr>
              <w:t>·</w:t>
            </w:r>
            <w:r>
              <w:rPr>
                <w:spacing w:val="-12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-12"/>
              </w:rPr>
              <w:t>AIGC</w:t>
            </w:r>
            <w:r>
              <w:rPr>
                <w:rFonts w:ascii="SimSun" w:eastAsia="SimSun" w:hAnsi="SimSun" w:cs="SimSun"/>
                <w:spacing w:val="-12"/>
              </w:rPr>
              <w:t xml:space="preserve"> </w:t>
            </w:r>
            <w:r>
              <w:rPr>
                <w:spacing w:val="-12"/>
              </w:rPr>
              <w:t>实现实质性市场突破，为元宇宙</w:t>
            </w:r>
            <w:r>
              <w:rPr>
                <w:spacing w:val="-13"/>
              </w:rPr>
              <w:t>的海</w:t>
            </w:r>
            <w:r>
              <w:t xml:space="preserve"> </w:t>
            </w:r>
            <w:r>
              <w:rPr>
                <w:spacing w:val="-15"/>
              </w:rPr>
              <w:t>量内容提供</w:t>
            </w:r>
            <w:r>
              <w:rPr>
                <w:b/>
                <w:bCs/>
                <w:spacing w:val="-15"/>
              </w:rPr>
              <w:t>生产力解决方案；</w:t>
            </w:r>
          </w:p>
          <w:p>
            <w:pPr>
              <w:pStyle w:val="TableText"/>
              <w:spacing w:before="181" w:line="237" w:lineRule="auto"/>
              <w:ind w:left="499" w:right="174" w:hanging="260"/>
            </w:pPr>
            <w:r>
              <w:rPr>
                <w:spacing w:val="-16"/>
              </w:rPr>
              <w:t>·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-16"/>
              </w:rPr>
              <w:t>XR、</w:t>
            </w:r>
            <w:r>
              <w:rPr>
                <w:rFonts w:ascii="SimSun" w:eastAsia="SimSun" w:hAnsi="SimSun" w:cs="SimSun"/>
                <w:spacing w:val="-16"/>
              </w:rPr>
              <w:t xml:space="preserve"> </w:t>
            </w:r>
            <w:r>
              <w:rPr>
                <w:b/>
                <w:bCs/>
                <w:spacing w:val="-16"/>
              </w:rPr>
              <w:t>数字孪生</w:t>
            </w:r>
            <w:r>
              <w:rPr>
                <w:spacing w:val="-16"/>
              </w:rPr>
              <w:t>领域应用技术路线持续迭代，</w:t>
            </w:r>
            <w:r>
              <w:rPr>
                <w:spacing w:val="16"/>
              </w:rPr>
              <w:t xml:space="preserve"> </w:t>
            </w:r>
            <w:r>
              <w:rPr>
                <w:spacing w:val="-15"/>
              </w:rPr>
              <w:t>为元宇宙提供</w:t>
            </w:r>
            <w:r>
              <w:rPr>
                <w:b/>
                <w:bCs/>
                <w:spacing w:val="-15"/>
              </w:rPr>
              <w:t>展现形式支撑；</w:t>
            </w:r>
          </w:p>
          <w:p>
            <w:pPr>
              <w:pStyle w:val="TableText"/>
              <w:spacing w:before="208" w:line="231" w:lineRule="auto"/>
              <w:ind w:left="499" w:right="270" w:hanging="260"/>
            </w:pPr>
            <w:r>
              <w:rPr>
                <w:spacing w:val="-11"/>
              </w:rPr>
              <w:t>·</w:t>
            </w:r>
            <w:r>
              <w:rPr>
                <w:spacing w:val="45"/>
              </w:rPr>
              <w:t xml:space="preserve"> </w:t>
            </w:r>
            <w:r>
              <w:rPr>
                <w:b/>
                <w:bCs/>
                <w:spacing w:val="-11"/>
              </w:rPr>
              <w:t>区块链、</w:t>
            </w:r>
            <w:r>
              <w:rPr>
                <w:rFonts w:ascii="Arial" w:eastAsia="Arial" w:hAnsi="Arial" w:cs="Arial"/>
                <w:b/>
                <w:bCs/>
                <w:spacing w:val="-11"/>
              </w:rPr>
              <w:t>web3.0</w:t>
            </w:r>
            <w:r>
              <w:rPr>
                <w:spacing w:val="-11"/>
              </w:rPr>
              <w:t>应用组织方式与机制持续</w:t>
            </w:r>
            <w:r>
              <w:t xml:space="preserve"> </w:t>
            </w:r>
            <w:r>
              <w:rPr>
                <w:spacing w:val="-10"/>
              </w:rPr>
              <w:t>探索，为元宇宙</w:t>
            </w:r>
            <w:r>
              <w:rPr>
                <w:b/>
                <w:bCs/>
                <w:spacing w:val="-10"/>
              </w:rPr>
              <w:t>经济系统的</w:t>
            </w:r>
            <w:r>
              <w:rPr>
                <w:spacing w:val="-10"/>
              </w:rPr>
              <w:t>运行试水通路</w:t>
            </w:r>
          </w:p>
          <w:p>
            <w:pPr>
              <w:pStyle w:val="TableText"/>
              <w:spacing w:before="178" w:line="229" w:lineRule="auto"/>
              <w:ind w:left="239" w:right="260"/>
              <w:jc w:val="both"/>
            </w:pPr>
            <w:r>
              <w:rPr>
                <w:spacing w:val="-12"/>
              </w:rPr>
              <w:t>此外，元宇宙的宏大、远期性也使其成为</w:t>
            </w:r>
            <w:r>
              <w:rPr>
                <w:b/>
                <w:bCs/>
                <w:spacing w:val="-12"/>
              </w:rPr>
              <w:t>一系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-13"/>
              </w:rPr>
              <w:t>列新兴技术应用的串联与总和，</w:t>
            </w:r>
            <w:r>
              <w:rPr>
                <w:spacing w:val="-13"/>
              </w:rPr>
              <w:t>以及一系列新</w:t>
            </w:r>
            <w:r>
              <w:rPr>
                <w:spacing w:val="16"/>
              </w:rPr>
              <w:t xml:space="preserve"> </w:t>
            </w:r>
            <w:r>
              <w:rPr>
                <w:spacing w:val="-10"/>
              </w:rPr>
              <w:t>兴技术的发展与应用落地的一项方向指明</w:t>
            </w:r>
          </w:p>
        </w:tc>
        <w:tc>
          <w:tcPr>
            <w:tcW w:w="4072" w:type="dxa"/>
            <w:shd w:val="clear" w:color="auto" w:fill="F3F3F3"/>
            <w:vAlign w:val="top"/>
          </w:tcPr>
          <w:p>
            <w:pPr>
              <w:pStyle w:val="TableText"/>
              <w:spacing w:before="53" w:line="252" w:lineRule="auto"/>
              <w:ind w:left="261"/>
              <w:jc w:val="both"/>
            </w:pPr>
            <w:r>
              <w:rPr>
                <w:spacing w:val="1"/>
              </w:rPr>
              <w:t>2019年开始，消费互联网的发展瓶颈成为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市场上的共同认知，作为主要参照的</w:t>
            </w:r>
            <w:r>
              <w:rPr>
                <w:b/>
                <w:bCs/>
                <w:spacing w:val="-10"/>
              </w:rPr>
              <w:t>用户与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-12"/>
              </w:rPr>
              <w:t>时长的覆盖及占有，</w:t>
            </w:r>
            <w:r>
              <w:rPr>
                <w:spacing w:val="-12"/>
              </w:rPr>
              <w:t>已无限趋近于当前的技</w:t>
            </w:r>
            <w:r>
              <w:rPr>
                <w:spacing w:val="13"/>
              </w:rPr>
              <w:t xml:space="preserve"> </w:t>
            </w:r>
            <w:r>
              <w:rPr>
                <w:spacing w:val="-11"/>
              </w:rPr>
              <w:t>术及模式能够达到并维系的</w:t>
            </w:r>
            <w:r>
              <w:rPr>
                <w:b/>
                <w:bCs/>
                <w:spacing w:val="-11"/>
              </w:rPr>
              <w:t>天花板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48" w:lineRule="auto"/>
              <w:ind w:left="261" w:right="7"/>
              <w:jc w:val="both"/>
            </w:pPr>
            <w:r>
              <w:rPr>
                <w:spacing w:val="-13"/>
              </w:rPr>
              <w:t>加</w:t>
            </w:r>
            <w:r>
              <w:rPr>
                <w:b/>
                <w:bCs/>
                <w:spacing w:val="-13"/>
              </w:rPr>
              <w:t>之整体相对固化的竞争格局、产品较为厚</w:t>
            </w:r>
            <w:r>
              <w:rPr>
                <w:spacing w:val="16"/>
              </w:rPr>
              <w:t xml:space="preserve"> </w:t>
            </w:r>
            <w:r>
              <w:rPr>
                <w:b/>
                <w:bCs/>
                <w:spacing w:val="-11"/>
              </w:rPr>
              <w:t>重的历史包袱，</w:t>
            </w:r>
            <w:r>
              <w:rPr>
                <w:spacing w:val="-11"/>
              </w:rPr>
              <w:t>共同导致了产业的价值增长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缓滞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1" w:lineRule="auto"/>
              <w:ind w:left="261" w:right="12" w:firstLine="2"/>
              <w:jc w:val="both"/>
            </w:pPr>
            <w:r>
              <w:rPr>
                <w:b/>
                <w:bCs/>
                <w:spacing w:val="-13"/>
              </w:rPr>
              <w:t>供给的结构化、体量化、跃升式创新是可持</w:t>
            </w:r>
            <w:r>
              <w:rPr>
                <w:spacing w:val="7"/>
              </w:rPr>
              <w:t xml:space="preserve"> </w:t>
            </w:r>
            <w:r>
              <w:rPr>
                <w:b/>
                <w:bCs/>
                <w:spacing w:val="11"/>
              </w:rPr>
              <w:t>续增长的首要途径成为越来越广泛的认</w:t>
            </w:r>
            <w:r>
              <w:t xml:space="preserve"> </w:t>
            </w:r>
            <w:r>
              <w:rPr>
                <w:b/>
                <w:bCs/>
              </w:rPr>
              <w:t>识—</w:t>
            </w:r>
            <w:r>
              <w:t>—具有宏大、远期属性的元宇宙概念</w:t>
            </w:r>
            <w:r>
              <w:rPr>
                <w:spacing w:val="12"/>
              </w:rPr>
              <w:t xml:space="preserve"> </w:t>
            </w:r>
            <w:r>
              <w:rPr>
                <w:spacing w:val="-10"/>
              </w:rPr>
              <w:t>是可以匹配这一焦虑的叙事</w:t>
            </w:r>
          </w:p>
        </w:tc>
      </w:tr>
    </w:tbl>
    <w:p>
      <w:pPr>
        <w:pStyle w:val="BodyText"/>
      </w:pPr>
    </w:p>
    <w:p>
      <w:pPr>
        <w:spacing w:line="188" w:lineRule="exact"/>
      </w:pPr>
    </w:p>
    <w:p>
      <w:pPr>
        <w:pStyle w:val="BodyText"/>
        <w:spacing w:line="14" w:lineRule="auto"/>
        <w:rPr>
          <w:sz w:val="2"/>
        </w:rPr>
        <w:sectPr>
          <w:footerReference w:type="default" r:id="rId19"/>
          <w:type w:val="continuous"/>
          <w:pgSz w:w="19200" w:h="10800"/>
          <w:pgMar w:top="420" w:right="415" w:bottom="236" w:left="800" w:header="0" w:footer="0" w:gutter="0"/>
          <w:pgNumType w:start="5"/>
          <w:cols w:num="2" w:space="708" w:equalWidth="0">
            <w:col w:w="13160" w:space="100"/>
            <w:col w:w="4726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before="84" w:line="220" w:lineRule="auto"/>
        <w:ind w:left="1180" w:right="694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1"/>
          <w:sz w:val="26"/>
          <w:szCs w:val="26"/>
        </w:rPr>
        <w:t>大众对移动互联网交互与</w:t>
      </w:r>
      <w:r>
        <w:rPr>
          <w:rFonts w:ascii="SimHei" w:eastAsia="SimHei" w:hAnsi="SimHei" w:cs="SimHei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-3"/>
          <w:sz w:val="26"/>
          <w:szCs w:val="26"/>
        </w:rPr>
        <w:t>玩法的兴</w:t>
      </w:r>
      <w:r>
        <w:rPr>
          <w:rFonts w:ascii="SimHei" w:eastAsia="SimHei" w:hAnsi="SimHei" w:cs="SimHei"/>
          <w:color w:val="40AF00"/>
          <w:spacing w:val="-3"/>
          <w:sz w:val="26"/>
          <w:szCs w:val="26"/>
        </w:rPr>
        <w:t>趣</w:t>
      </w:r>
      <w:r>
        <w:rPr>
          <w:rFonts w:ascii="SimHei" w:eastAsia="SimHei" w:hAnsi="SimHei" w:cs="SimHei"/>
          <w:spacing w:val="-3"/>
          <w:sz w:val="26"/>
          <w:szCs w:val="26"/>
        </w:rPr>
        <w:t>阈值不断提升</w:t>
      </w:r>
    </w:p>
    <w:p>
      <w:pPr>
        <w:pStyle w:val="BodyText"/>
        <w:spacing w:line="328" w:lineRule="auto"/>
      </w:pPr>
    </w:p>
    <w:p>
      <w:pPr>
        <w:pStyle w:val="BodyText"/>
        <w:spacing w:line="5670" w:lineRule="exact"/>
        <w:ind w:firstLine="50"/>
      </w:pPr>
      <w:r>
        <w:rPr>
          <w:position w:val="-113"/>
        </w:rPr>
        <w:pict>
          <v:shape id="_x0000_i1026" type="#_x0000_t202" style="width:209pt;height:283.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147" w:line="243" w:lineRule="auto"/>
                    <w:ind w:left="169" w:right="215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1"/>
                      <w:sz w:val="21"/>
                      <w:szCs w:val="21"/>
                    </w:rPr>
                    <w:t>移动互联网的十年发展历程中，大众对于产</w:t>
                  </w:r>
                  <w:r>
                    <w:rPr>
                      <w:rFonts w:ascii="SimHei" w:eastAsia="SimHei" w:hAnsi="SimHei" w:cs="SimHei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3"/>
                      <w:sz w:val="21"/>
                      <w:szCs w:val="21"/>
                    </w:rPr>
                    <w:t>品的交互方式和玩法的兴趣阈值不断提升，</w:t>
                  </w:r>
                </w:p>
                <w:p>
                  <w:pPr>
                    <w:spacing w:before="53" w:line="221" w:lineRule="auto"/>
                    <w:ind w:left="172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3"/>
                      <w:sz w:val="21"/>
                      <w:szCs w:val="21"/>
                    </w:rPr>
                    <w:t>并希望持续看到更新颖、有趣的模式与体验</w:t>
                  </w: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230" w:lineRule="auto"/>
                    <w:ind w:left="172" w:right="5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  <w:sz w:val="21"/>
                      <w:szCs w:val="21"/>
                    </w:rPr>
                    <w:t>远期元宇宙概念下的沉浸、高交互性、多元、</w:t>
                  </w:r>
                  <w:r>
                    <w:rPr>
                      <w:rFonts w:ascii="SimHei" w:eastAsia="SimHei" w:hAnsi="SimHei" w:cs="SimHei"/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2"/>
                      <w:sz w:val="21"/>
                      <w:szCs w:val="21"/>
                    </w:rPr>
                    <w:t>开放、虚实相融的数字空间，具有</w:t>
                  </w:r>
                  <w:r>
                    <w:rPr>
                      <w:rFonts w:ascii="SimHei" w:eastAsia="SimHei" w:hAnsi="SimHei" w:cs="SimHei"/>
                      <w:spacing w:val="-12"/>
                      <w:sz w:val="21"/>
                      <w:szCs w:val="21"/>
                    </w:rPr>
                    <w:t>：</w:t>
                  </w:r>
                </w:p>
                <w:p>
                  <w:pPr>
                    <w:spacing w:before="186"/>
                    <w:ind w:left="441" w:right="170" w:hanging="272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5"/>
                      <w:sz w:val="21"/>
                      <w:szCs w:val="21"/>
                    </w:rPr>
                    <w:t>·</w:t>
                  </w:r>
                  <w:r>
                    <w:rPr>
                      <w:rFonts w:ascii="SimHei" w:eastAsia="SimHei" w:hAnsi="SimHei" w:cs="SimHei"/>
                      <w:spacing w:val="-1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5"/>
                      <w:sz w:val="21"/>
                      <w:szCs w:val="21"/>
                    </w:rPr>
                    <w:t>能够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  <w:sz w:val="21"/>
                      <w:szCs w:val="21"/>
                    </w:rPr>
                    <w:t>带给大众具有新鲜感的产品形态与交</w:t>
                  </w:r>
                  <w:r>
                    <w:rPr>
                      <w:rFonts w:ascii="SimHei" w:eastAsia="SimHei" w:hAnsi="SimHei" w:cs="SimHei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2"/>
                      <w:sz w:val="21"/>
                      <w:szCs w:val="21"/>
                    </w:rPr>
                    <w:t>互方式</w:t>
                  </w:r>
                  <w:r>
                    <w:rPr>
                      <w:rFonts w:ascii="SimHei" w:eastAsia="SimHei" w:hAnsi="SimHei" w:cs="SimHei"/>
                      <w:spacing w:val="-12"/>
                      <w:sz w:val="21"/>
                      <w:szCs w:val="21"/>
                    </w:rPr>
                    <w:t>的特征；</w:t>
                  </w:r>
                </w:p>
                <w:p>
                  <w:pPr>
                    <w:spacing w:before="173" w:line="423" w:lineRule="exact"/>
                    <w:ind w:left="16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5"/>
                      <w:position w:val="16"/>
                      <w:sz w:val="21"/>
                      <w:szCs w:val="21"/>
                    </w:rPr>
                    <w:t>·</w:t>
                  </w:r>
                  <w:r>
                    <w:rPr>
                      <w:rFonts w:ascii="SimHei" w:eastAsia="SimHei" w:hAnsi="SimHei" w:cs="SimHei"/>
                      <w:spacing w:val="-15"/>
                      <w:position w:val="1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5"/>
                      <w:position w:val="16"/>
                      <w:sz w:val="21"/>
                      <w:szCs w:val="21"/>
                    </w:rPr>
                    <w:t>能够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  <w:position w:val="16"/>
                      <w:sz w:val="21"/>
                      <w:szCs w:val="21"/>
                    </w:rPr>
                    <w:t>覆盖日常生活多种场景的张力</w:t>
                  </w:r>
                </w:p>
                <w:p>
                  <w:pPr>
                    <w:spacing w:before="1" w:line="220" w:lineRule="auto"/>
                    <w:ind w:left="16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0"/>
                      <w:sz w:val="21"/>
                      <w:szCs w:val="21"/>
                    </w:rPr>
                    <w:t>亦构成元宇宙概念受到广泛关注的基础</w:t>
                  </w:r>
                </w:p>
              </w:txbxContent>
            </v:textbox>
            <w10:wrap type="none"/>
          </v:shape>
        </w:pict>
      </w:r>
    </w:p>
    <w:p>
      <w:pPr>
        <w:spacing w:line="5670" w:lineRule="exact"/>
        <w:sectPr>
          <w:footerReference w:type="default" r:id="rId20"/>
          <w:type w:val="nextPage"/>
          <w:pgSz w:w="19200" w:h="10800"/>
          <w:pgMar w:top="420" w:right="415" w:bottom="236" w:left="800" w:header="0" w:footer="0" w:gutter="0"/>
          <w:pgNumType w:start="6"/>
          <w:cols w:num="2" w:space="708" w:equalWidth="0">
            <w:col w:w="13160" w:space="100"/>
            <w:col w:w="4726" w:space="0"/>
          </w:cols>
          <w:titlePg w:val="0"/>
        </w:sectPr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spacing w:before="46" w:line="221" w:lineRule="auto"/>
        <w:ind w:left="19"/>
        <w:rPr>
          <w:rFonts w:ascii="SimHei" w:eastAsia="SimHei" w:hAnsi="SimHei" w:cs="SimHei"/>
          <w:sz w:val="14"/>
          <w:szCs w:val="14"/>
        </w:rPr>
      </w:pPr>
      <w:r>
        <w:rPr>
          <w:rFonts w:ascii="SimHei" w:eastAsia="SimHei" w:hAnsi="SimHei" w:cs="SimHei"/>
          <w:spacing w:val="-1"/>
          <w:sz w:val="14"/>
          <w:szCs w:val="14"/>
        </w:rPr>
        <w:t>来源：艾瑞咨询结合市场公开资料研究并绘制</w:t>
      </w:r>
    </w:p>
    <w:p>
      <w:pPr>
        <w:pStyle w:val="BodyText"/>
        <w:spacing w:before="71" w:line="196" w:lineRule="auto"/>
        <w:jc w:val="right"/>
        <w:rPr>
          <w:rFonts w:ascii="SimSun" w:eastAsia="SimSun" w:hAnsi="SimSun" w:cs="SimSun"/>
          <w:sz w:val="17"/>
          <w:szCs w:val="17"/>
        </w:rPr>
      </w:pPr>
      <w:r>
        <w:rPr>
          <w:sz w:val="14"/>
          <w:szCs w:val="14"/>
        </w:rPr>
        <w:t>O2024.1 iResearch</w:t>
      </w:r>
      <w:r>
        <w:rPr>
          <w:spacing w:val="13"/>
          <w:w w:val="101"/>
          <w:sz w:val="14"/>
          <w:szCs w:val="14"/>
        </w:rPr>
        <w:t xml:space="preserve"> </w:t>
      </w:r>
      <w:r>
        <w:rPr>
          <w:sz w:val="14"/>
          <w:szCs w:val="14"/>
        </w:rPr>
        <w:t>Inc</w:t>
      </w:r>
      <w:r>
        <w:rPr>
          <w:spacing w:val="1"/>
          <w:sz w:val="14"/>
          <w:szCs w:val="14"/>
        </w:rPr>
        <w:t xml:space="preserve">                   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ww.irese</w:t>
      </w:r>
      <w:r>
        <w:rPr>
          <w:spacing w:val="-1"/>
          <w:sz w:val="14"/>
          <w:szCs w:val="14"/>
        </w:rPr>
        <w:t xml:space="preserve">arch.com.cn             </w:t>
      </w:r>
      <w:r>
        <w:rPr>
          <w:rFonts w:ascii="SimSun" w:eastAsia="SimSun" w:hAnsi="SimSun" w:cs="SimSun"/>
          <w:spacing w:val="-1"/>
          <w:position w:val="-1"/>
          <w:sz w:val="17"/>
          <w:szCs w:val="17"/>
        </w:rPr>
        <w:t>5</w:t>
      </w:r>
    </w:p>
    <w:p>
      <w:pPr>
        <w:spacing w:line="196" w:lineRule="auto"/>
        <w:rPr>
          <w:rFonts w:ascii="SimSun" w:eastAsia="SimSun" w:hAnsi="SimSun" w:cs="SimSun"/>
          <w:sz w:val="17"/>
          <w:szCs w:val="17"/>
        </w:rPr>
        <w:sectPr>
          <w:footerReference w:type="default" r:id="rId21"/>
          <w:type w:val="continuous"/>
          <w:pgSz w:w="19200" w:h="10800"/>
          <w:pgMar w:top="420" w:right="415" w:bottom="236" w:left="800" w:header="0" w:footer="0" w:gutter="0"/>
          <w:pgNumType w:start="7"/>
          <w:cols w:num="1" w:space="708" w:equalWidth="0">
            <w:col w:w="17985" w:space="0"/>
          </w:cols>
        </w:sectPr>
      </w:pPr>
    </w:p>
    <w:p>
      <w:pPr>
        <w:spacing w:before="392" w:line="221" w:lineRule="auto"/>
        <w:ind w:left="39"/>
        <w:rPr>
          <w:rFonts w:ascii="SimHei" w:eastAsia="SimHei" w:hAnsi="SimHei" w:cs="SimHei"/>
          <w:sz w:val="70"/>
          <w:szCs w:val="70"/>
        </w:rPr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5448360</wp:posOffset>
            </wp:positionH>
            <wp:positionV relativeFrom="page">
              <wp:posOffset>3403605</wp:posOffset>
            </wp:positionV>
            <wp:extent cx="4603699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036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5461040</wp:posOffset>
            </wp:positionH>
            <wp:positionV relativeFrom="page">
              <wp:posOffset>4965672</wp:posOffset>
            </wp:positionV>
            <wp:extent cx="4591019" cy="6377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91019" cy="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533400</wp:posOffset>
            </wp:positionH>
            <wp:positionV relativeFrom="page">
              <wp:posOffset>6565917</wp:posOffset>
            </wp:positionV>
            <wp:extent cx="11125200" cy="12687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25200" cy="1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81.5pt;height:14.85pt;margin-top:28.82pt;margin-left:815.5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225" w:lineRule="auto"/>
                    <w:jc w:val="right"/>
                    <w:rPr>
                      <w:rFonts w:ascii="YouYuan" w:eastAsia="YouYuan" w:hAnsi="YouYuan" w:cs="YouYuan"/>
                      <w:sz w:val="21"/>
                      <w:szCs w:val="21"/>
                    </w:rPr>
                  </w:pP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艾</w:t>
                  </w:r>
                  <w:r>
                    <w:rPr>
                      <w:rFonts w:ascii="YouYuan" w:eastAsia="YouYuan" w:hAnsi="YouYuan" w:cs="YouYuan"/>
                      <w:spacing w:val="37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瑞</w:t>
                  </w:r>
                  <w:r>
                    <w:rPr>
                      <w:rFonts w:ascii="YouYuan" w:eastAsia="YouYuan" w:hAnsi="YouYuan" w:cs="YouYuan"/>
                      <w:spacing w:val="31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咨</w:t>
                  </w:r>
                  <w:r>
                    <w:rPr>
                      <w:rFonts w:ascii="YouYuan" w:eastAsia="YouYuan" w:hAnsi="YouYuan" w:cs="YouYuan"/>
                      <w:spacing w:val="43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YouYuan" w:eastAsia="YouYuan" w:hAnsi="YouYuan" w:cs="YouYuan"/>
                      <w:spacing w:val="-3"/>
                      <w:w w:val="89"/>
                      <w:sz w:val="21"/>
                      <w:szCs w:val="21"/>
                    </w:rPr>
                    <w:t>询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10852099</wp:posOffset>
            </wp:positionH>
            <wp:positionV relativeFrom="page">
              <wp:posOffset>260329</wp:posOffset>
            </wp:positionV>
            <wp:extent cx="1060460" cy="40009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60460" cy="40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6FC500"/>
          <w:spacing w:val="14"/>
          <w:sz w:val="70"/>
          <w:szCs w:val="70"/>
        </w:rPr>
        <w:t>元宇宙文化消费发展背景(2/6)</w:t>
      </w:r>
    </w:p>
    <w:p>
      <w:pPr>
        <w:spacing w:before="121" w:line="221" w:lineRule="auto"/>
        <w:ind w:left="29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1"/>
          <w:sz w:val="36"/>
          <w:szCs w:val="36"/>
        </w:rPr>
        <w:t>产业禀赋：文化消费有望成为元宇宙概念率先广泛应用的场景之一</w:t>
      </w:r>
    </w:p>
    <w:p>
      <w:pPr>
        <w:pStyle w:val="BodyText"/>
        <w:spacing w:line="332" w:lineRule="auto"/>
      </w:pPr>
    </w:p>
    <w:p>
      <w:pPr>
        <w:spacing w:before="82" w:line="243" w:lineRule="auto"/>
        <w:ind w:left="29" w:right="692"/>
        <w:jc w:val="both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0"/>
          <w:sz w:val="25"/>
          <w:szCs w:val="25"/>
        </w:rPr>
        <w:t>本报告认为，深厚的受众基础、构建入门级应用相对便利的技术要求以及成型度较高的商业模式，是推动文化消费领域成为各类新兴信息技术试验</w:t>
      </w:r>
      <w:r>
        <w:rPr>
          <w:rFonts w:ascii="SimHei" w:eastAsia="SimHei" w:hAnsi="SimHei" w:cs="SimHei"/>
          <w:spacing w:val="-11"/>
          <w:sz w:val="25"/>
          <w:szCs w:val="25"/>
        </w:rPr>
        <w:t>沃土的主要驱动</w:t>
      </w:r>
      <w:r>
        <w:rPr>
          <w:rFonts w:ascii="SimHei" w:eastAsia="SimHei" w:hAnsi="SimHei" w:cs="SimHei"/>
          <w:sz w:val="25"/>
          <w:szCs w:val="25"/>
        </w:rPr>
        <w:t xml:space="preserve">  </w:t>
      </w:r>
      <w:r>
        <w:rPr>
          <w:rFonts w:ascii="SimHei" w:eastAsia="SimHei" w:hAnsi="SimHei" w:cs="SimHei"/>
          <w:spacing w:val="-10"/>
          <w:sz w:val="25"/>
          <w:szCs w:val="25"/>
        </w:rPr>
        <w:t>力——这一轨迹在移动互联网时代已得到验证，在近年人工智能的商业化应用爆发中亦有迹可循，对于</w:t>
      </w:r>
      <w:r>
        <w:rPr>
          <w:rFonts w:ascii="SimHei" w:eastAsia="SimHei" w:hAnsi="SimHei" w:cs="SimHei"/>
          <w:spacing w:val="-11"/>
          <w:sz w:val="25"/>
          <w:szCs w:val="25"/>
        </w:rPr>
        <w:t>元宇宙概念的应用同样具有共通性。这三项驱动力共同作用，</w:t>
      </w:r>
      <w:r>
        <w:rPr>
          <w:rFonts w:ascii="SimHei" w:eastAsia="SimHei" w:hAnsi="SimHei" w:cs="SimHei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11"/>
          <w:sz w:val="25"/>
          <w:szCs w:val="25"/>
        </w:rPr>
        <w:t>推动文化消费在元宇宙概念实践的初期，成为兼具想象空间、落地能力与商业化潜力的应用领域。</w:t>
      </w:r>
    </w:p>
    <w:p>
      <w:pPr>
        <w:spacing w:before="258" w:line="213" w:lineRule="auto"/>
        <w:ind w:left="7793"/>
        <w:rPr>
          <w:rFonts w:ascii="SimHei" w:eastAsia="SimHei" w:hAnsi="SimHei" w:cs="SimHei"/>
          <w:sz w:val="25"/>
          <w:szCs w:val="2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387339</wp:posOffset>
            </wp:positionH>
            <wp:positionV relativeFrom="paragraph">
              <wp:posOffset>53371</wp:posOffset>
            </wp:positionV>
            <wp:extent cx="4984698" cy="368932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984698" cy="3689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受众</w:t>
      </w:r>
      <w:r>
        <w:rPr>
          <w:rFonts w:ascii="SimHei" w:eastAsia="SimHei" w:hAnsi="SimHei" w:cs="SimHei"/>
          <w:b/>
          <w:bCs/>
          <w:color w:val="40AF00"/>
          <w:spacing w:val="3"/>
          <w:sz w:val="25"/>
          <w:szCs w:val="25"/>
        </w:rPr>
        <w:t>基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础广泛，市场空间广阔</w:t>
      </w:r>
    </w:p>
    <w:p>
      <w:pPr>
        <w:spacing w:before="104" w:line="247" w:lineRule="auto"/>
        <w:ind w:left="7790" w:right="3199"/>
        <w:jc w:val="both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1"/>
          <w:sz w:val="21"/>
          <w:szCs w:val="21"/>
        </w:rPr>
        <w:t>文化消费领域的受众基础广泛，尤其是在数字原住民逐渐成为主流消费者，且更</w:t>
      </w:r>
      <w:r>
        <w:rPr>
          <w:rFonts w:ascii="SimHei" w:eastAsia="SimHei" w:hAnsi="SimHei" w:cs="SimHei"/>
          <w:spacing w:val="1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多年龄段、地区的大众随数字经济普及而对数字</w:t>
      </w:r>
      <w:r>
        <w:rPr>
          <w:rFonts w:ascii="SimHei" w:eastAsia="SimHei" w:hAnsi="SimHei" w:cs="SimHei"/>
          <w:spacing w:val="-11"/>
          <w:sz w:val="21"/>
          <w:szCs w:val="21"/>
        </w:rPr>
        <w:t>化的文化消费接受度不断提升的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情况下，给予了元宇宙在文化消费领域的应用广阔的市场空间</w:t>
      </w: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spacing w:before="81" w:line="213" w:lineRule="auto"/>
        <w:ind w:left="892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4"/>
          <w:sz w:val="25"/>
          <w:szCs w:val="25"/>
        </w:rPr>
        <w:t>技术便于落地，效果易于感知</w:t>
      </w:r>
    </w:p>
    <w:p>
      <w:pPr>
        <w:spacing w:before="84" w:line="247" w:lineRule="auto"/>
        <w:ind w:left="8919" w:right="1268"/>
        <w:jc w:val="both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相较于多数工业元宇宙领域，元宇宙在文化消费领域的应用</w:t>
      </w:r>
      <w:r>
        <w:rPr>
          <w:rFonts w:ascii="SimHei" w:eastAsia="SimHei" w:hAnsi="SimHei" w:cs="SimHei"/>
          <w:spacing w:val="-11"/>
          <w:sz w:val="21"/>
          <w:szCs w:val="21"/>
        </w:rPr>
        <w:t>对技术精度与延迟性的硬性门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1"/>
          <w:sz w:val="21"/>
          <w:szCs w:val="21"/>
        </w:rPr>
        <w:t>槛偏低，且部分技术实践在游戏、电影等领域的先锋厂商间已有一定积累，具有一定可参</w:t>
      </w:r>
      <w:r>
        <w:rPr>
          <w:rFonts w:ascii="SimHei" w:eastAsia="SimHei" w:hAnsi="SimHei" w:cs="SimHei"/>
          <w:spacing w:val="1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考、可复用的成分</w:t>
      </w:r>
    </w:p>
    <w:p>
      <w:pPr>
        <w:spacing w:before="108" w:line="251" w:lineRule="auto"/>
        <w:ind w:left="8919" w:right="127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1"/>
          <w:sz w:val="21"/>
          <w:szCs w:val="21"/>
        </w:rPr>
        <w:t>另一方面，文化消费的产业属性决定元宇宙在其中的应用，可以通过先推出初级版本，并</w:t>
      </w:r>
      <w:r>
        <w:rPr>
          <w:rFonts w:ascii="SimHei" w:eastAsia="SimHei" w:hAnsi="SimHei" w:cs="SimHei"/>
          <w:spacing w:val="1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1"/>
          <w:sz w:val="21"/>
          <w:szCs w:val="21"/>
        </w:rPr>
        <w:t>根据大众的体验反馈与技术演进持续打磨迭代</w:t>
      </w:r>
    </w:p>
    <w:p>
      <w:pPr>
        <w:pStyle w:val="BodyText"/>
        <w:spacing w:line="451" w:lineRule="auto"/>
      </w:pPr>
    </w:p>
    <w:p>
      <w:pPr>
        <w:spacing w:before="82" w:line="213" w:lineRule="auto"/>
        <w:ind w:left="779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4"/>
          <w:sz w:val="25"/>
          <w:szCs w:val="25"/>
        </w:rPr>
        <w:t>具有成型的商业模式，规模效应较为明显</w:t>
      </w:r>
    </w:p>
    <w:p>
      <w:pPr>
        <w:spacing w:before="85" w:line="243" w:lineRule="auto"/>
        <w:ind w:left="7790" w:right="300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在文化消费领域，元宇宙除打造新的商业模式，</w:t>
      </w:r>
      <w:r>
        <w:rPr>
          <w:rFonts w:ascii="SimHei" w:eastAsia="SimHei" w:hAnsi="SimHei" w:cs="SimHei"/>
          <w:spacing w:val="-11"/>
          <w:sz w:val="21"/>
          <w:szCs w:val="21"/>
        </w:rPr>
        <w:t>亦便于复用移动互联网时期的成熟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商业模式，以帮助其相关的技术应用在早期寻找盈利点</w:t>
      </w:r>
      <w:r>
        <w:rPr>
          <w:rFonts w:ascii="SimHei" w:eastAsia="SimHei" w:hAnsi="SimHei" w:cs="SimHei"/>
          <w:sz w:val="21"/>
          <w:szCs w:val="21"/>
        </w:rPr>
        <w:br/>
      </w:r>
      <w:r>
        <w:rPr>
          <w:rFonts w:ascii="SimHei" w:eastAsia="SimHei" w:hAnsi="SimHei" w:cs="SimHei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https://d.book118.com/395142244334011102</w:t>
        </w:r>
      </w:hyperlink>
    </w:p>
    <w:p>
      <w:pPr>
        <w:spacing w:before="85" w:line="243" w:lineRule="auto"/>
        <w:ind w:left="7790" w:right="3000"/>
        <w:rPr>
          <w:rFonts w:ascii="SimHei" w:eastAsia="SimHei" w:hAnsi="SimHei" w:cs="SimHei"/>
          <w:sz w:val="21"/>
          <w:szCs w:val="21"/>
        </w:rPr>
      </w:pPr>
    </w:p>
    <w:sectPr>
      <w:footerReference w:type="default" r:id="rId27"/>
      <w:pgSz w:w="19200" w:h="10800"/>
      <w:pgMar w:top="409" w:right="412" w:bottom="236" w:left="810" w:header="0" w:footer="0" w:gutter="0"/>
      <w:pgNumType w:start="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3.xml" /><Relationship Id="rId12" Type="http://schemas.openxmlformats.org/officeDocument/2006/relationships/image" Target="media/image6.jpeg" /><Relationship Id="rId13" Type="http://schemas.openxmlformats.org/officeDocument/2006/relationships/image" Target="media/image7.png" /><Relationship Id="rId14" Type="http://schemas.openxmlformats.org/officeDocument/2006/relationships/image" Target="media/image8.jpeg" /><Relationship Id="rId15" Type="http://schemas.openxmlformats.org/officeDocument/2006/relationships/footer" Target="footer4.xml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image" Target="media/image11.jpeg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footer" Target="footer7.xml" /><Relationship Id="rId22" Type="http://schemas.openxmlformats.org/officeDocument/2006/relationships/image" Target="media/image12.jpeg" /><Relationship Id="rId23" Type="http://schemas.openxmlformats.org/officeDocument/2006/relationships/image" Target="media/image13.jpeg" /><Relationship Id="rId24" Type="http://schemas.openxmlformats.org/officeDocument/2006/relationships/image" Target="media/image14.jpeg" /><Relationship Id="rId25" Type="http://schemas.openxmlformats.org/officeDocument/2006/relationships/image" Target="media/image15.jpeg" /><Relationship Id="rId26" Type="http://schemas.openxmlformats.org/officeDocument/2006/relationships/hyperlink" Target="https://d.book118.com/395142244334011102" TargetMode="External" /><Relationship Id="rId27" Type="http://schemas.openxmlformats.org/officeDocument/2006/relationships/footer" Target="footer8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2024-02-04T23:19:06Z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2024-02-04T23:19:23Z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65bfaae0e4703b00207c782ewl</vt:lpwstr>
  </property>
</Properties>
</file>