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水溶性高分子化合物项目计划设计方案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1" w:history="1">
        <w:r>
          <w:rPr>
            <w:rFonts w:ascii="仿宋" w:eastAsia="仿宋" w:hAnsi="仿宋" w:cs="仿宋" w:hint="eastAsia"/>
            <w:lang w:eastAsia="zh-CN"/>
          </w:rPr>
          <w:t>概论</w:t>
        </w:r>
        <w:r>
          <w:tab/>
        </w:r>
        <w:r>
          <w:fldChar w:fldCharType="begin"/>
        </w:r>
        <w:r>
          <w:instrText xml:space="preserve"> PAGEREF _Toc6851 \h </w:instrText>
        </w:r>
        <w:r>
          <w:fldChar w:fldCharType="separate"/>
        </w:r>
        <w:r>
          <w:t>3</w:t>
        </w:r>
        <w:r>
          <w:fldChar w:fldCharType="end"/>
        </w:r>
      </w:hyperlink>
    </w:p>
    <w:p>
      <w:pPr>
        <w:pStyle w:val="TOC1"/>
        <w:tabs>
          <w:tab w:val="right" w:leader="dot" w:pos="8306"/>
        </w:tabs>
      </w:pPr>
      <w:hyperlink w:anchor="_Toc21475" w:history="1">
        <w:r>
          <w:rPr>
            <w:rFonts w:ascii="仿宋" w:eastAsia="仿宋" w:hAnsi="仿宋" w:cs="仿宋" w:hint="eastAsia"/>
            <w:lang w:eastAsia="zh-CN"/>
          </w:rPr>
          <w:t>一、水溶性高分子化合物项目危机管理</w:t>
        </w:r>
        <w:r>
          <w:tab/>
        </w:r>
        <w:r>
          <w:fldChar w:fldCharType="begin"/>
        </w:r>
        <w:r>
          <w:instrText xml:space="preserve"> PAGEREF _Toc21475 \h </w:instrText>
        </w:r>
        <w:r>
          <w:fldChar w:fldCharType="separate"/>
        </w:r>
        <w:r>
          <w:t>3</w:t>
        </w:r>
        <w:r>
          <w:fldChar w:fldCharType="end"/>
        </w:r>
      </w:hyperlink>
    </w:p>
    <w:p>
      <w:pPr>
        <w:pStyle w:val="TOC2"/>
        <w:tabs>
          <w:tab w:val="right" w:leader="dot" w:pos="8306"/>
        </w:tabs>
      </w:pPr>
      <w:hyperlink w:anchor="_Toc26222" w:history="1">
        <w:r>
          <w:rPr>
            <w:rFonts w:ascii="仿宋" w:eastAsia="仿宋" w:hAnsi="仿宋" w:cs="仿宋" w:hint="eastAsia"/>
            <w:lang w:eastAsia="zh-CN"/>
          </w:rPr>
          <w:t>(一)、危机预警与识别</w:t>
        </w:r>
        <w:r>
          <w:tab/>
        </w:r>
        <w:r>
          <w:fldChar w:fldCharType="begin"/>
        </w:r>
        <w:r>
          <w:instrText xml:space="preserve"> PAGEREF _Toc26222 \h </w:instrText>
        </w:r>
        <w:r>
          <w:fldChar w:fldCharType="separate"/>
        </w:r>
        <w:r>
          <w:t>3</w:t>
        </w:r>
        <w:r>
          <w:fldChar w:fldCharType="end"/>
        </w:r>
      </w:hyperlink>
    </w:p>
    <w:p>
      <w:pPr>
        <w:pStyle w:val="TOC2"/>
        <w:tabs>
          <w:tab w:val="right" w:leader="dot" w:pos="8306"/>
        </w:tabs>
      </w:pPr>
      <w:hyperlink w:anchor="_Toc24829" w:history="1">
        <w:r>
          <w:rPr>
            <w:rFonts w:ascii="仿宋" w:eastAsia="仿宋" w:hAnsi="仿宋" w:cs="仿宋" w:hint="eastAsia"/>
            <w:lang w:eastAsia="zh-CN"/>
          </w:rPr>
          <w:t>(二)、危机应对与恢复</w:t>
        </w:r>
        <w:r>
          <w:tab/>
        </w:r>
        <w:r>
          <w:fldChar w:fldCharType="begin"/>
        </w:r>
        <w:r>
          <w:instrText xml:space="preserve"> PAGEREF _Toc24829 \h </w:instrText>
        </w:r>
        <w:r>
          <w:fldChar w:fldCharType="separate"/>
        </w:r>
        <w:r>
          <w:t>4</w:t>
        </w:r>
        <w:r>
          <w:fldChar w:fldCharType="end"/>
        </w:r>
      </w:hyperlink>
    </w:p>
    <w:p>
      <w:pPr>
        <w:pStyle w:val="TOC1"/>
        <w:tabs>
          <w:tab w:val="right" w:leader="dot" w:pos="8306"/>
        </w:tabs>
      </w:pPr>
      <w:hyperlink w:anchor="_Toc22252" w:history="1">
        <w:r>
          <w:rPr>
            <w:rFonts w:ascii="仿宋" w:eastAsia="仿宋" w:hAnsi="仿宋" w:cs="仿宋" w:hint="eastAsia"/>
            <w:lang w:eastAsia="zh-CN"/>
          </w:rPr>
          <w:t>二、水溶性高分子化合物项目建设背景及必要性分析</w:t>
        </w:r>
        <w:r>
          <w:tab/>
        </w:r>
        <w:r>
          <w:fldChar w:fldCharType="begin"/>
        </w:r>
        <w:r>
          <w:instrText xml:space="preserve"> PAGEREF _Toc22252 \h </w:instrText>
        </w:r>
        <w:r>
          <w:fldChar w:fldCharType="separate"/>
        </w:r>
        <w:r>
          <w:t>6</w:t>
        </w:r>
        <w:r>
          <w:fldChar w:fldCharType="end"/>
        </w:r>
      </w:hyperlink>
    </w:p>
    <w:p>
      <w:pPr>
        <w:pStyle w:val="TOC2"/>
        <w:tabs>
          <w:tab w:val="right" w:leader="dot" w:pos="8306"/>
        </w:tabs>
      </w:pPr>
      <w:hyperlink w:anchor="_Toc4027" w:history="1">
        <w:r>
          <w:rPr>
            <w:rFonts w:ascii="仿宋" w:eastAsia="仿宋" w:hAnsi="仿宋" w:cs="仿宋" w:hint="eastAsia"/>
            <w:lang w:eastAsia="zh-CN"/>
          </w:rPr>
          <w:t>(一)、水溶性高分子化合物项目背景分析</w:t>
        </w:r>
        <w:r>
          <w:tab/>
        </w:r>
        <w:r>
          <w:fldChar w:fldCharType="begin"/>
        </w:r>
        <w:r>
          <w:instrText xml:space="preserve"> PAGEREF _Toc4027 \h </w:instrText>
        </w:r>
        <w:r>
          <w:fldChar w:fldCharType="separate"/>
        </w:r>
        <w:r>
          <w:t>6</w:t>
        </w:r>
        <w:r>
          <w:fldChar w:fldCharType="end"/>
        </w:r>
      </w:hyperlink>
    </w:p>
    <w:p>
      <w:pPr>
        <w:pStyle w:val="TOC2"/>
        <w:tabs>
          <w:tab w:val="right" w:leader="dot" w:pos="8306"/>
        </w:tabs>
      </w:pPr>
      <w:hyperlink w:anchor="_Toc29482" w:history="1">
        <w:r>
          <w:rPr>
            <w:rFonts w:ascii="仿宋" w:eastAsia="仿宋" w:hAnsi="仿宋" w:cs="仿宋" w:hint="eastAsia"/>
            <w:lang w:eastAsia="zh-CN"/>
          </w:rPr>
          <w:t>(二)、水溶性高分子化合物项目建设必要性分析</w:t>
        </w:r>
        <w:r>
          <w:tab/>
        </w:r>
        <w:r>
          <w:fldChar w:fldCharType="begin"/>
        </w:r>
        <w:r>
          <w:instrText xml:space="preserve"> PAGEREF _Toc29482 \h </w:instrText>
        </w:r>
        <w:r>
          <w:fldChar w:fldCharType="separate"/>
        </w:r>
        <w:r>
          <w:t>7</w:t>
        </w:r>
        <w:r>
          <w:fldChar w:fldCharType="end"/>
        </w:r>
      </w:hyperlink>
    </w:p>
    <w:p>
      <w:pPr>
        <w:pStyle w:val="TOC1"/>
        <w:tabs>
          <w:tab w:val="right" w:leader="dot" w:pos="8306"/>
        </w:tabs>
      </w:pPr>
      <w:hyperlink w:anchor="_Toc17975" w:history="1">
        <w:r>
          <w:rPr>
            <w:rFonts w:ascii="仿宋" w:eastAsia="仿宋" w:hAnsi="仿宋" w:cs="仿宋" w:hint="eastAsia"/>
            <w:lang w:eastAsia="zh-CN"/>
          </w:rPr>
          <w:t>三、产品规划分析</w:t>
        </w:r>
        <w:r>
          <w:tab/>
        </w:r>
        <w:r>
          <w:fldChar w:fldCharType="begin"/>
        </w:r>
        <w:r>
          <w:instrText xml:space="preserve"> PAGEREF _Toc17975 \h </w:instrText>
        </w:r>
        <w:r>
          <w:fldChar w:fldCharType="separate"/>
        </w:r>
        <w:r>
          <w:t>9</w:t>
        </w:r>
        <w:r>
          <w:fldChar w:fldCharType="end"/>
        </w:r>
      </w:hyperlink>
    </w:p>
    <w:p>
      <w:pPr>
        <w:pStyle w:val="TOC2"/>
        <w:tabs>
          <w:tab w:val="right" w:leader="dot" w:pos="8306"/>
        </w:tabs>
      </w:pPr>
      <w:hyperlink w:anchor="_Toc8244" w:history="1">
        <w:r>
          <w:rPr>
            <w:rFonts w:ascii="仿宋" w:eastAsia="仿宋" w:hAnsi="仿宋" w:cs="仿宋" w:hint="eastAsia"/>
            <w:lang w:eastAsia="zh-CN"/>
          </w:rPr>
          <w:t>(一)、产品规划</w:t>
        </w:r>
        <w:r>
          <w:tab/>
        </w:r>
        <w:r>
          <w:fldChar w:fldCharType="begin"/>
        </w:r>
        <w:r>
          <w:instrText xml:space="preserve"> PAGEREF _Toc8244 \h </w:instrText>
        </w:r>
        <w:r>
          <w:fldChar w:fldCharType="separate"/>
        </w:r>
        <w:r>
          <w:t>9</w:t>
        </w:r>
        <w:r>
          <w:fldChar w:fldCharType="end"/>
        </w:r>
      </w:hyperlink>
    </w:p>
    <w:p>
      <w:pPr>
        <w:pStyle w:val="TOC2"/>
        <w:tabs>
          <w:tab w:val="right" w:leader="dot" w:pos="8306"/>
        </w:tabs>
      </w:pPr>
      <w:hyperlink w:anchor="_Toc30527" w:history="1">
        <w:r>
          <w:rPr>
            <w:rFonts w:ascii="仿宋" w:eastAsia="仿宋" w:hAnsi="仿宋" w:cs="仿宋" w:hint="eastAsia"/>
            <w:lang w:eastAsia="zh-CN"/>
          </w:rPr>
          <w:t>(二)、建设规模</w:t>
        </w:r>
        <w:r>
          <w:tab/>
        </w:r>
        <w:r>
          <w:fldChar w:fldCharType="begin"/>
        </w:r>
        <w:r>
          <w:instrText xml:space="preserve"> PAGEREF _Toc30527 \h </w:instrText>
        </w:r>
        <w:r>
          <w:fldChar w:fldCharType="separate"/>
        </w:r>
        <w:r>
          <w:t>10</w:t>
        </w:r>
        <w:r>
          <w:fldChar w:fldCharType="end"/>
        </w:r>
      </w:hyperlink>
    </w:p>
    <w:p>
      <w:pPr>
        <w:pStyle w:val="TOC1"/>
        <w:tabs>
          <w:tab w:val="right" w:leader="dot" w:pos="8306"/>
        </w:tabs>
      </w:pPr>
      <w:hyperlink w:anchor="_Toc26568" w:history="1">
        <w:r>
          <w:rPr>
            <w:rFonts w:ascii="仿宋" w:eastAsia="仿宋" w:hAnsi="仿宋" w:cs="仿宋" w:hint="eastAsia"/>
            <w:lang w:eastAsia="zh-CN"/>
          </w:rPr>
          <w:t>四、水溶性高分子化合物项目土建工程</w:t>
        </w:r>
        <w:r>
          <w:tab/>
        </w:r>
        <w:r>
          <w:fldChar w:fldCharType="begin"/>
        </w:r>
        <w:r>
          <w:instrText xml:space="preserve"> PAGEREF _Toc26568 \h </w:instrText>
        </w:r>
        <w:r>
          <w:fldChar w:fldCharType="separate"/>
        </w:r>
        <w:r>
          <w:t>11</w:t>
        </w:r>
        <w:r>
          <w:fldChar w:fldCharType="end"/>
        </w:r>
      </w:hyperlink>
    </w:p>
    <w:p>
      <w:pPr>
        <w:pStyle w:val="TOC2"/>
        <w:tabs>
          <w:tab w:val="right" w:leader="dot" w:pos="8306"/>
        </w:tabs>
      </w:pPr>
      <w:hyperlink w:anchor="_Toc1819" w:history="1">
        <w:r>
          <w:rPr>
            <w:rFonts w:ascii="仿宋" w:eastAsia="仿宋" w:hAnsi="仿宋" w:cs="仿宋" w:hint="eastAsia"/>
            <w:lang w:eastAsia="zh-CN"/>
          </w:rPr>
          <w:t>(一)、建筑工程设计原则</w:t>
        </w:r>
        <w:r>
          <w:tab/>
        </w:r>
        <w:r>
          <w:fldChar w:fldCharType="begin"/>
        </w:r>
        <w:r>
          <w:instrText xml:space="preserve"> PAGEREF _Toc1819 \h </w:instrText>
        </w:r>
        <w:r>
          <w:fldChar w:fldCharType="separate"/>
        </w:r>
        <w:r>
          <w:t>11</w:t>
        </w:r>
        <w:r>
          <w:fldChar w:fldCharType="end"/>
        </w:r>
      </w:hyperlink>
    </w:p>
    <w:p>
      <w:pPr>
        <w:pStyle w:val="TOC2"/>
        <w:tabs>
          <w:tab w:val="right" w:leader="dot" w:pos="8306"/>
        </w:tabs>
      </w:pPr>
      <w:hyperlink w:anchor="_Toc8333" w:history="1">
        <w:r>
          <w:rPr>
            <w:rFonts w:ascii="仿宋" w:eastAsia="仿宋" w:hAnsi="仿宋" w:cs="仿宋" w:hint="eastAsia"/>
            <w:lang w:eastAsia="zh-CN"/>
          </w:rPr>
          <w:t>(二)、土建工程设计年限及安全等级</w:t>
        </w:r>
        <w:r>
          <w:tab/>
        </w:r>
        <w:r>
          <w:fldChar w:fldCharType="begin"/>
        </w:r>
        <w:r>
          <w:instrText xml:space="preserve"> PAGEREF _Toc8333 \h </w:instrText>
        </w:r>
        <w:r>
          <w:fldChar w:fldCharType="separate"/>
        </w:r>
        <w:r>
          <w:t>12</w:t>
        </w:r>
        <w:r>
          <w:fldChar w:fldCharType="end"/>
        </w:r>
      </w:hyperlink>
    </w:p>
    <w:p>
      <w:pPr>
        <w:pStyle w:val="TOC2"/>
        <w:tabs>
          <w:tab w:val="right" w:leader="dot" w:pos="8306"/>
        </w:tabs>
      </w:pPr>
      <w:hyperlink w:anchor="_Toc20328" w:history="1">
        <w:r>
          <w:rPr>
            <w:rFonts w:ascii="仿宋" w:eastAsia="仿宋" w:hAnsi="仿宋" w:cs="仿宋" w:hint="eastAsia"/>
            <w:lang w:eastAsia="zh-CN"/>
          </w:rPr>
          <w:t>(三)、建筑工程设计总体要求</w:t>
        </w:r>
        <w:r>
          <w:tab/>
        </w:r>
        <w:r>
          <w:fldChar w:fldCharType="begin"/>
        </w:r>
        <w:r>
          <w:instrText xml:space="preserve"> PAGEREF _Toc20328 \h </w:instrText>
        </w:r>
        <w:r>
          <w:fldChar w:fldCharType="separate"/>
        </w:r>
        <w:r>
          <w:t>13</w:t>
        </w:r>
        <w:r>
          <w:fldChar w:fldCharType="end"/>
        </w:r>
      </w:hyperlink>
    </w:p>
    <w:p>
      <w:pPr>
        <w:pStyle w:val="TOC2"/>
        <w:tabs>
          <w:tab w:val="right" w:leader="dot" w:pos="8306"/>
        </w:tabs>
      </w:pPr>
      <w:hyperlink w:anchor="_Toc27888" w:history="1">
        <w:r>
          <w:rPr>
            <w:rFonts w:ascii="仿宋" w:eastAsia="仿宋" w:hAnsi="仿宋" w:cs="仿宋" w:hint="eastAsia"/>
            <w:lang w:eastAsia="zh-CN"/>
          </w:rPr>
          <w:t>(四)、土建工程建设指标</w:t>
        </w:r>
        <w:r>
          <w:tab/>
        </w:r>
        <w:r>
          <w:fldChar w:fldCharType="begin"/>
        </w:r>
        <w:r>
          <w:instrText xml:space="preserve"> PAGEREF _Toc27888 \h </w:instrText>
        </w:r>
        <w:r>
          <w:fldChar w:fldCharType="separate"/>
        </w:r>
        <w:r>
          <w:t>14</w:t>
        </w:r>
        <w:r>
          <w:fldChar w:fldCharType="end"/>
        </w:r>
      </w:hyperlink>
    </w:p>
    <w:p>
      <w:pPr>
        <w:pStyle w:val="TOC1"/>
        <w:tabs>
          <w:tab w:val="right" w:leader="dot" w:pos="8306"/>
        </w:tabs>
      </w:pPr>
      <w:hyperlink w:anchor="_Toc773" w:history="1">
        <w:r>
          <w:rPr>
            <w:rFonts w:ascii="仿宋" w:eastAsia="仿宋" w:hAnsi="仿宋" w:cs="仿宋" w:hint="eastAsia"/>
            <w:lang w:eastAsia="zh-CN"/>
          </w:rPr>
          <w:t>五、水溶性高分子化合物项目概论</w:t>
        </w:r>
        <w:r>
          <w:tab/>
        </w:r>
        <w:r>
          <w:fldChar w:fldCharType="begin"/>
        </w:r>
        <w:r>
          <w:instrText xml:space="preserve"> PAGEREF _Toc773 \h </w:instrText>
        </w:r>
        <w:r>
          <w:fldChar w:fldCharType="separate"/>
        </w:r>
        <w:r>
          <w:t>14</w:t>
        </w:r>
        <w:r>
          <w:fldChar w:fldCharType="end"/>
        </w:r>
      </w:hyperlink>
    </w:p>
    <w:p>
      <w:pPr>
        <w:pStyle w:val="TOC2"/>
        <w:tabs>
          <w:tab w:val="right" w:leader="dot" w:pos="8306"/>
        </w:tabs>
      </w:pPr>
      <w:hyperlink w:anchor="_Toc28144" w:history="1">
        <w:r>
          <w:rPr>
            <w:rFonts w:ascii="仿宋" w:eastAsia="仿宋" w:hAnsi="仿宋" w:cs="仿宋" w:hint="eastAsia"/>
            <w:lang w:eastAsia="zh-CN"/>
          </w:rPr>
          <w:t>(一)、水溶性高分子化合物项目概况</w:t>
        </w:r>
        <w:r>
          <w:tab/>
        </w:r>
        <w:r>
          <w:fldChar w:fldCharType="begin"/>
        </w:r>
        <w:r>
          <w:instrText xml:space="preserve"> PAGEREF _Toc28144 \h </w:instrText>
        </w:r>
        <w:r>
          <w:fldChar w:fldCharType="separate"/>
        </w:r>
        <w:r>
          <w:t>14</w:t>
        </w:r>
        <w:r>
          <w:fldChar w:fldCharType="end"/>
        </w:r>
      </w:hyperlink>
    </w:p>
    <w:p>
      <w:pPr>
        <w:pStyle w:val="TOC2"/>
        <w:tabs>
          <w:tab w:val="right" w:leader="dot" w:pos="8306"/>
        </w:tabs>
      </w:pPr>
      <w:hyperlink w:anchor="_Toc31264" w:history="1">
        <w:r>
          <w:rPr>
            <w:rFonts w:ascii="仿宋" w:eastAsia="仿宋" w:hAnsi="仿宋" w:cs="仿宋" w:hint="eastAsia"/>
            <w:lang w:eastAsia="zh-CN"/>
          </w:rPr>
          <w:t>(二)、水溶性高分子化合物项目目标</w:t>
        </w:r>
        <w:r>
          <w:tab/>
        </w:r>
        <w:r>
          <w:fldChar w:fldCharType="begin"/>
        </w:r>
        <w:r>
          <w:instrText xml:space="preserve"> PAGEREF _Toc31264 \h </w:instrText>
        </w:r>
        <w:r>
          <w:fldChar w:fldCharType="separate"/>
        </w:r>
        <w:r>
          <w:t>17</w:t>
        </w:r>
        <w:r>
          <w:fldChar w:fldCharType="end"/>
        </w:r>
      </w:hyperlink>
    </w:p>
    <w:p>
      <w:pPr>
        <w:pStyle w:val="TOC2"/>
        <w:tabs>
          <w:tab w:val="right" w:leader="dot" w:pos="8306"/>
        </w:tabs>
      </w:pPr>
      <w:hyperlink w:anchor="_Toc12652" w:history="1">
        <w:r>
          <w:rPr>
            <w:rFonts w:ascii="仿宋" w:eastAsia="仿宋" w:hAnsi="仿宋" w:cs="仿宋" w:hint="eastAsia"/>
            <w:lang w:eastAsia="zh-CN"/>
          </w:rPr>
          <w:t>(三)、水溶性高分子化合物项目提出的理由</w:t>
        </w:r>
        <w:r>
          <w:tab/>
        </w:r>
        <w:r>
          <w:fldChar w:fldCharType="begin"/>
        </w:r>
        <w:r>
          <w:instrText xml:space="preserve"> PAGEREF _Toc12652 \h </w:instrText>
        </w:r>
        <w:r>
          <w:fldChar w:fldCharType="separate"/>
        </w:r>
        <w:r>
          <w:t>18</w:t>
        </w:r>
        <w:r>
          <w:fldChar w:fldCharType="end"/>
        </w:r>
      </w:hyperlink>
    </w:p>
    <w:p>
      <w:pPr>
        <w:pStyle w:val="TOC2"/>
        <w:tabs>
          <w:tab w:val="right" w:leader="dot" w:pos="8306"/>
        </w:tabs>
      </w:pPr>
      <w:hyperlink w:anchor="_Toc28641" w:history="1">
        <w:r>
          <w:rPr>
            <w:rFonts w:ascii="仿宋" w:eastAsia="仿宋" w:hAnsi="仿宋" w:cs="仿宋" w:hint="eastAsia"/>
            <w:lang w:eastAsia="zh-CN"/>
          </w:rPr>
          <w:t>(四)、水溶性高分子化合物项目意义</w:t>
        </w:r>
        <w:r>
          <w:tab/>
        </w:r>
        <w:r>
          <w:fldChar w:fldCharType="begin"/>
        </w:r>
        <w:r>
          <w:instrText xml:space="preserve"> PAGEREF _Toc28641 \h </w:instrText>
        </w:r>
        <w:r>
          <w:fldChar w:fldCharType="separate"/>
        </w:r>
        <w:r>
          <w:t>19</w:t>
        </w:r>
        <w:r>
          <w:fldChar w:fldCharType="end"/>
        </w:r>
      </w:hyperlink>
    </w:p>
    <w:p>
      <w:pPr>
        <w:pStyle w:val="TOC2"/>
        <w:tabs>
          <w:tab w:val="right" w:leader="dot" w:pos="8306"/>
        </w:tabs>
      </w:pPr>
      <w:hyperlink w:anchor="_Toc24489" w:history="1">
        <w:r>
          <w:rPr>
            <w:rFonts w:ascii="仿宋" w:eastAsia="仿宋" w:hAnsi="仿宋" w:cs="仿宋" w:hint="eastAsia"/>
            <w:lang w:eastAsia="zh-CN"/>
          </w:rPr>
          <w:t>(五)、水溶性高分子化合物项目背景</w:t>
        </w:r>
        <w:r>
          <w:tab/>
        </w:r>
        <w:r>
          <w:fldChar w:fldCharType="begin"/>
        </w:r>
        <w:r>
          <w:instrText xml:space="preserve"> PAGEREF _Toc24489 \h </w:instrText>
        </w:r>
        <w:r>
          <w:fldChar w:fldCharType="separate"/>
        </w:r>
        <w:r>
          <w:t>20</w:t>
        </w:r>
        <w:r>
          <w:fldChar w:fldCharType="end"/>
        </w:r>
      </w:hyperlink>
    </w:p>
    <w:p>
      <w:pPr>
        <w:pStyle w:val="TOC1"/>
        <w:tabs>
          <w:tab w:val="right" w:leader="dot" w:pos="8306"/>
        </w:tabs>
      </w:pPr>
      <w:hyperlink w:anchor="_Toc17995" w:history="1">
        <w:r>
          <w:rPr>
            <w:rFonts w:ascii="仿宋" w:eastAsia="仿宋" w:hAnsi="仿宋" w:cs="仿宋" w:hint="eastAsia"/>
            <w:lang w:eastAsia="zh-CN"/>
          </w:rPr>
          <w:t>六、水溶性高分子化合物项目文档管理</w:t>
        </w:r>
        <w:r>
          <w:tab/>
        </w:r>
        <w:r>
          <w:fldChar w:fldCharType="begin"/>
        </w:r>
        <w:r>
          <w:instrText xml:space="preserve"> PAGEREF _Toc17995 \h </w:instrText>
        </w:r>
        <w:r>
          <w:fldChar w:fldCharType="separate"/>
        </w:r>
        <w:r>
          <w:t>21</w:t>
        </w:r>
        <w:r>
          <w:fldChar w:fldCharType="end"/>
        </w:r>
      </w:hyperlink>
    </w:p>
    <w:p>
      <w:pPr>
        <w:pStyle w:val="TOC2"/>
        <w:tabs>
          <w:tab w:val="right" w:leader="dot" w:pos="8306"/>
        </w:tabs>
      </w:pPr>
      <w:hyperlink w:anchor="_Toc2596" w:history="1">
        <w:r>
          <w:rPr>
            <w:rFonts w:ascii="仿宋" w:eastAsia="仿宋" w:hAnsi="仿宋" w:cs="仿宋" w:hint="eastAsia"/>
            <w:lang w:eastAsia="zh-CN"/>
          </w:rPr>
          <w:t>(一)、文档编制与审查</w:t>
        </w:r>
        <w:r>
          <w:tab/>
        </w:r>
        <w:r>
          <w:fldChar w:fldCharType="begin"/>
        </w:r>
        <w:r>
          <w:instrText xml:space="preserve"> PAGEREF _Toc2596 \h </w:instrText>
        </w:r>
        <w:r>
          <w:fldChar w:fldCharType="separate"/>
        </w:r>
        <w:r>
          <w:t>21</w:t>
        </w:r>
        <w:r>
          <w:fldChar w:fldCharType="end"/>
        </w:r>
      </w:hyperlink>
    </w:p>
    <w:p>
      <w:pPr>
        <w:pStyle w:val="TOC2"/>
        <w:tabs>
          <w:tab w:val="right" w:leader="dot" w:pos="8306"/>
        </w:tabs>
      </w:pPr>
      <w:hyperlink w:anchor="_Toc19019" w:history="1">
        <w:r>
          <w:rPr>
            <w:rFonts w:ascii="仿宋" w:eastAsia="仿宋" w:hAnsi="仿宋" w:cs="仿宋" w:hint="eastAsia"/>
            <w:lang w:eastAsia="zh-CN"/>
          </w:rPr>
          <w:t>(二)、文档发布与分发</w:t>
        </w:r>
        <w:r>
          <w:tab/>
        </w:r>
        <w:r>
          <w:fldChar w:fldCharType="begin"/>
        </w:r>
        <w:r>
          <w:instrText xml:space="preserve"> PAGEREF _Toc19019 \h </w:instrText>
        </w:r>
        <w:r>
          <w:fldChar w:fldCharType="separate"/>
        </w:r>
        <w:r>
          <w:t>23</w:t>
        </w:r>
        <w:r>
          <w:fldChar w:fldCharType="end"/>
        </w:r>
      </w:hyperlink>
    </w:p>
    <w:p>
      <w:pPr>
        <w:pStyle w:val="TOC2"/>
        <w:tabs>
          <w:tab w:val="right" w:leader="dot" w:pos="8306"/>
        </w:tabs>
      </w:pPr>
      <w:hyperlink w:anchor="_Toc19957" w:history="1">
        <w:r>
          <w:rPr>
            <w:rFonts w:ascii="仿宋" w:eastAsia="仿宋" w:hAnsi="仿宋" w:cs="仿宋" w:hint="eastAsia"/>
            <w:lang w:eastAsia="zh-CN"/>
          </w:rPr>
          <w:t>(三)、文档存档与归档</w:t>
        </w:r>
        <w:r>
          <w:tab/>
        </w:r>
        <w:r>
          <w:fldChar w:fldCharType="begin"/>
        </w:r>
        <w:r>
          <w:instrText xml:space="preserve"> PAGEREF _Toc19957 \h </w:instrText>
        </w:r>
        <w:r>
          <w:fldChar w:fldCharType="separate"/>
        </w:r>
        <w:r>
          <w:t>24</w:t>
        </w:r>
        <w:r>
          <w:fldChar w:fldCharType="end"/>
        </w:r>
      </w:hyperlink>
    </w:p>
    <w:p>
      <w:pPr>
        <w:pStyle w:val="TOC1"/>
        <w:tabs>
          <w:tab w:val="right" w:leader="dot" w:pos="8306"/>
        </w:tabs>
      </w:pPr>
      <w:hyperlink w:anchor="_Toc264" w:history="1">
        <w:r>
          <w:rPr>
            <w:rFonts w:ascii="仿宋" w:eastAsia="仿宋" w:hAnsi="仿宋" w:cs="仿宋" w:hint="eastAsia"/>
            <w:lang w:eastAsia="zh-CN"/>
          </w:rPr>
          <w:t>七、水溶性高分子化合物项目技术管理</w:t>
        </w:r>
        <w:r>
          <w:tab/>
        </w:r>
        <w:r>
          <w:fldChar w:fldCharType="begin"/>
        </w:r>
        <w:r>
          <w:instrText xml:space="preserve"> PAGEREF _Toc264 \h </w:instrText>
        </w:r>
        <w:r>
          <w:fldChar w:fldCharType="separate"/>
        </w:r>
        <w:r>
          <w:t>25</w:t>
        </w:r>
        <w:r>
          <w:fldChar w:fldCharType="end"/>
        </w:r>
      </w:hyperlink>
    </w:p>
    <w:p>
      <w:pPr>
        <w:pStyle w:val="TOC2"/>
        <w:tabs>
          <w:tab w:val="right" w:leader="dot" w:pos="8306"/>
        </w:tabs>
      </w:pPr>
      <w:hyperlink w:anchor="_Toc20044" w:history="1">
        <w:r>
          <w:rPr>
            <w:rFonts w:ascii="仿宋" w:eastAsia="仿宋" w:hAnsi="仿宋" w:cs="仿宋" w:hint="eastAsia"/>
            <w:lang w:eastAsia="zh-CN"/>
          </w:rPr>
          <w:t>(一)、技术方案选用方向</w:t>
        </w:r>
        <w:r>
          <w:tab/>
        </w:r>
        <w:r>
          <w:fldChar w:fldCharType="begin"/>
        </w:r>
        <w:r>
          <w:instrText xml:space="preserve"> PAGEREF _Toc20044 \h </w:instrText>
        </w:r>
        <w:r>
          <w:fldChar w:fldCharType="separate"/>
        </w:r>
        <w:r>
          <w:t>25</w:t>
        </w:r>
        <w:r>
          <w:fldChar w:fldCharType="end"/>
        </w:r>
      </w:hyperlink>
    </w:p>
    <w:p>
      <w:pPr>
        <w:pStyle w:val="TOC2"/>
        <w:tabs>
          <w:tab w:val="right" w:leader="dot" w:pos="8306"/>
        </w:tabs>
      </w:pPr>
      <w:hyperlink w:anchor="_Toc4341" w:history="1">
        <w:r>
          <w:rPr>
            <w:rFonts w:ascii="仿宋" w:eastAsia="仿宋" w:hAnsi="仿宋" w:cs="仿宋" w:hint="eastAsia"/>
            <w:lang w:eastAsia="zh-CN"/>
          </w:rPr>
          <w:t>(二)、工艺技术方案选用原则</w:t>
        </w:r>
        <w:r>
          <w:tab/>
        </w:r>
        <w:r>
          <w:fldChar w:fldCharType="begin"/>
        </w:r>
        <w:r>
          <w:instrText xml:space="preserve"> PAGEREF _Toc4341 \h </w:instrText>
        </w:r>
        <w:r>
          <w:fldChar w:fldCharType="separate"/>
        </w:r>
        <w:r>
          <w:t>27</w:t>
        </w:r>
        <w:r>
          <w:fldChar w:fldCharType="end"/>
        </w:r>
      </w:hyperlink>
    </w:p>
    <w:p>
      <w:pPr>
        <w:pStyle w:val="TOC2"/>
        <w:tabs>
          <w:tab w:val="right" w:leader="dot" w:pos="8306"/>
        </w:tabs>
      </w:pPr>
      <w:hyperlink w:anchor="_Toc28622" w:history="1">
        <w:r>
          <w:rPr>
            <w:rFonts w:ascii="仿宋" w:eastAsia="仿宋" w:hAnsi="仿宋" w:cs="仿宋" w:hint="eastAsia"/>
            <w:lang w:eastAsia="zh-CN"/>
          </w:rPr>
          <w:t>(三)、工艺技术方案要求</w:t>
        </w:r>
        <w:r>
          <w:tab/>
        </w:r>
        <w:r>
          <w:fldChar w:fldCharType="begin"/>
        </w:r>
        <w:r>
          <w:instrText xml:space="preserve"> PAGEREF _Toc28622 \h </w:instrText>
        </w:r>
        <w:r>
          <w:fldChar w:fldCharType="separate"/>
        </w:r>
        <w:r>
          <w:t>29</w:t>
        </w:r>
        <w:r>
          <w:fldChar w:fldCharType="end"/>
        </w:r>
      </w:hyperlink>
    </w:p>
    <w:p>
      <w:pPr>
        <w:pStyle w:val="TOC1"/>
        <w:tabs>
          <w:tab w:val="right" w:leader="dot" w:pos="8306"/>
        </w:tabs>
      </w:pPr>
      <w:hyperlink w:anchor="_Toc11316" w:history="1">
        <w:r>
          <w:rPr>
            <w:rFonts w:ascii="仿宋" w:eastAsia="仿宋" w:hAnsi="仿宋" w:cs="仿宋" w:hint="eastAsia"/>
            <w:lang w:eastAsia="zh-CN"/>
          </w:rPr>
          <w:t>八、水溶性高分子化合物项目投资规划</w:t>
        </w:r>
        <w:r>
          <w:tab/>
        </w:r>
        <w:r>
          <w:fldChar w:fldCharType="begin"/>
        </w:r>
        <w:r>
          <w:instrText xml:space="preserve"> PAGEREF _Toc11316 \h </w:instrText>
        </w:r>
        <w:r>
          <w:fldChar w:fldCharType="separate"/>
        </w:r>
        <w:r>
          <w:t>31</w:t>
        </w:r>
        <w:r>
          <w:fldChar w:fldCharType="end"/>
        </w:r>
      </w:hyperlink>
    </w:p>
    <w:p>
      <w:pPr>
        <w:pStyle w:val="TOC2"/>
        <w:tabs>
          <w:tab w:val="right" w:leader="dot" w:pos="8306"/>
        </w:tabs>
      </w:pPr>
      <w:hyperlink w:anchor="_Toc17372" w:history="1">
        <w:r>
          <w:rPr>
            <w:rFonts w:ascii="仿宋" w:eastAsia="仿宋" w:hAnsi="仿宋" w:cs="仿宋" w:hint="eastAsia"/>
            <w:lang w:eastAsia="zh-CN"/>
          </w:rPr>
          <w:t>(一)、水溶性高分子化合物项目总投资估算</w:t>
        </w:r>
        <w:r>
          <w:tab/>
        </w:r>
        <w:r>
          <w:fldChar w:fldCharType="begin"/>
        </w:r>
        <w:r>
          <w:instrText xml:space="preserve"> PAGEREF _Toc17372 \h </w:instrText>
        </w:r>
        <w:r>
          <w:fldChar w:fldCharType="separate"/>
        </w:r>
        <w:r>
          <w:t>31</w:t>
        </w:r>
        <w:r>
          <w:fldChar w:fldCharType="end"/>
        </w:r>
      </w:hyperlink>
    </w:p>
    <w:p>
      <w:pPr>
        <w:pStyle w:val="TOC2"/>
        <w:tabs>
          <w:tab w:val="right" w:leader="dot" w:pos="8306"/>
        </w:tabs>
      </w:pPr>
      <w:hyperlink w:anchor="_Toc20297" w:history="1">
        <w:r>
          <w:rPr>
            <w:rFonts w:ascii="仿宋" w:eastAsia="仿宋" w:hAnsi="仿宋" w:cs="仿宋" w:hint="eastAsia"/>
            <w:lang w:eastAsia="zh-CN"/>
          </w:rPr>
          <w:t>(二)、资金筹措</w:t>
        </w:r>
        <w:r>
          <w:tab/>
        </w:r>
        <w:r>
          <w:fldChar w:fldCharType="begin"/>
        </w:r>
        <w:r>
          <w:instrText xml:space="preserve"> PAGEREF _Toc20297 \h </w:instrText>
        </w:r>
        <w:r>
          <w:fldChar w:fldCharType="separate"/>
        </w:r>
        <w:r>
          <w:t>32</w:t>
        </w:r>
        <w:r>
          <w:fldChar w:fldCharType="end"/>
        </w:r>
      </w:hyperlink>
    </w:p>
    <w:p>
      <w:pPr>
        <w:pStyle w:val="TOC1"/>
        <w:tabs>
          <w:tab w:val="right" w:leader="dot" w:pos="8306"/>
        </w:tabs>
      </w:pPr>
      <w:hyperlink w:anchor="_Toc19206" w:history="1">
        <w:r>
          <w:rPr>
            <w:rFonts w:ascii="仿宋" w:eastAsia="仿宋" w:hAnsi="仿宋" w:cs="仿宋" w:hint="eastAsia"/>
            <w:lang w:eastAsia="zh-CN"/>
          </w:rPr>
          <w:t>九、水溶性高分子化合物项目人力资源培养与发展</w:t>
        </w:r>
        <w:r>
          <w:tab/>
        </w:r>
        <w:r>
          <w:fldChar w:fldCharType="begin"/>
        </w:r>
        <w:r>
          <w:instrText xml:space="preserve"> PAGEREF _Toc19206 \h </w:instrText>
        </w:r>
        <w:r>
          <w:fldChar w:fldCharType="separate"/>
        </w:r>
        <w:r>
          <w:t>33</w:t>
        </w:r>
        <w:r>
          <w:fldChar w:fldCharType="end"/>
        </w:r>
      </w:hyperlink>
    </w:p>
    <w:p>
      <w:pPr>
        <w:pStyle w:val="TOC2"/>
        <w:tabs>
          <w:tab w:val="right" w:leader="dot" w:pos="8306"/>
        </w:tabs>
      </w:pPr>
      <w:hyperlink w:anchor="_Toc32305" w:history="1">
        <w:r>
          <w:rPr>
            <w:rFonts w:ascii="仿宋" w:eastAsia="仿宋" w:hAnsi="仿宋" w:cs="仿宋" w:hint="eastAsia"/>
            <w:lang w:eastAsia="zh-CN"/>
          </w:rPr>
          <w:t>(一)、人才需求与规划</w:t>
        </w:r>
        <w:r>
          <w:tab/>
        </w:r>
        <w:r>
          <w:fldChar w:fldCharType="begin"/>
        </w:r>
        <w:r>
          <w:instrText xml:space="preserve"> PAGEREF _Toc32305 \h </w:instrText>
        </w:r>
        <w:r>
          <w:fldChar w:fldCharType="separate"/>
        </w:r>
        <w:r>
          <w:t>33</w:t>
        </w:r>
        <w:r>
          <w:fldChar w:fldCharType="end"/>
        </w:r>
      </w:hyperlink>
    </w:p>
    <w:p>
      <w:pPr>
        <w:pStyle w:val="TOC2"/>
        <w:tabs>
          <w:tab w:val="right" w:leader="dot" w:pos="8306"/>
        </w:tabs>
      </w:pPr>
      <w:hyperlink w:anchor="_Toc12352" w:history="1">
        <w:r>
          <w:rPr>
            <w:rFonts w:ascii="仿宋" w:eastAsia="仿宋" w:hAnsi="仿宋" w:cs="仿宋" w:hint="eastAsia"/>
            <w:lang w:eastAsia="zh-CN"/>
          </w:rPr>
          <w:t>(二)、培训与发展计划</w:t>
        </w:r>
        <w:r>
          <w:tab/>
        </w:r>
        <w:r>
          <w:fldChar w:fldCharType="begin"/>
        </w:r>
        <w:r>
          <w:instrText xml:space="preserve"> PAGEREF _Toc12352 \h </w:instrText>
        </w:r>
        <w:r>
          <w:fldChar w:fldCharType="separate"/>
        </w:r>
        <w:r>
          <w:t>34</w:t>
        </w:r>
        <w:r>
          <w:fldChar w:fldCharType="end"/>
        </w:r>
      </w:hyperlink>
    </w:p>
    <w:p>
      <w:pPr>
        <w:pStyle w:val="TOC1"/>
        <w:tabs>
          <w:tab w:val="right" w:leader="dot" w:pos="8306"/>
        </w:tabs>
      </w:pPr>
      <w:hyperlink w:anchor="_Toc15184" w:history="1">
        <w:r>
          <w:rPr>
            <w:rFonts w:ascii="仿宋" w:eastAsia="仿宋" w:hAnsi="仿宋" w:cs="仿宋" w:hint="eastAsia"/>
            <w:lang w:eastAsia="zh-CN"/>
          </w:rPr>
          <w:t>十、水溶性高分子化合物项目环境影响分析</w:t>
        </w:r>
        <w:r>
          <w:tab/>
        </w:r>
        <w:r>
          <w:fldChar w:fldCharType="begin"/>
        </w:r>
        <w:r>
          <w:instrText xml:space="preserve"> PAGEREF _Toc15184 \h </w:instrText>
        </w:r>
        <w:r>
          <w:fldChar w:fldCharType="separate"/>
        </w:r>
        <w:r>
          <w:t>34</w:t>
        </w:r>
        <w:r>
          <w:fldChar w:fldCharType="end"/>
        </w:r>
      </w:hyperlink>
    </w:p>
    <w:p>
      <w:pPr>
        <w:pStyle w:val="TOC2"/>
        <w:tabs>
          <w:tab w:val="right" w:leader="dot" w:pos="8306"/>
        </w:tabs>
      </w:pPr>
      <w:hyperlink w:anchor="_Toc27283" w:history="1">
        <w:r>
          <w:rPr>
            <w:rFonts w:ascii="仿宋" w:eastAsia="仿宋" w:hAnsi="仿宋" w:cs="仿宋" w:hint="eastAsia"/>
            <w:lang w:eastAsia="zh-CN"/>
          </w:rPr>
          <w:t>(一)、建设区域环境质量现状</w:t>
        </w:r>
        <w:r>
          <w:tab/>
        </w:r>
        <w:r>
          <w:fldChar w:fldCharType="begin"/>
        </w:r>
        <w:r>
          <w:instrText xml:space="preserve"> PAGEREF _Toc27283 \h </w:instrText>
        </w:r>
        <w:r>
          <w:fldChar w:fldCharType="separate"/>
        </w:r>
        <w:r>
          <w:t>34</w:t>
        </w:r>
        <w:r>
          <w:fldChar w:fldCharType="end"/>
        </w:r>
      </w:hyperlink>
    </w:p>
    <w:p>
      <w:pPr>
        <w:pStyle w:val="TOC2"/>
        <w:tabs>
          <w:tab w:val="right" w:leader="dot" w:pos="8306"/>
        </w:tabs>
      </w:pPr>
      <w:hyperlink w:anchor="_Toc3813" w:history="1">
        <w:r>
          <w:rPr>
            <w:rFonts w:ascii="仿宋" w:eastAsia="仿宋" w:hAnsi="仿宋" w:cs="仿宋" w:hint="eastAsia"/>
            <w:lang w:eastAsia="zh-CN"/>
          </w:rPr>
          <w:t>(二)、建设期环境保护</w:t>
        </w:r>
        <w:r>
          <w:tab/>
        </w:r>
        <w:r>
          <w:fldChar w:fldCharType="begin"/>
        </w:r>
        <w:r>
          <w:instrText xml:space="preserve"> PAGEREF _Toc3813 \h </w:instrText>
        </w:r>
        <w:r>
          <w:fldChar w:fldCharType="separate"/>
        </w:r>
        <w:r>
          <w:t>36</w:t>
        </w:r>
        <w:r>
          <w:fldChar w:fldCharType="end"/>
        </w:r>
      </w:hyperlink>
    </w:p>
    <w:p>
      <w:pPr>
        <w:pStyle w:val="TOC2"/>
        <w:tabs>
          <w:tab w:val="right" w:leader="dot" w:pos="8306"/>
        </w:tabs>
      </w:pPr>
      <w:hyperlink w:anchor="_Toc24913" w:history="1">
        <w:r>
          <w:rPr>
            <w:rFonts w:ascii="仿宋" w:eastAsia="仿宋" w:hAnsi="仿宋" w:cs="仿宋" w:hint="eastAsia"/>
            <w:lang w:eastAsia="zh-CN"/>
          </w:rPr>
          <w:t>(三)、运营期环境保护</w:t>
        </w:r>
        <w:r>
          <w:tab/>
        </w:r>
        <w:r>
          <w:fldChar w:fldCharType="begin"/>
        </w:r>
        <w:r>
          <w:instrText xml:space="preserve"> PAGEREF _Toc24913 \h </w:instrText>
        </w:r>
        <w:r>
          <w:fldChar w:fldCharType="separate"/>
        </w:r>
        <w:r>
          <w:t>37</w:t>
        </w:r>
        <w:r>
          <w:fldChar w:fldCharType="end"/>
        </w:r>
      </w:hyperlink>
    </w:p>
    <w:p>
      <w:pPr>
        <w:pStyle w:val="TOC2"/>
        <w:tabs>
          <w:tab w:val="right" w:leader="dot" w:pos="8306"/>
        </w:tabs>
      </w:pPr>
      <w:hyperlink w:anchor="_Toc27347" w:history="1">
        <w:r>
          <w:rPr>
            <w:rFonts w:ascii="仿宋" w:eastAsia="仿宋" w:hAnsi="仿宋" w:cs="仿宋" w:hint="eastAsia"/>
            <w:lang w:eastAsia="zh-CN"/>
          </w:rPr>
          <w:t>(四)、水溶性高分子化合物项目建设对区域经济的影响</w:t>
        </w:r>
        <w:r>
          <w:tab/>
        </w:r>
        <w:r>
          <w:fldChar w:fldCharType="begin"/>
        </w:r>
        <w:r>
          <w:instrText xml:space="preserve"> PAGEREF _Toc27347 \h </w:instrText>
        </w:r>
        <w:r>
          <w:fldChar w:fldCharType="separate"/>
        </w:r>
        <w:r>
          <w:t>38</w:t>
        </w:r>
        <w:r>
          <w:fldChar w:fldCharType="end"/>
        </w:r>
      </w:hyperlink>
    </w:p>
    <w:p>
      <w:pPr>
        <w:pStyle w:val="TOC2"/>
        <w:tabs>
          <w:tab w:val="right" w:leader="dot" w:pos="8306"/>
        </w:tabs>
      </w:pPr>
      <w:hyperlink w:anchor="_Toc20266" w:history="1">
        <w:r>
          <w:rPr>
            <w:rFonts w:ascii="仿宋" w:eastAsia="仿宋" w:hAnsi="仿宋" w:cs="仿宋" w:hint="eastAsia"/>
            <w:lang w:eastAsia="zh-CN"/>
          </w:rPr>
          <w:t>(五)、废弃物处理</w:t>
        </w:r>
        <w:r>
          <w:tab/>
        </w:r>
        <w:r>
          <w:fldChar w:fldCharType="begin"/>
        </w:r>
        <w:r>
          <w:instrText xml:space="preserve"> PAGEREF _Toc20266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21" w:history="1">
        <w:r>
          <w:rPr>
            <w:rFonts w:ascii="仿宋" w:eastAsia="仿宋" w:hAnsi="仿宋" w:cs="仿宋" w:hint="eastAsia"/>
            <w:lang w:eastAsia="zh-CN"/>
          </w:rPr>
          <w:t>(六)、特殊环境影响分析</w:t>
        </w:r>
        <w:r>
          <w:tab/>
        </w:r>
        <w:r>
          <w:fldChar w:fldCharType="begin"/>
        </w:r>
        <w:r>
          <w:instrText xml:space="preserve"> PAGEREF _Toc22021 \h </w:instrText>
        </w:r>
        <w:r>
          <w:fldChar w:fldCharType="separate"/>
        </w:r>
        <w:r>
          <w:t>42</w:t>
        </w:r>
        <w:r>
          <w:fldChar w:fldCharType="end"/>
        </w:r>
      </w:hyperlink>
    </w:p>
    <w:p>
      <w:pPr>
        <w:pStyle w:val="TOC2"/>
        <w:tabs>
          <w:tab w:val="right" w:leader="dot" w:pos="8306"/>
        </w:tabs>
      </w:pPr>
      <w:hyperlink w:anchor="_Toc17029" w:history="1">
        <w:r>
          <w:rPr>
            <w:rFonts w:ascii="仿宋" w:eastAsia="仿宋" w:hAnsi="仿宋" w:cs="仿宋" w:hint="eastAsia"/>
            <w:lang w:eastAsia="zh-CN"/>
          </w:rPr>
          <w:t>(七)、清洁生产</w:t>
        </w:r>
        <w:r>
          <w:tab/>
        </w:r>
        <w:r>
          <w:fldChar w:fldCharType="begin"/>
        </w:r>
        <w:r>
          <w:instrText xml:space="preserve"> PAGEREF _Toc17029 \h </w:instrText>
        </w:r>
        <w:r>
          <w:fldChar w:fldCharType="separate"/>
        </w:r>
        <w:r>
          <w:t>43</w:t>
        </w:r>
        <w:r>
          <w:fldChar w:fldCharType="end"/>
        </w:r>
      </w:hyperlink>
    </w:p>
    <w:p>
      <w:pPr>
        <w:pStyle w:val="TOC2"/>
        <w:tabs>
          <w:tab w:val="right" w:leader="dot" w:pos="8306"/>
        </w:tabs>
      </w:pPr>
      <w:hyperlink w:anchor="_Toc25536" w:history="1">
        <w:r>
          <w:rPr>
            <w:rFonts w:ascii="仿宋" w:eastAsia="仿宋" w:hAnsi="仿宋" w:cs="仿宋" w:hint="eastAsia"/>
            <w:lang w:eastAsia="zh-CN"/>
          </w:rPr>
          <w:t>(八)、环境保护综合评价</w:t>
        </w:r>
        <w:r>
          <w:tab/>
        </w:r>
        <w:r>
          <w:fldChar w:fldCharType="begin"/>
        </w:r>
        <w:r>
          <w:instrText xml:space="preserve"> PAGEREF _Toc25536 \h </w:instrText>
        </w:r>
        <w:r>
          <w:fldChar w:fldCharType="separate"/>
        </w:r>
        <w:r>
          <w:t>44</w:t>
        </w:r>
        <w:r>
          <w:fldChar w:fldCharType="end"/>
        </w:r>
      </w:hyperlink>
    </w:p>
    <w:p>
      <w:pPr>
        <w:pStyle w:val="TOC1"/>
        <w:tabs>
          <w:tab w:val="right" w:leader="dot" w:pos="8306"/>
        </w:tabs>
      </w:pPr>
      <w:hyperlink w:anchor="_Toc19983" w:history="1">
        <w:r>
          <w:rPr>
            <w:rFonts w:ascii="仿宋" w:eastAsia="仿宋" w:hAnsi="仿宋" w:cs="仿宋" w:hint="eastAsia"/>
            <w:lang w:eastAsia="zh-CN"/>
          </w:rPr>
          <w:t>十一、水溶性高分子化合物项目风险管理</w:t>
        </w:r>
        <w:r>
          <w:tab/>
        </w:r>
        <w:r>
          <w:fldChar w:fldCharType="begin"/>
        </w:r>
        <w:r>
          <w:instrText xml:space="preserve"> PAGEREF _Toc19983 \h </w:instrText>
        </w:r>
        <w:r>
          <w:fldChar w:fldCharType="separate"/>
        </w:r>
        <w:r>
          <w:t>45</w:t>
        </w:r>
        <w:r>
          <w:fldChar w:fldCharType="end"/>
        </w:r>
      </w:hyperlink>
    </w:p>
    <w:p>
      <w:pPr>
        <w:pStyle w:val="TOC2"/>
        <w:tabs>
          <w:tab w:val="right" w:leader="dot" w:pos="8306"/>
        </w:tabs>
      </w:pPr>
      <w:hyperlink w:anchor="_Toc24211" w:history="1">
        <w:r>
          <w:rPr>
            <w:rFonts w:ascii="仿宋" w:eastAsia="仿宋" w:hAnsi="仿宋" w:cs="仿宋" w:hint="eastAsia"/>
            <w:lang w:eastAsia="zh-CN"/>
          </w:rPr>
          <w:t>(一)、风险识别与评估</w:t>
        </w:r>
        <w:r>
          <w:tab/>
        </w:r>
        <w:r>
          <w:fldChar w:fldCharType="begin"/>
        </w:r>
        <w:r>
          <w:instrText xml:space="preserve"> PAGEREF _Toc24211 \h </w:instrText>
        </w:r>
        <w:r>
          <w:fldChar w:fldCharType="separate"/>
        </w:r>
        <w:r>
          <w:t>45</w:t>
        </w:r>
        <w:r>
          <w:fldChar w:fldCharType="end"/>
        </w:r>
      </w:hyperlink>
    </w:p>
    <w:p>
      <w:pPr>
        <w:pStyle w:val="TOC2"/>
        <w:tabs>
          <w:tab w:val="right" w:leader="dot" w:pos="8306"/>
        </w:tabs>
      </w:pPr>
      <w:hyperlink w:anchor="_Toc21090" w:history="1">
        <w:r>
          <w:rPr>
            <w:rFonts w:ascii="仿宋" w:eastAsia="仿宋" w:hAnsi="仿宋" w:cs="仿宋" w:hint="eastAsia"/>
            <w:lang w:eastAsia="zh-CN"/>
          </w:rPr>
          <w:t>(二)、风险应对策略</w:t>
        </w:r>
        <w:r>
          <w:tab/>
        </w:r>
        <w:r>
          <w:fldChar w:fldCharType="begin"/>
        </w:r>
        <w:r>
          <w:instrText xml:space="preserve"> PAGEREF _Toc21090 \h </w:instrText>
        </w:r>
        <w:r>
          <w:fldChar w:fldCharType="separate"/>
        </w:r>
        <w:r>
          <w:t>47</w:t>
        </w:r>
        <w:r>
          <w:fldChar w:fldCharType="end"/>
        </w:r>
      </w:hyperlink>
    </w:p>
    <w:p>
      <w:pPr>
        <w:pStyle w:val="TOC2"/>
        <w:tabs>
          <w:tab w:val="right" w:leader="dot" w:pos="8306"/>
        </w:tabs>
      </w:pPr>
      <w:hyperlink w:anchor="_Toc3022" w:history="1">
        <w:r>
          <w:rPr>
            <w:rFonts w:ascii="仿宋" w:eastAsia="仿宋" w:hAnsi="仿宋" w:cs="仿宋" w:hint="eastAsia"/>
            <w:lang w:eastAsia="zh-CN"/>
          </w:rPr>
          <w:t>(三)、风险监控与控制</w:t>
        </w:r>
        <w:r>
          <w:tab/>
        </w:r>
        <w:r>
          <w:fldChar w:fldCharType="begin"/>
        </w:r>
        <w:r>
          <w:instrText xml:space="preserve"> PAGEREF _Toc3022 \h </w:instrText>
        </w:r>
        <w:r>
          <w:fldChar w:fldCharType="separate"/>
        </w:r>
        <w:r>
          <w:t>48</w:t>
        </w:r>
        <w:r>
          <w:fldChar w:fldCharType="end"/>
        </w:r>
      </w:hyperlink>
    </w:p>
    <w:p>
      <w:pPr>
        <w:pStyle w:val="TOC1"/>
        <w:tabs>
          <w:tab w:val="right" w:leader="dot" w:pos="8306"/>
        </w:tabs>
      </w:pPr>
      <w:hyperlink w:anchor="_Toc21035" w:history="1">
        <w:r>
          <w:rPr>
            <w:rFonts w:ascii="仿宋" w:eastAsia="仿宋" w:hAnsi="仿宋" w:cs="仿宋" w:hint="eastAsia"/>
            <w:lang w:eastAsia="zh-CN"/>
          </w:rPr>
          <w:t>十二、水溶性高分子化合物项目人力资源管理</w:t>
        </w:r>
        <w:r>
          <w:tab/>
        </w:r>
        <w:r>
          <w:fldChar w:fldCharType="begin"/>
        </w:r>
        <w:r>
          <w:instrText xml:space="preserve"> PAGEREF _Toc21035 \h </w:instrText>
        </w:r>
        <w:r>
          <w:fldChar w:fldCharType="separate"/>
        </w:r>
        <w:r>
          <w:t>50</w:t>
        </w:r>
        <w:r>
          <w:fldChar w:fldCharType="end"/>
        </w:r>
      </w:hyperlink>
    </w:p>
    <w:p>
      <w:pPr>
        <w:pStyle w:val="TOC2"/>
        <w:tabs>
          <w:tab w:val="right" w:leader="dot" w:pos="8306"/>
        </w:tabs>
      </w:pPr>
      <w:hyperlink w:anchor="_Toc21413" w:history="1">
        <w:r>
          <w:rPr>
            <w:rFonts w:ascii="仿宋" w:eastAsia="仿宋" w:hAnsi="仿宋" w:cs="仿宋" w:hint="eastAsia"/>
            <w:lang w:eastAsia="zh-CN"/>
          </w:rPr>
          <w:t>(一)、建立健全的预算管理制度</w:t>
        </w:r>
        <w:r>
          <w:tab/>
        </w:r>
        <w:r>
          <w:fldChar w:fldCharType="begin"/>
        </w:r>
        <w:r>
          <w:instrText xml:space="preserve"> PAGEREF _Toc21413 \h </w:instrText>
        </w:r>
        <w:r>
          <w:fldChar w:fldCharType="separate"/>
        </w:r>
        <w:r>
          <w:t>50</w:t>
        </w:r>
        <w:r>
          <w:fldChar w:fldCharType="end"/>
        </w:r>
      </w:hyperlink>
    </w:p>
    <w:p>
      <w:pPr>
        <w:pStyle w:val="TOC2"/>
        <w:tabs>
          <w:tab w:val="right" w:leader="dot" w:pos="8306"/>
        </w:tabs>
      </w:pPr>
      <w:hyperlink w:anchor="_Toc3129" w:history="1">
        <w:r>
          <w:rPr>
            <w:rFonts w:ascii="仿宋" w:eastAsia="仿宋" w:hAnsi="仿宋" w:cs="仿宋" w:hint="eastAsia"/>
            <w:lang w:eastAsia="zh-CN"/>
          </w:rPr>
          <w:t>(二)、加强资金流动监控</w:t>
        </w:r>
        <w:r>
          <w:tab/>
        </w:r>
        <w:r>
          <w:fldChar w:fldCharType="begin"/>
        </w:r>
        <w:r>
          <w:instrText xml:space="preserve"> PAGEREF _Toc3129 \h </w:instrText>
        </w:r>
        <w:r>
          <w:fldChar w:fldCharType="separate"/>
        </w:r>
        <w:r>
          <w:t>51</w:t>
        </w:r>
        <w:r>
          <w:fldChar w:fldCharType="end"/>
        </w:r>
      </w:hyperlink>
    </w:p>
    <w:p>
      <w:pPr>
        <w:pStyle w:val="TOC2"/>
        <w:tabs>
          <w:tab w:val="right" w:leader="dot" w:pos="8306"/>
        </w:tabs>
      </w:pPr>
      <w:hyperlink w:anchor="_Toc15204" w:history="1">
        <w:r>
          <w:rPr>
            <w:rFonts w:ascii="仿宋" w:eastAsia="仿宋" w:hAnsi="仿宋" w:cs="仿宋" w:hint="eastAsia"/>
            <w:lang w:eastAsia="zh-CN"/>
          </w:rPr>
          <w:t>(三)、制定完善的风险控制机制</w:t>
        </w:r>
        <w:r>
          <w:tab/>
        </w:r>
        <w:r>
          <w:fldChar w:fldCharType="begin"/>
        </w:r>
        <w:r>
          <w:instrText xml:space="preserve"> PAGEREF _Toc15204 \h </w:instrText>
        </w:r>
        <w:r>
          <w:fldChar w:fldCharType="separate"/>
        </w:r>
        <w:r>
          <w:t>53</w:t>
        </w:r>
        <w:r>
          <w:fldChar w:fldCharType="end"/>
        </w:r>
      </w:hyperlink>
    </w:p>
    <w:p>
      <w:pPr>
        <w:pStyle w:val="TOC2"/>
        <w:tabs>
          <w:tab w:val="right" w:leader="dot" w:pos="8306"/>
        </w:tabs>
      </w:pPr>
      <w:hyperlink w:anchor="_Toc13151" w:history="1">
        <w:r>
          <w:rPr>
            <w:rFonts w:ascii="仿宋" w:eastAsia="仿宋" w:hAnsi="仿宋" w:cs="仿宋" w:hint="eastAsia"/>
            <w:lang w:eastAsia="zh-CN"/>
          </w:rPr>
          <w:t>(四)、优化成本管理</w:t>
        </w:r>
        <w:r>
          <w:tab/>
        </w:r>
        <w:r>
          <w:fldChar w:fldCharType="begin"/>
        </w:r>
        <w:r>
          <w:instrText xml:space="preserve"> PAGEREF _Toc13151 \h </w:instrText>
        </w:r>
        <w:r>
          <w:fldChar w:fldCharType="separate"/>
        </w:r>
        <w:r>
          <w:t>54</w:t>
        </w:r>
        <w:r>
          <w:fldChar w:fldCharType="end"/>
        </w:r>
      </w:hyperlink>
    </w:p>
    <w:p>
      <w:pPr>
        <w:pStyle w:val="TOC1"/>
        <w:tabs>
          <w:tab w:val="right" w:leader="dot" w:pos="8306"/>
        </w:tabs>
      </w:pPr>
      <w:hyperlink w:anchor="_Toc19049" w:history="1">
        <w:r>
          <w:rPr>
            <w:rFonts w:ascii="仿宋" w:eastAsia="仿宋" w:hAnsi="仿宋" w:cs="仿宋" w:hint="eastAsia"/>
            <w:lang w:eastAsia="zh-CN"/>
          </w:rPr>
          <w:t>十三、供应链管理</w:t>
        </w:r>
        <w:r>
          <w:tab/>
        </w:r>
        <w:r>
          <w:fldChar w:fldCharType="begin"/>
        </w:r>
        <w:r>
          <w:instrText xml:space="preserve"> PAGEREF _Toc19049 \h </w:instrText>
        </w:r>
        <w:r>
          <w:fldChar w:fldCharType="separate"/>
        </w:r>
        <w:r>
          <w:t>56</w:t>
        </w:r>
        <w:r>
          <w:fldChar w:fldCharType="end"/>
        </w:r>
      </w:hyperlink>
    </w:p>
    <w:p>
      <w:pPr>
        <w:pStyle w:val="TOC2"/>
        <w:tabs>
          <w:tab w:val="right" w:leader="dot" w:pos="8306"/>
        </w:tabs>
      </w:pPr>
      <w:hyperlink w:anchor="_Toc6672" w:history="1">
        <w:r>
          <w:rPr>
            <w:rFonts w:ascii="仿宋" w:eastAsia="仿宋" w:hAnsi="仿宋" w:cs="仿宋" w:hint="eastAsia"/>
            <w:lang w:eastAsia="zh-CN"/>
          </w:rPr>
          <w:t>(一)、供应链战略规划</w:t>
        </w:r>
        <w:r>
          <w:tab/>
        </w:r>
        <w:r>
          <w:fldChar w:fldCharType="begin"/>
        </w:r>
        <w:r>
          <w:instrText xml:space="preserve"> PAGEREF _Toc6672 \h </w:instrText>
        </w:r>
        <w:r>
          <w:fldChar w:fldCharType="separate"/>
        </w:r>
        <w:r>
          <w:t>56</w:t>
        </w:r>
        <w:r>
          <w:fldChar w:fldCharType="end"/>
        </w:r>
      </w:hyperlink>
    </w:p>
    <w:p>
      <w:pPr>
        <w:pStyle w:val="TOC2"/>
        <w:tabs>
          <w:tab w:val="right" w:leader="dot" w:pos="8306"/>
        </w:tabs>
      </w:pPr>
      <w:hyperlink w:anchor="_Toc30648" w:history="1">
        <w:r>
          <w:rPr>
            <w:rFonts w:ascii="仿宋" w:eastAsia="仿宋" w:hAnsi="仿宋" w:cs="仿宋" w:hint="eastAsia"/>
            <w:lang w:eastAsia="zh-CN"/>
          </w:rPr>
          <w:t>(二)、供应商选择与合作</w:t>
        </w:r>
        <w:r>
          <w:tab/>
        </w:r>
        <w:r>
          <w:fldChar w:fldCharType="begin"/>
        </w:r>
        <w:r>
          <w:instrText xml:space="preserve"> PAGEREF _Toc30648 \h </w:instrText>
        </w:r>
        <w:r>
          <w:fldChar w:fldCharType="separate"/>
        </w:r>
        <w:r>
          <w:t>57</w:t>
        </w:r>
        <w:r>
          <w:fldChar w:fldCharType="end"/>
        </w:r>
      </w:hyperlink>
    </w:p>
    <w:p>
      <w:pPr>
        <w:pStyle w:val="TOC2"/>
        <w:tabs>
          <w:tab w:val="right" w:leader="dot" w:pos="8306"/>
        </w:tabs>
      </w:pPr>
      <w:hyperlink w:anchor="_Toc6168" w:history="1">
        <w:r>
          <w:rPr>
            <w:rFonts w:ascii="仿宋" w:eastAsia="仿宋" w:hAnsi="仿宋" w:cs="仿宋" w:hint="eastAsia"/>
            <w:lang w:eastAsia="zh-CN"/>
          </w:rPr>
          <w:t>(三)、物流与库存管理</w:t>
        </w:r>
        <w:r>
          <w:tab/>
        </w:r>
        <w:r>
          <w:fldChar w:fldCharType="begin"/>
        </w:r>
        <w:r>
          <w:instrText xml:space="preserve"> PAGEREF _Toc6168 \h </w:instrText>
        </w:r>
        <w:r>
          <w:fldChar w:fldCharType="separate"/>
        </w:r>
        <w:r>
          <w:t>58</w:t>
        </w:r>
        <w:r>
          <w:fldChar w:fldCharType="end"/>
        </w:r>
      </w:hyperlink>
    </w:p>
    <w:p>
      <w:pPr>
        <w:pStyle w:val="TOC1"/>
        <w:tabs>
          <w:tab w:val="right" w:leader="dot" w:pos="8306"/>
        </w:tabs>
      </w:pPr>
      <w:hyperlink w:anchor="_Toc28006" w:history="1">
        <w:r>
          <w:rPr>
            <w:rFonts w:ascii="仿宋" w:eastAsia="仿宋" w:hAnsi="仿宋" w:cs="仿宋" w:hint="eastAsia"/>
            <w:lang w:eastAsia="zh-CN"/>
          </w:rPr>
          <w:t>十四、水溶性高分子化合物项目变更管理</w:t>
        </w:r>
        <w:r>
          <w:tab/>
        </w:r>
        <w:r>
          <w:fldChar w:fldCharType="begin"/>
        </w:r>
        <w:r>
          <w:instrText xml:space="preserve"> PAGEREF _Toc28006 \h </w:instrText>
        </w:r>
        <w:r>
          <w:fldChar w:fldCharType="separate"/>
        </w:r>
        <w:r>
          <w:t>60</w:t>
        </w:r>
        <w:r>
          <w:fldChar w:fldCharType="end"/>
        </w:r>
      </w:hyperlink>
    </w:p>
    <w:p>
      <w:pPr>
        <w:pStyle w:val="TOC2"/>
        <w:tabs>
          <w:tab w:val="right" w:leader="dot" w:pos="8306"/>
        </w:tabs>
      </w:pPr>
      <w:hyperlink w:anchor="_Toc25312" w:history="1">
        <w:r>
          <w:rPr>
            <w:rFonts w:ascii="仿宋" w:eastAsia="仿宋" w:hAnsi="仿宋" w:cs="仿宋" w:hint="eastAsia"/>
            <w:lang w:eastAsia="zh-CN"/>
          </w:rPr>
          <w:t>(一)、变更申请与评估</w:t>
        </w:r>
        <w:r>
          <w:tab/>
        </w:r>
        <w:r>
          <w:fldChar w:fldCharType="begin"/>
        </w:r>
        <w:r>
          <w:instrText xml:space="preserve"> PAGEREF _Toc25312 \h </w:instrText>
        </w:r>
        <w:r>
          <w:fldChar w:fldCharType="separate"/>
        </w:r>
        <w:r>
          <w:t>60</w:t>
        </w:r>
        <w:r>
          <w:fldChar w:fldCharType="end"/>
        </w:r>
      </w:hyperlink>
    </w:p>
    <w:p>
      <w:pPr>
        <w:pStyle w:val="TOC2"/>
        <w:tabs>
          <w:tab w:val="right" w:leader="dot" w:pos="8306"/>
        </w:tabs>
      </w:pPr>
      <w:hyperlink w:anchor="_Toc6196" w:history="1">
        <w:r>
          <w:rPr>
            <w:rFonts w:ascii="仿宋" w:eastAsia="仿宋" w:hAnsi="仿宋" w:cs="仿宋" w:hint="eastAsia"/>
            <w:lang w:eastAsia="zh-CN"/>
          </w:rPr>
          <w:t>(二)、变更实施与控制</w:t>
        </w:r>
        <w:r>
          <w:tab/>
        </w:r>
        <w:r>
          <w:fldChar w:fldCharType="begin"/>
        </w:r>
        <w:r>
          <w:instrText xml:space="preserve"> PAGEREF _Toc6196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75"/>
      <w:r>
        <w:rPr>
          <w:rFonts w:ascii="仿宋" w:eastAsia="仿宋" w:hAnsi="仿宋" w:cs="仿宋" w:hint="eastAsia"/>
          <w:sz w:val="28"/>
          <w:lang w:eastAsia="zh-CN"/>
        </w:rPr>
        <w:t>一、水溶性高分子化合物项目危机管理</w:t>
      </w:r>
      <w:bookmarkEnd w:id="2"/>
    </w:p>
    <w:p>
      <w:pPr>
        <w:pStyle w:val="Heading2"/>
        <w:rPr>
          <w:rFonts w:ascii="仿宋" w:eastAsia="仿宋" w:hAnsi="仿宋" w:cs="仿宋" w:hint="eastAsia"/>
          <w:lang w:eastAsia="zh-CN"/>
        </w:rPr>
      </w:pPr>
      <w:bookmarkStart w:id="3" w:name="_Toc262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高分子化合物项目危机管理中，危机预警与识别是确保水溶性高分子化合物项目稳健运行的核心步骤。通过建立全面的监测机制，水溶性高分子化合物项目团队旨在及时发现和理解潜在的风险和危机因素，以便采取及时的预防和应对措施，确保水溶性高分子化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溶性高分子化合物项目团队全面分析了整个水溶性高分子化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溶性高分子化合物项目团队着重于明确定义水溶性高分子化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溶性高分子化合物项目进展的持续监控，团队能够及时发现潜在问题并作出迅速反应。水溶性高分子化合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溶性高分子化合物项目得以更有序、可控地推进。</w:t>
      </w:r>
    </w:p>
    <w:p>
      <w:pPr>
        <w:pStyle w:val="Heading2"/>
        <w:ind w:firstLine="560" w:firstLineChars="200"/>
        <w:rPr>
          <w:rFonts w:ascii="仿宋" w:eastAsia="仿宋" w:hAnsi="仿宋" w:cs="仿宋" w:hint="eastAsia"/>
          <w:sz w:val="28"/>
          <w:lang w:eastAsia="zh-CN"/>
        </w:rPr>
      </w:pPr>
      <w:bookmarkStart w:id="4" w:name="_Toc248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在危机发生时，水溶性高分子化合物项目团队立即行动，成立了应急小组。该小组的任务是迅速制定并实施紧急应对措施，以最小化潜在损失。以下是采取的主要措施：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暂停水溶性高分子化合物项目进度：为遏制危机蔓延，水溶性高分子化合物项目暂时停止进行，以便全面评估当前状况。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资源重新分配：重新评估水溶性高分子化合物项目资源的分配，确保最大限度地减小损失。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实时沟通：与关键利益相关者建立实时沟通机制，向他们传递水溶性高分子化合物项目危机的实际状况，保障水溶性高分子化合物项目核心利益。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在紧急应对的同时，水溶性高分子化合物项目团队强调了团队协作和有效沟通的重要性。以下是团队协作的关键举措：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信息共享机制：建立了信息共享平台，确保团队成员能够及时获取水溶性高分子化合物项目危机的实时信息。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领导者沟通：水溶性高分子化合物项目领导者通过定期会议和即时沟通工具，指导团队应对危机，保持团队稳定运行。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随着危机得到初步控制，水溶性高分子化合物项目团队转向制定恢复计划，以确保水溶性高分子化合物项目能够从中迅速恢复。主要恢复计划包括：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修复受损的进度计划：重新评估水溶性高分子化合物项目进度，制定修复计划，确保水溶性高分子化合物项目尽快回归正常进程。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重新调整资源分配：优化资源分配，确保水溶性高分子化合物项目在有限资源下高效运转。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风险管理机制加强：对水溶性高分子化合物项目风险进行全面评估，制定更强化的风险管理策略，以预防未来可能的危机。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252"/>
      <w:r>
        <w:rPr>
          <w:rFonts w:ascii="仿宋" w:eastAsia="仿宋" w:hAnsi="仿宋" w:cs="仿宋" w:hint="eastAsia"/>
          <w:sz w:val="28"/>
          <w:lang w:eastAsia="zh-CN"/>
        </w:rPr>
        <w:t>二、水溶性高分子化合物项目建设背景及必要性分析</w:t>
      </w:r>
      <w:bookmarkEnd w:id="5"/>
    </w:p>
    <w:p>
      <w:pPr>
        <w:pStyle w:val="Heading2"/>
        <w:rPr>
          <w:rFonts w:ascii="仿宋" w:eastAsia="仿宋" w:hAnsi="仿宋" w:cs="仿宋" w:hint="eastAsia"/>
          <w:lang w:eastAsia="zh-CN"/>
        </w:rPr>
      </w:pPr>
      <w:bookmarkStart w:id="6" w:name="_Toc4027"/>
      <w:r>
        <w:rPr>
          <w:rFonts w:ascii="仿宋" w:eastAsia="仿宋" w:hAnsi="仿宋" w:cs="仿宋" w:hint="eastAsia"/>
          <w:lang w:eastAsia="zh-CN"/>
        </w:rPr>
        <w:t>(一)、水溶性高分子化合物项目背景分析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溶性高分子化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溶性高分子化合物项目在这个潮流中的定位。同时，我们将关注行业内涌现的新兴机遇，以便水溶性高分子化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溶性高分子化合物项目提供了强大的发展动力。我们将聚焦于行业内最新的技术发展趋势，包括但不限于人工智能、大数据分析、物联网等领域。通过深度的技术研究，我们将确保水溶性高分子化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溶性高分子化合物项目发展的源泉。我们将投入更多的精力对市场需求进行深入剖析，超越表面的需求，深入挖掘潜在的市场痛点和机遇。通过对市场需求的细致了解，水溶性高分子化合物项目将更有针对性地设计解决方案，满足市场的多样化需求，从而更好地促进水溶性高分子化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溶性高分子化合物项目战略至关重要。我们将对竞争态势进行更为深入的分析，包括但不限于市场份额、产品特点、客户满意度等多个维度。通过深度的竞争分析，水溶性高分子化合物项目将能够更准确地把握市场脉搏，制定具有竞争力的水溶性高分子化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溶性高分子化合物项目的发展具有直接的影响。我们将进行更为全面的法规和政策分析，了解行业发展中的潜在法律风险和合规挑战。通过充分了解和遵守相关法规，水溶性高分子化合物项目将确保在法律框架内合法合规运营，为水溶性高分子化合物项目的稳健发展提供有力支持。</w:t>
      </w:r>
    </w:p>
    <w:p>
      <w:pPr>
        <w:pStyle w:val="Heading2"/>
        <w:ind w:firstLine="560" w:firstLineChars="200"/>
        <w:rPr>
          <w:rFonts w:ascii="仿宋" w:eastAsia="仿宋" w:hAnsi="仿宋" w:cs="仿宋" w:hint="eastAsia"/>
          <w:sz w:val="28"/>
          <w:lang w:eastAsia="zh-CN"/>
        </w:rPr>
      </w:pPr>
      <w:bookmarkStart w:id="7" w:name="_Toc29482"/>
      <w:r>
        <w:rPr>
          <w:rFonts w:ascii="仿宋" w:eastAsia="仿宋" w:hAnsi="仿宋" w:cs="仿宋" w:hint="eastAsia"/>
          <w:sz w:val="28"/>
          <w:lang w:eastAsia="zh-CN"/>
        </w:rPr>
        <w:t>(二)、水溶性高分子化合物项目建设必要性分析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建设的迫切性源于对行业发展趋势的深刻洞察。我们正处于一个行业变革的时代，科技创新、数字化转型成为企业发展的关键动力。水溶性高分子化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建设不仅仅是为了跟上潮流，更是为了通过技术创新推动企业的持续发展。通过引入先进的技术和解决方案，水溶性高分子化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溶性高分子化合物项目的建设成为必然选择，通过提高产品质量、拓展服务领域，从而在竞争中获得更多的机会。水溶性高分子化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溶性高分子化合物项目建设的必要性体现在对客户需求更精准的满足。通过水溶性高分子化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建设的背后是对企业持续创新的追求。只有通过不断创新，企业才能在竞争中立于不败之地。水溶性高分子化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97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824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水溶性高分子化合物项目的主要产品是XXXX，预计年产值为XXX万元。这一产品在市场中占据着重要的地位，其广泛的应用范围使得该水溶性高分子化合物项目的市场前景非常广阔。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水溶性高分子化合物项目的xxx产品作为重要的原材料之一，将在多个领域发挥关键作用。其在建筑、交通、能源等方面的广泛应用将为整个产业链提供强大的支持，形成产业协同效应。水溶性高分子化合物项目的年产值XXX万XXX万XXX万万元不仅反映了其在市场上的巨大潜力，更预示着它对国民经济的积极贡献。这种关联度高、涉及面广的产业关系，使得该水溶性高分子化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52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总征地面积为XXXX平方米，相当于约XX.XX亩，其中净用地面积为XXXX平方米，红线范围内相当于约XX.XX亩。这一用地规模充分考虑了水溶性高分子化合物项目的建设需求，保障了水溶性高分子化合物项目在合适的空间内得以充分发展。水溶性高分子化合物项目规划的总建筑面积为XXXX平方米，其中主体工程建设占XXXX平方米，计容建筑面积达XXXX平方米。预计建筑工程的投资将达到XXXX万元，为水溶性高分子化合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计划购置的设备共计XXXX台（套），设备购置费用为XXXX万元。这一设备购置计划充分考虑到水溶性高分子化合物项目的生产需求和技术要求，确保了水溶性高分子化合物项目在生产运营中具备先进的技术装备和高效的生产能力。设备的合理配置将为水溶性高分子化合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计划总投资为XXXX万元，预计年实现营业收入为XXXX万元。这一产能规模的设定旨在确保水溶性高分子化合物项目能够在投资与回报之间取得平衡，实现长期可持续的发展。水溶性高分子化合物项目的总投资充分考虑到各个方面的需求，包括用地建设、设备购置等多个环节，以确保水溶性高分子化合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568"/>
      <w:r>
        <w:rPr>
          <w:rFonts w:ascii="仿宋" w:eastAsia="仿宋" w:hAnsi="仿宋" w:cs="仿宋" w:hint="eastAsia"/>
          <w:sz w:val="28"/>
          <w:lang w:eastAsia="zh-CN"/>
        </w:rPr>
        <w:t>四、水溶性高分子化合物项目土建工程</w:t>
      </w:r>
      <w:bookmarkEnd w:id="11"/>
    </w:p>
    <w:p>
      <w:pPr>
        <w:pStyle w:val="Heading2"/>
        <w:rPr>
          <w:rFonts w:ascii="仿宋" w:eastAsia="仿宋" w:hAnsi="仿宋" w:cs="仿宋" w:hint="eastAsia"/>
          <w:lang w:eastAsia="zh-CN"/>
        </w:rPr>
      </w:pPr>
      <w:bookmarkStart w:id="12" w:name="_Toc181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在水溶性高分子化合物项目的建筑工程设计中，我们将秉承一系列重要的设计原则，以确保水溶性高分子化合物项目建筑在功能、美观、可持续性等方面达到最佳效果。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首要原则是确保建筑的功能性得到最大化的发挥。我们将充分理解水溶性高分子化合物项目的实际需求，合理布局各个功能区域，保证建筑在满足业务需求的同时，提供高效的工作环境。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在建筑设计中，我们将综合考虑建设和运营成本。通过精细的经济效益分析，确保设计方案在高效利用资源的同时，对水溶性高分子化合物项目的长期盈利能力有积极的贡献。</w:t>
      </w:r>
    </w:p>
    <w:p>
      <w:pPr>
        <w:pStyle w:val="Heading2"/>
        <w:ind w:firstLine="560" w:firstLineChars="200"/>
        <w:rPr>
          <w:rFonts w:ascii="仿宋" w:eastAsia="仿宋" w:hAnsi="仿宋" w:cs="仿宋" w:hint="eastAsia"/>
          <w:sz w:val="28"/>
          <w:lang w:eastAsia="zh-CN"/>
        </w:rPr>
      </w:pPr>
      <w:bookmarkStart w:id="13" w:name="_Toc833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高分子化合物项目的土建工程设计中，我们将精准设定设计年限，结合水溶性高分子化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溶性高分子化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32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水溶性高分子化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溶性高分子化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溶性高分子化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88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本期工程水溶性高分子化合物项目预计总建筑面积XXX平方米，其中：计容建筑面积XXX平方米，计划建筑工程投资XX万元，占水溶性高分子化合物项目总投资的XX%。</w:t>
      </w:r>
    </w:p>
    <w:p>
      <w:pPr>
        <w:pStyle w:val="Heading1"/>
        <w:ind w:firstLine="560" w:firstLineChars="200"/>
        <w:rPr>
          <w:rFonts w:ascii="仿宋" w:eastAsia="仿宋" w:hAnsi="仿宋" w:cs="仿宋" w:hint="eastAsia"/>
          <w:sz w:val="28"/>
          <w:lang w:eastAsia="zh-CN"/>
        </w:rPr>
      </w:pPr>
      <w:bookmarkStart w:id="16" w:name="_Toc773"/>
      <w:r>
        <w:rPr>
          <w:rFonts w:ascii="仿宋" w:eastAsia="仿宋" w:hAnsi="仿宋" w:cs="仿宋" w:hint="eastAsia"/>
          <w:sz w:val="28"/>
          <w:lang w:eastAsia="zh-CN"/>
        </w:rPr>
        <w:t>五、水溶性高分子化合物项目概论</w:t>
      </w:r>
      <w:bookmarkEnd w:id="16"/>
    </w:p>
    <w:p>
      <w:pPr>
        <w:pStyle w:val="Heading2"/>
        <w:rPr>
          <w:rFonts w:ascii="仿宋" w:eastAsia="仿宋" w:hAnsi="仿宋" w:cs="仿宋" w:hint="eastAsia"/>
          <w:lang w:eastAsia="zh-CN"/>
        </w:rPr>
      </w:pPr>
      <w:bookmarkStart w:id="17" w:name="_Toc28144"/>
      <w:r>
        <w:rPr>
          <w:rFonts w:ascii="仿宋" w:eastAsia="仿宋" w:hAnsi="仿宋" w:cs="仿宋" w:hint="eastAsia"/>
          <w:lang w:eastAsia="zh-CN"/>
        </w:rPr>
        <w:t>(一)、水溶性高分子化合物项目概况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起源追溯至对市场的深入洞察。市场的不断演变与变革为水溶性高分子化合物项目提供了难得的机遇。当前市场存在的需求缺口和变革的大环境共同构成了水溶性高分子化合物项目的背景。这个水溶性高分子化合物项目旨在充分利用市场机遇，填补行业中尚未满足的需求，为客户提供全新的解决方案。市场的变革和需求的增长使得这个水溶性高分子化合物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水溶性高分子化合物项目名称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正式命名为水溶性高分子化合物。这个名称不仅仅是一个标识，更代表了水溶性高分子化合物项目的核心理念和愿景。它蕴含着水溶性高分子化合物项目所要解决问题的关键字，具有强烈的表达和辨识度，为水溶性高分子化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水溶性高分子化合物项目目标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核心目标是提供一种全新、高效的解决方案，满足客户日益增长的需求。水溶性高分子化合物项目追求的不仅仅是满足市场需求，更是在市场中获得卓越的竞争优势。通过不断提升产品或服务的质量和创新水平，水溶性高分子化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水溶性高分子化合物项目范围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全面涵盖了产品研发、制造、市场推广和售后服务，确保从产品设计到最终用户体验的全方位关注。这一全面的水溶性高分子化合物项目范围是为了确保水溶性高分子化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水溶性高分子化合物项目时间表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溶性高分子化合物项目计划在未来18个月内完成，包括研发、测试、市场试点和正式推出等不同阶段。这个时间表的合理设计是为了确保水溶性高分子化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水溶性高分子化合物项目预算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总预算估算为XX百万美元，主要分配在研发、市场推广、人员培训和运营等方面。这一充足的预算为水溶性高分子化合物项目提供了充足的资源，确保水溶性高分子化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水溶性高分子化合物项目风险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可能面临的风险包括市场接受度低、技术难题、竞争激烈等。水溶性高分子化合物项目团队已经制定了相应的风险应对计划，通过前瞻性的风险管理，确保水溶性高分子化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水溶性高分子化合物项目团队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水溶性高分子化合物项目汇聚了一支经验丰富、多领域专业素养的核心团队，确保水溶性高分子化合物项目在各个方面都能拥有高水平的执行力。团队的协同作战是水溶性高分子化合物项目成功的关键因素之一。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水溶性高分子化合物项目背景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水溶性高分子化合物项目的背景根植于市场对更高效、创新产品的渴望，同时也受到科技发展对行业格局的深刻改变的影响。这为水溶性高分子化合物项目提供了广阔的发展空间和市场需求。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水溶性高分子化合物项目现状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https://d.book118.com/395202021242011101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20440"/>
    <w:rsid w:val="3B820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202021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2024-01-29T19:17:00Z</dcterms:created>
  <dcterms:modified xsi:type="dcterms:W3CDTF">2024-01-29T19:17:46Z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CB3483FB9C284F13A80EB40760461E4B_11</vt:lpwstr>
  </property>
  <property fmtid="{D5CDD505-2E9C-101B-9397-08002B2CF9AE}" pid="3" name="KSOProductBuildVer">
    <vt:lpwstr>2052-12.1.0.16250</vt:lpwstr>
  </property>
</Properties>
</file>