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LED通用照明项目计划设计方案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82" w:history="1">
        <w:r>
          <w:rPr>
            <w:rFonts w:ascii="仿宋" w:eastAsia="仿宋" w:hAnsi="仿宋" w:cs="仿宋" w:hint="eastAsia"/>
            <w:lang w:eastAsia="zh-CN"/>
          </w:rPr>
          <w:t>概论</w:t>
        </w:r>
        <w:r>
          <w:tab/>
        </w:r>
        <w:r>
          <w:fldChar w:fldCharType="begin"/>
        </w:r>
        <w:r>
          <w:instrText xml:space="preserve"> PAGEREF _Toc25382 \h </w:instrText>
        </w:r>
        <w:r>
          <w:fldChar w:fldCharType="separate"/>
        </w:r>
        <w:r>
          <w:t>3</w:t>
        </w:r>
        <w:r>
          <w:fldChar w:fldCharType="end"/>
        </w:r>
      </w:hyperlink>
    </w:p>
    <w:p>
      <w:pPr>
        <w:pStyle w:val="TOC1"/>
        <w:tabs>
          <w:tab w:val="right" w:leader="dot" w:pos="8306"/>
        </w:tabs>
      </w:pPr>
      <w:hyperlink w:anchor="_Toc21072" w:history="1">
        <w:r>
          <w:rPr>
            <w:rFonts w:ascii="仿宋" w:eastAsia="仿宋" w:hAnsi="仿宋" w:cs="仿宋" w:hint="eastAsia"/>
            <w:lang w:eastAsia="zh-CN"/>
          </w:rPr>
          <w:t>一、LED通用照明项目绩效评估</w:t>
        </w:r>
        <w:r>
          <w:tab/>
        </w:r>
        <w:r>
          <w:fldChar w:fldCharType="begin"/>
        </w:r>
        <w:r>
          <w:instrText xml:space="preserve"> PAGEREF _Toc21072 \h </w:instrText>
        </w:r>
        <w:r>
          <w:fldChar w:fldCharType="separate"/>
        </w:r>
        <w:r>
          <w:t>3</w:t>
        </w:r>
        <w:r>
          <w:fldChar w:fldCharType="end"/>
        </w:r>
      </w:hyperlink>
    </w:p>
    <w:p>
      <w:pPr>
        <w:pStyle w:val="TOC2"/>
        <w:tabs>
          <w:tab w:val="right" w:leader="dot" w:pos="8306"/>
        </w:tabs>
      </w:pPr>
      <w:hyperlink w:anchor="_Toc3442" w:history="1">
        <w:r>
          <w:rPr>
            <w:rFonts w:ascii="仿宋" w:eastAsia="仿宋" w:hAnsi="仿宋" w:cs="仿宋" w:hint="eastAsia"/>
            <w:lang w:eastAsia="zh-CN"/>
          </w:rPr>
          <w:t>(一)、绩效评估指标</w:t>
        </w:r>
        <w:r>
          <w:tab/>
        </w:r>
        <w:r>
          <w:fldChar w:fldCharType="begin"/>
        </w:r>
        <w:r>
          <w:instrText xml:space="preserve"> PAGEREF _Toc3442 \h </w:instrText>
        </w:r>
        <w:r>
          <w:fldChar w:fldCharType="separate"/>
        </w:r>
        <w:r>
          <w:t>3</w:t>
        </w:r>
        <w:r>
          <w:fldChar w:fldCharType="end"/>
        </w:r>
      </w:hyperlink>
    </w:p>
    <w:p>
      <w:pPr>
        <w:pStyle w:val="TOC2"/>
        <w:tabs>
          <w:tab w:val="right" w:leader="dot" w:pos="8306"/>
        </w:tabs>
      </w:pPr>
      <w:hyperlink w:anchor="_Toc18913" w:history="1">
        <w:r>
          <w:rPr>
            <w:rFonts w:ascii="仿宋" w:eastAsia="仿宋" w:hAnsi="仿宋" w:cs="仿宋" w:hint="eastAsia"/>
            <w:lang w:eastAsia="zh-CN"/>
          </w:rPr>
          <w:t>(二)、绩效评估方法</w:t>
        </w:r>
        <w:r>
          <w:tab/>
        </w:r>
        <w:r>
          <w:fldChar w:fldCharType="begin"/>
        </w:r>
        <w:r>
          <w:instrText xml:space="preserve"> PAGEREF _Toc18913 \h </w:instrText>
        </w:r>
        <w:r>
          <w:fldChar w:fldCharType="separate"/>
        </w:r>
        <w:r>
          <w:t>4</w:t>
        </w:r>
        <w:r>
          <w:fldChar w:fldCharType="end"/>
        </w:r>
      </w:hyperlink>
    </w:p>
    <w:p>
      <w:pPr>
        <w:pStyle w:val="TOC2"/>
        <w:tabs>
          <w:tab w:val="right" w:leader="dot" w:pos="8306"/>
        </w:tabs>
      </w:pPr>
      <w:hyperlink w:anchor="_Toc29699" w:history="1">
        <w:r>
          <w:rPr>
            <w:rFonts w:ascii="仿宋" w:eastAsia="仿宋" w:hAnsi="仿宋" w:cs="仿宋" w:hint="eastAsia"/>
            <w:lang w:eastAsia="zh-CN"/>
          </w:rPr>
          <w:t>(三)、绩效评估周期</w:t>
        </w:r>
        <w:r>
          <w:tab/>
        </w:r>
        <w:r>
          <w:fldChar w:fldCharType="begin"/>
        </w:r>
        <w:r>
          <w:instrText xml:space="preserve"> PAGEREF _Toc29699 \h </w:instrText>
        </w:r>
        <w:r>
          <w:fldChar w:fldCharType="separate"/>
        </w:r>
        <w:r>
          <w:t>5</w:t>
        </w:r>
        <w:r>
          <w:fldChar w:fldCharType="end"/>
        </w:r>
      </w:hyperlink>
    </w:p>
    <w:p>
      <w:pPr>
        <w:pStyle w:val="TOC1"/>
        <w:tabs>
          <w:tab w:val="right" w:leader="dot" w:pos="8306"/>
        </w:tabs>
      </w:pPr>
      <w:hyperlink w:anchor="_Toc7294" w:history="1">
        <w:r>
          <w:rPr>
            <w:rFonts w:ascii="仿宋" w:eastAsia="仿宋" w:hAnsi="仿宋" w:cs="仿宋" w:hint="eastAsia"/>
            <w:lang w:eastAsia="zh-CN"/>
          </w:rPr>
          <w:t>二、LED通用照明项目可持续发展</w:t>
        </w:r>
        <w:r>
          <w:tab/>
        </w:r>
        <w:r>
          <w:fldChar w:fldCharType="begin"/>
        </w:r>
        <w:r>
          <w:instrText xml:space="preserve"> PAGEREF _Toc7294 \h </w:instrText>
        </w:r>
        <w:r>
          <w:fldChar w:fldCharType="separate"/>
        </w:r>
        <w:r>
          <w:t>6</w:t>
        </w:r>
        <w:r>
          <w:fldChar w:fldCharType="end"/>
        </w:r>
      </w:hyperlink>
    </w:p>
    <w:p>
      <w:pPr>
        <w:pStyle w:val="TOC2"/>
        <w:tabs>
          <w:tab w:val="right" w:leader="dot" w:pos="8306"/>
        </w:tabs>
      </w:pPr>
      <w:hyperlink w:anchor="_Toc7897" w:history="1">
        <w:r>
          <w:rPr>
            <w:rFonts w:ascii="仿宋" w:eastAsia="仿宋" w:hAnsi="仿宋" w:cs="仿宋" w:hint="eastAsia"/>
            <w:lang w:eastAsia="zh-CN"/>
          </w:rPr>
          <w:t>(一)、可持续战略与实践</w:t>
        </w:r>
        <w:r>
          <w:tab/>
        </w:r>
        <w:r>
          <w:fldChar w:fldCharType="begin"/>
        </w:r>
        <w:r>
          <w:instrText xml:space="preserve"> PAGEREF _Toc7897 \h </w:instrText>
        </w:r>
        <w:r>
          <w:fldChar w:fldCharType="separate"/>
        </w:r>
        <w:r>
          <w:t>6</w:t>
        </w:r>
        <w:r>
          <w:fldChar w:fldCharType="end"/>
        </w:r>
      </w:hyperlink>
    </w:p>
    <w:p>
      <w:pPr>
        <w:pStyle w:val="TOC2"/>
        <w:tabs>
          <w:tab w:val="right" w:leader="dot" w:pos="8306"/>
        </w:tabs>
      </w:pPr>
      <w:hyperlink w:anchor="_Toc4883" w:history="1">
        <w:r>
          <w:rPr>
            <w:rFonts w:ascii="仿宋" w:eastAsia="仿宋" w:hAnsi="仿宋" w:cs="仿宋" w:hint="eastAsia"/>
            <w:lang w:eastAsia="zh-CN"/>
          </w:rPr>
          <w:t>(二)、环保与社会责任</w:t>
        </w:r>
        <w:r>
          <w:tab/>
        </w:r>
        <w:r>
          <w:fldChar w:fldCharType="begin"/>
        </w:r>
        <w:r>
          <w:instrText xml:space="preserve"> PAGEREF _Toc4883 \h </w:instrText>
        </w:r>
        <w:r>
          <w:fldChar w:fldCharType="separate"/>
        </w:r>
        <w:r>
          <w:t>7</w:t>
        </w:r>
        <w:r>
          <w:fldChar w:fldCharType="end"/>
        </w:r>
      </w:hyperlink>
    </w:p>
    <w:p>
      <w:pPr>
        <w:pStyle w:val="TOC1"/>
        <w:tabs>
          <w:tab w:val="right" w:leader="dot" w:pos="8306"/>
        </w:tabs>
      </w:pPr>
      <w:hyperlink w:anchor="_Toc14450" w:history="1">
        <w:r>
          <w:rPr>
            <w:rFonts w:ascii="仿宋" w:eastAsia="仿宋" w:hAnsi="仿宋" w:cs="仿宋" w:hint="eastAsia"/>
            <w:lang w:eastAsia="zh-CN"/>
          </w:rPr>
          <w:t>三、LED通用照明项目概论</w:t>
        </w:r>
        <w:r>
          <w:tab/>
        </w:r>
        <w:r>
          <w:fldChar w:fldCharType="begin"/>
        </w:r>
        <w:r>
          <w:instrText xml:space="preserve"> PAGEREF _Toc14450 \h </w:instrText>
        </w:r>
        <w:r>
          <w:fldChar w:fldCharType="separate"/>
        </w:r>
        <w:r>
          <w:t>8</w:t>
        </w:r>
        <w:r>
          <w:fldChar w:fldCharType="end"/>
        </w:r>
      </w:hyperlink>
    </w:p>
    <w:p>
      <w:pPr>
        <w:pStyle w:val="TOC2"/>
        <w:tabs>
          <w:tab w:val="right" w:leader="dot" w:pos="8306"/>
        </w:tabs>
      </w:pPr>
      <w:hyperlink w:anchor="_Toc9828" w:history="1">
        <w:r>
          <w:rPr>
            <w:rFonts w:ascii="仿宋" w:eastAsia="仿宋" w:hAnsi="仿宋" w:cs="仿宋" w:hint="eastAsia"/>
            <w:lang w:eastAsia="zh-CN"/>
          </w:rPr>
          <w:t>(一)、LED通用照明项目概况</w:t>
        </w:r>
        <w:r>
          <w:tab/>
        </w:r>
        <w:r>
          <w:fldChar w:fldCharType="begin"/>
        </w:r>
        <w:r>
          <w:instrText xml:space="preserve"> PAGEREF _Toc9828 \h </w:instrText>
        </w:r>
        <w:r>
          <w:fldChar w:fldCharType="separate"/>
        </w:r>
        <w:r>
          <w:t>8</w:t>
        </w:r>
        <w:r>
          <w:fldChar w:fldCharType="end"/>
        </w:r>
      </w:hyperlink>
    </w:p>
    <w:p>
      <w:pPr>
        <w:pStyle w:val="TOC2"/>
        <w:tabs>
          <w:tab w:val="right" w:leader="dot" w:pos="8306"/>
        </w:tabs>
      </w:pPr>
      <w:hyperlink w:anchor="_Toc21970" w:history="1">
        <w:r>
          <w:rPr>
            <w:rFonts w:ascii="仿宋" w:eastAsia="仿宋" w:hAnsi="仿宋" w:cs="仿宋" w:hint="eastAsia"/>
            <w:lang w:eastAsia="zh-CN"/>
          </w:rPr>
          <w:t>(二)、LED通用照明项目目标</w:t>
        </w:r>
        <w:r>
          <w:tab/>
        </w:r>
        <w:r>
          <w:fldChar w:fldCharType="begin"/>
        </w:r>
        <w:r>
          <w:instrText xml:space="preserve"> PAGEREF _Toc21970 \h </w:instrText>
        </w:r>
        <w:r>
          <w:fldChar w:fldCharType="separate"/>
        </w:r>
        <w:r>
          <w:t>10</w:t>
        </w:r>
        <w:r>
          <w:fldChar w:fldCharType="end"/>
        </w:r>
      </w:hyperlink>
    </w:p>
    <w:p>
      <w:pPr>
        <w:pStyle w:val="TOC2"/>
        <w:tabs>
          <w:tab w:val="right" w:leader="dot" w:pos="8306"/>
        </w:tabs>
      </w:pPr>
      <w:hyperlink w:anchor="_Toc24934" w:history="1">
        <w:r>
          <w:rPr>
            <w:rFonts w:ascii="仿宋" w:eastAsia="仿宋" w:hAnsi="仿宋" w:cs="仿宋" w:hint="eastAsia"/>
            <w:lang w:eastAsia="zh-CN"/>
          </w:rPr>
          <w:t>(三)、LED通用照明项目提出的理由</w:t>
        </w:r>
        <w:r>
          <w:tab/>
        </w:r>
        <w:r>
          <w:fldChar w:fldCharType="begin"/>
        </w:r>
        <w:r>
          <w:instrText xml:space="preserve"> PAGEREF _Toc24934 \h </w:instrText>
        </w:r>
        <w:r>
          <w:fldChar w:fldCharType="separate"/>
        </w:r>
        <w:r>
          <w:t>11</w:t>
        </w:r>
        <w:r>
          <w:fldChar w:fldCharType="end"/>
        </w:r>
      </w:hyperlink>
    </w:p>
    <w:p>
      <w:pPr>
        <w:pStyle w:val="TOC2"/>
        <w:tabs>
          <w:tab w:val="right" w:leader="dot" w:pos="8306"/>
        </w:tabs>
      </w:pPr>
      <w:hyperlink w:anchor="_Toc8191" w:history="1">
        <w:r>
          <w:rPr>
            <w:rFonts w:ascii="仿宋" w:eastAsia="仿宋" w:hAnsi="仿宋" w:cs="仿宋" w:hint="eastAsia"/>
            <w:lang w:eastAsia="zh-CN"/>
          </w:rPr>
          <w:t>(四)、LED通用照明项目意义</w:t>
        </w:r>
        <w:r>
          <w:tab/>
        </w:r>
        <w:r>
          <w:fldChar w:fldCharType="begin"/>
        </w:r>
        <w:r>
          <w:instrText xml:space="preserve"> PAGEREF _Toc8191 \h </w:instrText>
        </w:r>
        <w:r>
          <w:fldChar w:fldCharType="separate"/>
        </w:r>
        <w:r>
          <w:t>13</w:t>
        </w:r>
        <w:r>
          <w:fldChar w:fldCharType="end"/>
        </w:r>
      </w:hyperlink>
    </w:p>
    <w:p>
      <w:pPr>
        <w:pStyle w:val="TOC2"/>
        <w:tabs>
          <w:tab w:val="right" w:leader="dot" w:pos="8306"/>
        </w:tabs>
      </w:pPr>
      <w:hyperlink w:anchor="_Toc29546" w:history="1">
        <w:r>
          <w:rPr>
            <w:rFonts w:ascii="仿宋" w:eastAsia="仿宋" w:hAnsi="仿宋" w:cs="仿宋" w:hint="eastAsia"/>
            <w:lang w:eastAsia="zh-CN"/>
          </w:rPr>
          <w:t>(五)、LED通用照明项目背景</w:t>
        </w:r>
        <w:r>
          <w:tab/>
        </w:r>
        <w:r>
          <w:fldChar w:fldCharType="begin"/>
        </w:r>
        <w:r>
          <w:instrText xml:space="preserve"> PAGEREF _Toc29546 \h </w:instrText>
        </w:r>
        <w:r>
          <w:fldChar w:fldCharType="separate"/>
        </w:r>
        <w:r>
          <w:t>14</w:t>
        </w:r>
        <w:r>
          <w:fldChar w:fldCharType="end"/>
        </w:r>
      </w:hyperlink>
    </w:p>
    <w:p>
      <w:pPr>
        <w:pStyle w:val="TOC1"/>
        <w:tabs>
          <w:tab w:val="right" w:leader="dot" w:pos="8306"/>
        </w:tabs>
      </w:pPr>
      <w:hyperlink w:anchor="_Toc29172" w:history="1">
        <w:r>
          <w:rPr>
            <w:rFonts w:ascii="仿宋" w:eastAsia="仿宋" w:hAnsi="仿宋" w:cs="仿宋" w:hint="eastAsia"/>
            <w:lang w:eastAsia="zh-CN"/>
          </w:rPr>
          <w:t>四、LED通用照明项目选址可行性分析</w:t>
        </w:r>
        <w:r>
          <w:tab/>
        </w:r>
        <w:r>
          <w:fldChar w:fldCharType="begin"/>
        </w:r>
        <w:r>
          <w:instrText xml:space="preserve"> PAGEREF _Toc29172 \h </w:instrText>
        </w:r>
        <w:r>
          <w:fldChar w:fldCharType="separate"/>
        </w:r>
        <w:r>
          <w:t>14</w:t>
        </w:r>
        <w:r>
          <w:fldChar w:fldCharType="end"/>
        </w:r>
      </w:hyperlink>
    </w:p>
    <w:p>
      <w:pPr>
        <w:pStyle w:val="TOC2"/>
        <w:tabs>
          <w:tab w:val="right" w:leader="dot" w:pos="8306"/>
        </w:tabs>
      </w:pPr>
      <w:hyperlink w:anchor="_Toc22691" w:history="1">
        <w:r>
          <w:rPr>
            <w:rFonts w:ascii="仿宋" w:eastAsia="仿宋" w:hAnsi="仿宋" w:cs="仿宋" w:hint="eastAsia"/>
            <w:lang w:eastAsia="zh-CN"/>
          </w:rPr>
          <w:t>(一)、LED通用照明项目选址</w:t>
        </w:r>
        <w:r>
          <w:tab/>
        </w:r>
        <w:r>
          <w:fldChar w:fldCharType="begin"/>
        </w:r>
        <w:r>
          <w:instrText xml:space="preserve"> PAGEREF _Toc22691 \h </w:instrText>
        </w:r>
        <w:r>
          <w:fldChar w:fldCharType="separate"/>
        </w:r>
        <w:r>
          <w:t>14</w:t>
        </w:r>
        <w:r>
          <w:fldChar w:fldCharType="end"/>
        </w:r>
      </w:hyperlink>
    </w:p>
    <w:p>
      <w:pPr>
        <w:pStyle w:val="TOC2"/>
        <w:tabs>
          <w:tab w:val="right" w:leader="dot" w:pos="8306"/>
        </w:tabs>
      </w:pPr>
      <w:hyperlink w:anchor="_Toc22430" w:history="1">
        <w:r>
          <w:rPr>
            <w:rFonts w:ascii="仿宋" w:eastAsia="仿宋" w:hAnsi="仿宋" w:cs="仿宋" w:hint="eastAsia"/>
            <w:lang w:eastAsia="zh-CN"/>
          </w:rPr>
          <w:t>(二)、用地控制指标</w:t>
        </w:r>
        <w:r>
          <w:tab/>
        </w:r>
        <w:r>
          <w:fldChar w:fldCharType="begin"/>
        </w:r>
        <w:r>
          <w:instrText xml:space="preserve"> PAGEREF _Toc22430 \h </w:instrText>
        </w:r>
        <w:r>
          <w:fldChar w:fldCharType="separate"/>
        </w:r>
        <w:r>
          <w:t>15</w:t>
        </w:r>
        <w:r>
          <w:fldChar w:fldCharType="end"/>
        </w:r>
      </w:hyperlink>
    </w:p>
    <w:p>
      <w:pPr>
        <w:pStyle w:val="TOC2"/>
        <w:tabs>
          <w:tab w:val="right" w:leader="dot" w:pos="8306"/>
        </w:tabs>
      </w:pPr>
      <w:hyperlink w:anchor="_Toc29641" w:history="1">
        <w:r>
          <w:rPr>
            <w:rFonts w:ascii="仿宋" w:eastAsia="仿宋" w:hAnsi="仿宋" w:cs="仿宋" w:hint="eastAsia"/>
            <w:lang w:eastAsia="zh-CN"/>
          </w:rPr>
          <w:t>(三)、节约用地措施</w:t>
        </w:r>
        <w:r>
          <w:tab/>
        </w:r>
        <w:r>
          <w:fldChar w:fldCharType="begin"/>
        </w:r>
        <w:r>
          <w:instrText xml:space="preserve"> PAGEREF _Toc29641 \h </w:instrText>
        </w:r>
        <w:r>
          <w:fldChar w:fldCharType="separate"/>
        </w:r>
        <w:r>
          <w:t>16</w:t>
        </w:r>
        <w:r>
          <w:fldChar w:fldCharType="end"/>
        </w:r>
      </w:hyperlink>
    </w:p>
    <w:p>
      <w:pPr>
        <w:pStyle w:val="TOC2"/>
        <w:tabs>
          <w:tab w:val="right" w:leader="dot" w:pos="8306"/>
        </w:tabs>
      </w:pPr>
      <w:hyperlink w:anchor="_Toc32102" w:history="1">
        <w:r>
          <w:rPr>
            <w:rFonts w:ascii="仿宋" w:eastAsia="仿宋" w:hAnsi="仿宋" w:cs="仿宋" w:hint="eastAsia"/>
            <w:lang w:eastAsia="zh-CN"/>
          </w:rPr>
          <w:t>(四)、总图布置方案</w:t>
        </w:r>
        <w:r>
          <w:tab/>
        </w:r>
        <w:r>
          <w:fldChar w:fldCharType="begin"/>
        </w:r>
        <w:r>
          <w:instrText xml:space="preserve"> PAGEREF _Toc32102 \h </w:instrText>
        </w:r>
        <w:r>
          <w:fldChar w:fldCharType="separate"/>
        </w:r>
        <w:r>
          <w:t>18</w:t>
        </w:r>
        <w:r>
          <w:fldChar w:fldCharType="end"/>
        </w:r>
      </w:hyperlink>
    </w:p>
    <w:p>
      <w:pPr>
        <w:pStyle w:val="TOC2"/>
        <w:tabs>
          <w:tab w:val="right" w:leader="dot" w:pos="8306"/>
        </w:tabs>
      </w:pPr>
      <w:hyperlink w:anchor="_Toc2535" w:history="1">
        <w:r>
          <w:rPr>
            <w:rFonts w:ascii="仿宋" w:eastAsia="仿宋" w:hAnsi="仿宋" w:cs="仿宋" w:hint="eastAsia"/>
            <w:lang w:eastAsia="zh-CN"/>
          </w:rPr>
          <w:t>(五)、选址综合评价</w:t>
        </w:r>
        <w:r>
          <w:tab/>
        </w:r>
        <w:r>
          <w:fldChar w:fldCharType="begin"/>
        </w:r>
        <w:r>
          <w:instrText xml:space="preserve"> PAGEREF _Toc2535 \h </w:instrText>
        </w:r>
        <w:r>
          <w:fldChar w:fldCharType="separate"/>
        </w:r>
        <w:r>
          <w:t>19</w:t>
        </w:r>
        <w:r>
          <w:fldChar w:fldCharType="end"/>
        </w:r>
      </w:hyperlink>
    </w:p>
    <w:p>
      <w:pPr>
        <w:pStyle w:val="TOC1"/>
        <w:tabs>
          <w:tab w:val="right" w:leader="dot" w:pos="8306"/>
        </w:tabs>
      </w:pPr>
      <w:hyperlink w:anchor="_Toc23882" w:history="1">
        <w:r>
          <w:rPr>
            <w:rFonts w:ascii="仿宋" w:eastAsia="仿宋" w:hAnsi="仿宋" w:cs="仿宋" w:hint="eastAsia"/>
            <w:lang w:eastAsia="zh-CN"/>
          </w:rPr>
          <w:t>五、LED通用照明项目建设单位说明</w:t>
        </w:r>
        <w:r>
          <w:tab/>
        </w:r>
        <w:r>
          <w:fldChar w:fldCharType="begin"/>
        </w:r>
        <w:r>
          <w:instrText xml:space="preserve"> PAGEREF _Toc23882 \h </w:instrText>
        </w:r>
        <w:r>
          <w:fldChar w:fldCharType="separate"/>
        </w:r>
        <w:r>
          <w:t>20</w:t>
        </w:r>
        <w:r>
          <w:fldChar w:fldCharType="end"/>
        </w:r>
      </w:hyperlink>
    </w:p>
    <w:p>
      <w:pPr>
        <w:pStyle w:val="TOC2"/>
        <w:tabs>
          <w:tab w:val="right" w:leader="dot" w:pos="8306"/>
        </w:tabs>
      </w:pPr>
      <w:hyperlink w:anchor="_Toc22940" w:history="1">
        <w:r>
          <w:rPr>
            <w:rFonts w:ascii="仿宋" w:eastAsia="仿宋" w:hAnsi="仿宋" w:cs="仿宋" w:hint="eastAsia"/>
            <w:lang w:eastAsia="zh-CN"/>
          </w:rPr>
          <w:t>(一)、LED通用照明项目承办单位基本情况</w:t>
        </w:r>
        <w:r>
          <w:tab/>
        </w:r>
        <w:r>
          <w:fldChar w:fldCharType="begin"/>
        </w:r>
        <w:r>
          <w:instrText xml:space="preserve"> PAGEREF _Toc22940 \h </w:instrText>
        </w:r>
        <w:r>
          <w:fldChar w:fldCharType="separate"/>
        </w:r>
        <w:r>
          <w:t>20</w:t>
        </w:r>
        <w:r>
          <w:fldChar w:fldCharType="end"/>
        </w:r>
      </w:hyperlink>
    </w:p>
    <w:p>
      <w:pPr>
        <w:pStyle w:val="TOC2"/>
        <w:tabs>
          <w:tab w:val="right" w:leader="dot" w:pos="8306"/>
        </w:tabs>
      </w:pPr>
      <w:hyperlink w:anchor="_Toc7585" w:history="1">
        <w:r>
          <w:rPr>
            <w:rFonts w:ascii="仿宋" w:eastAsia="仿宋" w:hAnsi="仿宋" w:cs="仿宋" w:hint="eastAsia"/>
            <w:lang w:eastAsia="zh-CN"/>
          </w:rPr>
          <w:t>(二)、公司经济效益分析</w:t>
        </w:r>
        <w:r>
          <w:tab/>
        </w:r>
        <w:r>
          <w:fldChar w:fldCharType="begin"/>
        </w:r>
        <w:r>
          <w:instrText xml:space="preserve"> PAGEREF _Toc7585 \h </w:instrText>
        </w:r>
        <w:r>
          <w:fldChar w:fldCharType="separate"/>
        </w:r>
        <w:r>
          <w:t>20</w:t>
        </w:r>
        <w:r>
          <w:fldChar w:fldCharType="end"/>
        </w:r>
      </w:hyperlink>
    </w:p>
    <w:p>
      <w:pPr>
        <w:pStyle w:val="TOC1"/>
        <w:tabs>
          <w:tab w:val="right" w:leader="dot" w:pos="8306"/>
        </w:tabs>
      </w:pPr>
      <w:hyperlink w:anchor="_Toc4436" w:history="1">
        <w:r>
          <w:rPr>
            <w:rFonts w:ascii="仿宋" w:eastAsia="仿宋" w:hAnsi="仿宋" w:cs="仿宋" w:hint="eastAsia"/>
            <w:lang w:eastAsia="zh-CN"/>
          </w:rPr>
          <w:t>六、产品规划分析</w:t>
        </w:r>
        <w:r>
          <w:tab/>
        </w:r>
        <w:r>
          <w:fldChar w:fldCharType="begin"/>
        </w:r>
        <w:r>
          <w:instrText xml:space="preserve"> PAGEREF _Toc4436 \h </w:instrText>
        </w:r>
        <w:r>
          <w:fldChar w:fldCharType="separate"/>
        </w:r>
        <w:r>
          <w:t>21</w:t>
        </w:r>
        <w:r>
          <w:fldChar w:fldCharType="end"/>
        </w:r>
      </w:hyperlink>
    </w:p>
    <w:p>
      <w:pPr>
        <w:pStyle w:val="TOC2"/>
        <w:tabs>
          <w:tab w:val="right" w:leader="dot" w:pos="8306"/>
        </w:tabs>
      </w:pPr>
      <w:hyperlink w:anchor="_Toc30445" w:history="1">
        <w:r>
          <w:rPr>
            <w:rFonts w:ascii="仿宋" w:eastAsia="仿宋" w:hAnsi="仿宋" w:cs="仿宋" w:hint="eastAsia"/>
            <w:lang w:eastAsia="zh-CN"/>
          </w:rPr>
          <w:t>(一)、产品规划</w:t>
        </w:r>
        <w:r>
          <w:tab/>
        </w:r>
        <w:r>
          <w:fldChar w:fldCharType="begin"/>
        </w:r>
        <w:r>
          <w:instrText xml:space="preserve"> PAGEREF _Toc30445 \h </w:instrText>
        </w:r>
        <w:r>
          <w:fldChar w:fldCharType="separate"/>
        </w:r>
        <w:r>
          <w:t>21</w:t>
        </w:r>
        <w:r>
          <w:fldChar w:fldCharType="end"/>
        </w:r>
      </w:hyperlink>
    </w:p>
    <w:p>
      <w:pPr>
        <w:pStyle w:val="TOC2"/>
        <w:tabs>
          <w:tab w:val="right" w:leader="dot" w:pos="8306"/>
        </w:tabs>
      </w:pPr>
      <w:hyperlink w:anchor="_Toc17467" w:history="1">
        <w:r>
          <w:rPr>
            <w:rFonts w:ascii="仿宋" w:eastAsia="仿宋" w:hAnsi="仿宋" w:cs="仿宋" w:hint="eastAsia"/>
            <w:lang w:eastAsia="zh-CN"/>
          </w:rPr>
          <w:t>(二)、建设规模</w:t>
        </w:r>
        <w:r>
          <w:tab/>
        </w:r>
        <w:r>
          <w:fldChar w:fldCharType="begin"/>
        </w:r>
        <w:r>
          <w:instrText xml:space="preserve"> PAGEREF _Toc17467 \h </w:instrText>
        </w:r>
        <w:r>
          <w:fldChar w:fldCharType="separate"/>
        </w:r>
        <w:r>
          <w:t>22</w:t>
        </w:r>
        <w:r>
          <w:fldChar w:fldCharType="end"/>
        </w:r>
      </w:hyperlink>
    </w:p>
    <w:p>
      <w:pPr>
        <w:pStyle w:val="TOC1"/>
        <w:tabs>
          <w:tab w:val="right" w:leader="dot" w:pos="8306"/>
        </w:tabs>
      </w:pPr>
      <w:hyperlink w:anchor="_Toc24950" w:history="1">
        <w:r>
          <w:rPr>
            <w:rFonts w:ascii="仿宋" w:eastAsia="仿宋" w:hAnsi="仿宋" w:cs="仿宋" w:hint="eastAsia"/>
            <w:lang w:eastAsia="zh-CN"/>
          </w:rPr>
          <w:t>七、LED通用照明项目计划安排</w:t>
        </w:r>
        <w:r>
          <w:tab/>
        </w:r>
        <w:r>
          <w:fldChar w:fldCharType="begin"/>
        </w:r>
        <w:r>
          <w:instrText xml:space="preserve"> PAGEREF _Toc24950 \h </w:instrText>
        </w:r>
        <w:r>
          <w:fldChar w:fldCharType="separate"/>
        </w:r>
        <w:r>
          <w:t>23</w:t>
        </w:r>
        <w:r>
          <w:fldChar w:fldCharType="end"/>
        </w:r>
      </w:hyperlink>
    </w:p>
    <w:p>
      <w:pPr>
        <w:pStyle w:val="TOC2"/>
        <w:tabs>
          <w:tab w:val="right" w:leader="dot" w:pos="8306"/>
        </w:tabs>
      </w:pPr>
      <w:hyperlink w:anchor="_Toc15366" w:history="1">
        <w:r>
          <w:rPr>
            <w:rFonts w:ascii="仿宋" w:eastAsia="仿宋" w:hAnsi="仿宋" w:cs="仿宋" w:hint="eastAsia"/>
            <w:lang w:eastAsia="zh-CN"/>
          </w:rPr>
          <w:t>(一)、建设周期</w:t>
        </w:r>
        <w:r>
          <w:tab/>
        </w:r>
        <w:r>
          <w:fldChar w:fldCharType="begin"/>
        </w:r>
        <w:r>
          <w:instrText xml:space="preserve"> PAGEREF _Toc15366 \h </w:instrText>
        </w:r>
        <w:r>
          <w:fldChar w:fldCharType="separate"/>
        </w:r>
        <w:r>
          <w:t>23</w:t>
        </w:r>
        <w:r>
          <w:fldChar w:fldCharType="end"/>
        </w:r>
      </w:hyperlink>
    </w:p>
    <w:p>
      <w:pPr>
        <w:pStyle w:val="TOC2"/>
        <w:tabs>
          <w:tab w:val="right" w:leader="dot" w:pos="8306"/>
        </w:tabs>
      </w:pPr>
      <w:hyperlink w:anchor="_Toc4224" w:history="1">
        <w:r>
          <w:rPr>
            <w:rFonts w:ascii="仿宋" w:eastAsia="仿宋" w:hAnsi="仿宋" w:cs="仿宋" w:hint="eastAsia"/>
            <w:lang w:eastAsia="zh-CN"/>
          </w:rPr>
          <w:t>(二)、建设进度</w:t>
        </w:r>
        <w:r>
          <w:tab/>
        </w:r>
        <w:r>
          <w:fldChar w:fldCharType="begin"/>
        </w:r>
        <w:r>
          <w:instrText xml:space="preserve"> PAGEREF _Toc4224 \h </w:instrText>
        </w:r>
        <w:r>
          <w:fldChar w:fldCharType="separate"/>
        </w:r>
        <w:r>
          <w:t>24</w:t>
        </w:r>
        <w:r>
          <w:fldChar w:fldCharType="end"/>
        </w:r>
      </w:hyperlink>
    </w:p>
    <w:p>
      <w:pPr>
        <w:pStyle w:val="TOC2"/>
        <w:tabs>
          <w:tab w:val="right" w:leader="dot" w:pos="8306"/>
        </w:tabs>
      </w:pPr>
      <w:hyperlink w:anchor="_Toc13764" w:history="1">
        <w:r>
          <w:rPr>
            <w:rFonts w:ascii="仿宋" w:eastAsia="仿宋" w:hAnsi="仿宋" w:cs="仿宋" w:hint="eastAsia"/>
            <w:lang w:eastAsia="zh-CN"/>
          </w:rPr>
          <w:t>(三)、进度安排注意事项</w:t>
        </w:r>
        <w:r>
          <w:tab/>
        </w:r>
        <w:r>
          <w:fldChar w:fldCharType="begin"/>
        </w:r>
        <w:r>
          <w:instrText xml:space="preserve"> PAGEREF _Toc13764 \h </w:instrText>
        </w:r>
        <w:r>
          <w:fldChar w:fldCharType="separate"/>
        </w:r>
        <w:r>
          <w:t>25</w:t>
        </w:r>
        <w:r>
          <w:fldChar w:fldCharType="end"/>
        </w:r>
      </w:hyperlink>
    </w:p>
    <w:p>
      <w:pPr>
        <w:pStyle w:val="TOC2"/>
        <w:tabs>
          <w:tab w:val="right" w:leader="dot" w:pos="8306"/>
        </w:tabs>
      </w:pPr>
      <w:hyperlink w:anchor="_Toc12370" w:history="1">
        <w:r>
          <w:rPr>
            <w:rFonts w:ascii="仿宋" w:eastAsia="仿宋" w:hAnsi="仿宋" w:cs="仿宋" w:hint="eastAsia"/>
            <w:lang w:eastAsia="zh-CN"/>
          </w:rPr>
          <w:t>(四)、人力资源配置</w:t>
        </w:r>
        <w:r>
          <w:tab/>
        </w:r>
        <w:r>
          <w:fldChar w:fldCharType="begin"/>
        </w:r>
        <w:r>
          <w:instrText xml:space="preserve"> PAGEREF _Toc12370 \h </w:instrText>
        </w:r>
        <w:r>
          <w:fldChar w:fldCharType="separate"/>
        </w:r>
        <w:r>
          <w:t>27</w:t>
        </w:r>
        <w:r>
          <w:fldChar w:fldCharType="end"/>
        </w:r>
      </w:hyperlink>
    </w:p>
    <w:p>
      <w:pPr>
        <w:pStyle w:val="TOC1"/>
        <w:tabs>
          <w:tab w:val="right" w:leader="dot" w:pos="8306"/>
        </w:tabs>
      </w:pPr>
      <w:hyperlink w:anchor="_Toc19016" w:history="1">
        <w:r>
          <w:rPr>
            <w:rFonts w:ascii="仿宋" w:eastAsia="仿宋" w:hAnsi="仿宋" w:cs="仿宋" w:hint="eastAsia"/>
            <w:lang w:eastAsia="zh-CN"/>
          </w:rPr>
          <w:t>八、LED通用照明项目社会影响</w:t>
        </w:r>
        <w:r>
          <w:tab/>
        </w:r>
        <w:r>
          <w:fldChar w:fldCharType="begin"/>
        </w:r>
        <w:r>
          <w:instrText xml:space="preserve"> PAGEREF _Toc19016 \h </w:instrText>
        </w:r>
        <w:r>
          <w:fldChar w:fldCharType="separate"/>
        </w:r>
        <w:r>
          <w:t>27</w:t>
        </w:r>
        <w:r>
          <w:fldChar w:fldCharType="end"/>
        </w:r>
      </w:hyperlink>
    </w:p>
    <w:p>
      <w:pPr>
        <w:pStyle w:val="TOC2"/>
        <w:tabs>
          <w:tab w:val="right" w:leader="dot" w:pos="8306"/>
        </w:tabs>
      </w:pPr>
      <w:hyperlink w:anchor="_Toc17779" w:history="1">
        <w:r>
          <w:rPr>
            <w:rFonts w:ascii="仿宋" w:eastAsia="仿宋" w:hAnsi="仿宋" w:cs="仿宋" w:hint="eastAsia"/>
            <w:lang w:eastAsia="zh-CN"/>
          </w:rPr>
          <w:t>(一)、社会责任与义务</w:t>
        </w:r>
        <w:r>
          <w:tab/>
        </w:r>
        <w:r>
          <w:fldChar w:fldCharType="begin"/>
        </w:r>
        <w:r>
          <w:instrText xml:space="preserve"> PAGEREF _Toc17779 \h </w:instrText>
        </w:r>
        <w:r>
          <w:fldChar w:fldCharType="separate"/>
        </w:r>
        <w:r>
          <w:t>27</w:t>
        </w:r>
        <w:r>
          <w:fldChar w:fldCharType="end"/>
        </w:r>
      </w:hyperlink>
    </w:p>
    <w:p>
      <w:pPr>
        <w:pStyle w:val="TOC2"/>
        <w:tabs>
          <w:tab w:val="right" w:leader="dot" w:pos="8306"/>
        </w:tabs>
      </w:pPr>
      <w:hyperlink w:anchor="_Toc1786" w:history="1">
        <w:r>
          <w:rPr>
            <w:rFonts w:ascii="仿宋" w:eastAsia="仿宋" w:hAnsi="仿宋" w:cs="仿宋" w:hint="eastAsia"/>
            <w:lang w:eastAsia="zh-CN"/>
          </w:rPr>
          <w:t>(二)、社会参与与沟通</w:t>
        </w:r>
        <w:r>
          <w:tab/>
        </w:r>
        <w:r>
          <w:fldChar w:fldCharType="begin"/>
        </w:r>
        <w:r>
          <w:instrText xml:space="preserve"> PAGEREF _Toc1786 \h </w:instrText>
        </w:r>
        <w:r>
          <w:fldChar w:fldCharType="separate"/>
        </w:r>
        <w:r>
          <w:t>28</w:t>
        </w:r>
        <w:r>
          <w:fldChar w:fldCharType="end"/>
        </w:r>
      </w:hyperlink>
    </w:p>
    <w:p>
      <w:pPr>
        <w:pStyle w:val="TOC1"/>
        <w:tabs>
          <w:tab w:val="right" w:leader="dot" w:pos="8306"/>
        </w:tabs>
      </w:pPr>
      <w:hyperlink w:anchor="_Toc16065" w:history="1">
        <w:r>
          <w:rPr>
            <w:rFonts w:ascii="仿宋" w:eastAsia="仿宋" w:hAnsi="仿宋" w:cs="仿宋" w:hint="eastAsia"/>
            <w:lang w:eastAsia="zh-CN"/>
          </w:rPr>
          <w:t>九、LED通用照明项目投资规划</w:t>
        </w:r>
        <w:r>
          <w:tab/>
        </w:r>
        <w:r>
          <w:fldChar w:fldCharType="begin"/>
        </w:r>
        <w:r>
          <w:instrText xml:space="preserve"> PAGEREF _Toc16065 \h </w:instrText>
        </w:r>
        <w:r>
          <w:fldChar w:fldCharType="separate"/>
        </w:r>
        <w:r>
          <w:t>29</w:t>
        </w:r>
        <w:r>
          <w:fldChar w:fldCharType="end"/>
        </w:r>
      </w:hyperlink>
    </w:p>
    <w:p>
      <w:pPr>
        <w:pStyle w:val="TOC2"/>
        <w:tabs>
          <w:tab w:val="right" w:leader="dot" w:pos="8306"/>
        </w:tabs>
      </w:pPr>
      <w:hyperlink w:anchor="_Toc8712" w:history="1">
        <w:r>
          <w:rPr>
            <w:rFonts w:ascii="仿宋" w:eastAsia="仿宋" w:hAnsi="仿宋" w:cs="仿宋" w:hint="eastAsia"/>
            <w:lang w:eastAsia="zh-CN"/>
          </w:rPr>
          <w:t>(一)、LED通用照明项目总投资估算</w:t>
        </w:r>
        <w:r>
          <w:tab/>
        </w:r>
        <w:r>
          <w:fldChar w:fldCharType="begin"/>
        </w:r>
        <w:r>
          <w:instrText xml:space="preserve"> PAGEREF _Toc8712 \h </w:instrText>
        </w:r>
        <w:r>
          <w:fldChar w:fldCharType="separate"/>
        </w:r>
        <w:r>
          <w:t>29</w:t>
        </w:r>
        <w:r>
          <w:fldChar w:fldCharType="end"/>
        </w:r>
      </w:hyperlink>
    </w:p>
    <w:p>
      <w:pPr>
        <w:pStyle w:val="TOC2"/>
        <w:tabs>
          <w:tab w:val="right" w:leader="dot" w:pos="8306"/>
        </w:tabs>
      </w:pPr>
      <w:hyperlink w:anchor="_Toc6479" w:history="1">
        <w:r>
          <w:rPr>
            <w:rFonts w:ascii="仿宋" w:eastAsia="仿宋" w:hAnsi="仿宋" w:cs="仿宋" w:hint="eastAsia"/>
            <w:lang w:eastAsia="zh-CN"/>
          </w:rPr>
          <w:t>(二)、资金筹措</w:t>
        </w:r>
        <w:r>
          <w:tab/>
        </w:r>
        <w:r>
          <w:fldChar w:fldCharType="begin"/>
        </w:r>
        <w:r>
          <w:instrText xml:space="preserve"> PAGEREF _Toc6479 \h </w:instrText>
        </w:r>
        <w:r>
          <w:fldChar w:fldCharType="separate"/>
        </w:r>
        <w:r>
          <w:t>30</w:t>
        </w:r>
        <w:r>
          <w:fldChar w:fldCharType="end"/>
        </w:r>
      </w:hyperlink>
    </w:p>
    <w:p>
      <w:pPr>
        <w:pStyle w:val="TOC1"/>
        <w:tabs>
          <w:tab w:val="right" w:leader="dot" w:pos="8306"/>
        </w:tabs>
      </w:pPr>
      <w:hyperlink w:anchor="_Toc19795" w:history="1">
        <w:r>
          <w:rPr>
            <w:rFonts w:ascii="仿宋" w:eastAsia="仿宋" w:hAnsi="仿宋" w:cs="仿宋" w:hint="eastAsia"/>
            <w:lang w:eastAsia="zh-CN"/>
          </w:rPr>
          <w:t>十、LED通用照明项目经营效益</w:t>
        </w:r>
        <w:r>
          <w:tab/>
        </w:r>
        <w:r>
          <w:fldChar w:fldCharType="begin"/>
        </w:r>
        <w:r>
          <w:instrText xml:space="preserve"> PAGEREF _Toc19795 \h </w:instrText>
        </w:r>
        <w:r>
          <w:fldChar w:fldCharType="separate"/>
        </w:r>
        <w:r>
          <w:t>31</w:t>
        </w:r>
        <w:r>
          <w:fldChar w:fldCharType="end"/>
        </w:r>
      </w:hyperlink>
    </w:p>
    <w:p>
      <w:pPr>
        <w:pStyle w:val="TOC2"/>
        <w:tabs>
          <w:tab w:val="right" w:leader="dot" w:pos="8306"/>
        </w:tabs>
      </w:pPr>
      <w:hyperlink w:anchor="_Toc11313" w:history="1">
        <w:r>
          <w:rPr>
            <w:rFonts w:ascii="仿宋" w:eastAsia="仿宋" w:hAnsi="仿宋" w:cs="仿宋" w:hint="eastAsia"/>
            <w:lang w:eastAsia="zh-CN"/>
          </w:rPr>
          <w:t>(一)、经济评价财务测算</w:t>
        </w:r>
        <w:r>
          <w:tab/>
        </w:r>
        <w:r>
          <w:fldChar w:fldCharType="begin"/>
        </w:r>
        <w:r>
          <w:instrText xml:space="preserve"> PAGEREF _Toc11313 \h </w:instrText>
        </w:r>
        <w:r>
          <w:fldChar w:fldCharType="separate"/>
        </w:r>
        <w:r>
          <w:t>31</w:t>
        </w:r>
        <w:r>
          <w:fldChar w:fldCharType="end"/>
        </w:r>
      </w:hyperlink>
    </w:p>
    <w:p>
      <w:pPr>
        <w:pStyle w:val="TOC2"/>
        <w:tabs>
          <w:tab w:val="right" w:leader="dot" w:pos="8306"/>
        </w:tabs>
      </w:pPr>
      <w:hyperlink w:anchor="_Toc1417" w:history="1">
        <w:r>
          <w:rPr>
            <w:rFonts w:ascii="仿宋" w:eastAsia="仿宋" w:hAnsi="仿宋" w:cs="仿宋" w:hint="eastAsia"/>
            <w:lang w:eastAsia="zh-CN"/>
          </w:rPr>
          <w:t>(二)、LED通用照明项目盈利能力分析</w:t>
        </w:r>
        <w:r>
          <w:tab/>
        </w:r>
        <w:r>
          <w:fldChar w:fldCharType="begin"/>
        </w:r>
        <w:r>
          <w:instrText xml:space="preserve"> PAGEREF _Toc1417 \h </w:instrText>
        </w:r>
        <w:r>
          <w:fldChar w:fldCharType="separate"/>
        </w:r>
        <w:r>
          <w:t>32</w:t>
        </w:r>
        <w:r>
          <w:fldChar w:fldCharType="end"/>
        </w:r>
      </w:hyperlink>
    </w:p>
    <w:p>
      <w:pPr>
        <w:pStyle w:val="TOC1"/>
        <w:tabs>
          <w:tab w:val="right" w:leader="dot" w:pos="8306"/>
        </w:tabs>
      </w:pPr>
      <w:hyperlink w:anchor="_Toc9114" w:history="1">
        <w:r>
          <w:rPr>
            <w:rFonts w:ascii="仿宋" w:eastAsia="仿宋" w:hAnsi="仿宋" w:cs="仿宋" w:hint="eastAsia"/>
            <w:lang w:eastAsia="zh-CN"/>
          </w:rPr>
          <w:t>十一、生产安全保护</w:t>
        </w:r>
        <w:r>
          <w:tab/>
        </w:r>
        <w:r>
          <w:fldChar w:fldCharType="begin"/>
        </w:r>
        <w:r>
          <w:instrText xml:space="preserve"> PAGEREF _Toc9114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44" w:history="1">
        <w:r>
          <w:rPr>
            <w:rFonts w:ascii="仿宋" w:eastAsia="仿宋" w:hAnsi="仿宋" w:cs="仿宋" w:hint="eastAsia"/>
            <w:lang w:eastAsia="zh-CN"/>
          </w:rPr>
          <w:t>(一)、消防安全</w:t>
        </w:r>
        <w:r>
          <w:tab/>
        </w:r>
        <w:r>
          <w:fldChar w:fldCharType="begin"/>
        </w:r>
        <w:r>
          <w:instrText xml:space="preserve"> PAGEREF _Toc26444 \h </w:instrText>
        </w:r>
        <w:r>
          <w:fldChar w:fldCharType="separate"/>
        </w:r>
        <w:r>
          <w:t>33</w:t>
        </w:r>
        <w:r>
          <w:fldChar w:fldCharType="end"/>
        </w:r>
      </w:hyperlink>
    </w:p>
    <w:p>
      <w:pPr>
        <w:pStyle w:val="TOC2"/>
        <w:tabs>
          <w:tab w:val="right" w:leader="dot" w:pos="8306"/>
        </w:tabs>
      </w:pPr>
      <w:hyperlink w:anchor="_Toc11769" w:history="1">
        <w:r>
          <w:rPr>
            <w:rFonts w:ascii="仿宋" w:eastAsia="仿宋" w:hAnsi="仿宋" w:cs="仿宋" w:hint="eastAsia"/>
            <w:lang w:eastAsia="zh-CN"/>
          </w:rPr>
          <w:t>(二)、防火防爆总图布置措施</w:t>
        </w:r>
        <w:r>
          <w:tab/>
        </w:r>
        <w:r>
          <w:fldChar w:fldCharType="begin"/>
        </w:r>
        <w:r>
          <w:instrText xml:space="preserve"> PAGEREF _Toc11769 \h </w:instrText>
        </w:r>
        <w:r>
          <w:fldChar w:fldCharType="separate"/>
        </w:r>
        <w:r>
          <w:t>35</w:t>
        </w:r>
        <w:r>
          <w:fldChar w:fldCharType="end"/>
        </w:r>
      </w:hyperlink>
    </w:p>
    <w:p>
      <w:pPr>
        <w:pStyle w:val="TOC2"/>
        <w:tabs>
          <w:tab w:val="right" w:leader="dot" w:pos="8306"/>
        </w:tabs>
      </w:pPr>
      <w:hyperlink w:anchor="_Toc8792" w:history="1">
        <w:r>
          <w:rPr>
            <w:rFonts w:ascii="仿宋" w:eastAsia="仿宋" w:hAnsi="仿宋" w:cs="仿宋" w:hint="eastAsia"/>
            <w:lang w:eastAsia="zh-CN"/>
          </w:rPr>
          <w:t>(三)、自然灾害防范措施</w:t>
        </w:r>
        <w:r>
          <w:tab/>
        </w:r>
        <w:r>
          <w:fldChar w:fldCharType="begin"/>
        </w:r>
        <w:r>
          <w:instrText xml:space="preserve"> PAGEREF _Toc8792 \h </w:instrText>
        </w:r>
        <w:r>
          <w:fldChar w:fldCharType="separate"/>
        </w:r>
        <w:r>
          <w:t>36</w:t>
        </w:r>
        <w:r>
          <w:fldChar w:fldCharType="end"/>
        </w:r>
      </w:hyperlink>
    </w:p>
    <w:p>
      <w:pPr>
        <w:pStyle w:val="TOC2"/>
        <w:tabs>
          <w:tab w:val="right" w:leader="dot" w:pos="8306"/>
        </w:tabs>
      </w:pPr>
      <w:hyperlink w:anchor="_Toc13051" w:history="1">
        <w:r>
          <w:rPr>
            <w:rFonts w:ascii="仿宋" w:eastAsia="仿宋" w:hAnsi="仿宋" w:cs="仿宋" w:hint="eastAsia"/>
            <w:lang w:eastAsia="zh-CN"/>
          </w:rPr>
          <w:t>(四)、安全色及安全标志使用要求</w:t>
        </w:r>
        <w:r>
          <w:tab/>
        </w:r>
        <w:r>
          <w:fldChar w:fldCharType="begin"/>
        </w:r>
        <w:r>
          <w:instrText xml:space="preserve"> PAGEREF _Toc13051 \h </w:instrText>
        </w:r>
        <w:r>
          <w:fldChar w:fldCharType="separate"/>
        </w:r>
        <w:r>
          <w:t>37</w:t>
        </w:r>
        <w:r>
          <w:fldChar w:fldCharType="end"/>
        </w:r>
      </w:hyperlink>
    </w:p>
    <w:p>
      <w:pPr>
        <w:pStyle w:val="TOC2"/>
        <w:tabs>
          <w:tab w:val="right" w:leader="dot" w:pos="8306"/>
        </w:tabs>
      </w:pPr>
      <w:hyperlink w:anchor="_Toc8960" w:history="1">
        <w:r>
          <w:rPr>
            <w:rFonts w:ascii="仿宋" w:eastAsia="仿宋" w:hAnsi="仿宋" w:cs="仿宋" w:hint="eastAsia"/>
            <w:lang w:eastAsia="zh-CN"/>
          </w:rPr>
          <w:t>(五)、防尘防毒措施</w:t>
        </w:r>
        <w:r>
          <w:tab/>
        </w:r>
        <w:r>
          <w:fldChar w:fldCharType="begin"/>
        </w:r>
        <w:r>
          <w:instrText xml:space="preserve"> PAGEREF _Toc8960 \h </w:instrText>
        </w:r>
        <w:r>
          <w:fldChar w:fldCharType="separate"/>
        </w:r>
        <w:r>
          <w:t>38</w:t>
        </w:r>
        <w:r>
          <w:fldChar w:fldCharType="end"/>
        </w:r>
      </w:hyperlink>
    </w:p>
    <w:p>
      <w:pPr>
        <w:pStyle w:val="TOC2"/>
        <w:tabs>
          <w:tab w:val="right" w:leader="dot" w:pos="8306"/>
        </w:tabs>
      </w:pPr>
      <w:hyperlink w:anchor="_Toc27545" w:history="1">
        <w:r>
          <w:rPr>
            <w:rFonts w:ascii="仿宋" w:eastAsia="仿宋" w:hAnsi="仿宋" w:cs="仿宋" w:hint="eastAsia"/>
            <w:lang w:eastAsia="zh-CN"/>
          </w:rPr>
          <w:t>(六)、防静电、触电防护及防雷措施</w:t>
        </w:r>
        <w:r>
          <w:tab/>
        </w:r>
        <w:r>
          <w:fldChar w:fldCharType="begin"/>
        </w:r>
        <w:r>
          <w:instrText xml:space="preserve"> PAGEREF _Toc27545 \h </w:instrText>
        </w:r>
        <w:r>
          <w:fldChar w:fldCharType="separate"/>
        </w:r>
        <w:r>
          <w:t>39</w:t>
        </w:r>
        <w:r>
          <w:fldChar w:fldCharType="end"/>
        </w:r>
      </w:hyperlink>
    </w:p>
    <w:p>
      <w:pPr>
        <w:pStyle w:val="TOC2"/>
        <w:tabs>
          <w:tab w:val="right" w:leader="dot" w:pos="8306"/>
        </w:tabs>
      </w:pPr>
      <w:hyperlink w:anchor="_Toc3201" w:history="1">
        <w:r>
          <w:rPr>
            <w:rFonts w:ascii="仿宋" w:eastAsia="仿宋" w:hAnsi="仿宋" w:cs="仿宋" w:hint="eastAsia"/>
            <w:lang w:eastAsia="zh-CN"/>
          </w:rPr>
          <w:t>(七)、机械设备安全保障措施</w:t>
        </w:r>
        <w:r>
          <w:tab/>
        </w:r>
        <w:r>
          <w:fldChar w:fldCharType="begin"/>
        </w:r>
        <w:r>
          <w:instrText xml:space="preserve"> PAGEREF _Toc3201 \h </w:instrText>
        </w:r>
        <w:r>
          <w:fldChar w:fldCharType="separate"/>
        </w:r>
        <w:r>
          <w:t>40</w:t>
        </w:r>
        <w:r>
          <w:fldChar w:fldCharType="end"/>
        </w:r>
      </w:hyperlink>
    </w:p>
    <w:p>
      <w:pPr>
        <w:pStyle w:val="TOC1"/>
        <w:tabs>
          <w:tab w:val="right" w:leader="dot" w:pos="8306"/>
        </w:tabs>
      </w:pPr>
      <w:hyperlink w:anchor="_Toc11166" w:history="1">
        <w:r>
          <w:rPr>
            <w:rFonts w:ascii="仿宋" w:eastAsia="仿宋" w:hAnsi="仿宋" w:cs="仿宋" w:hint="eastAsia"/>
            <w:lang w:eastAsia="zh-CN"/>
          </w:rPr>
          <w:t>十二、LED通用照明项目风险管理</w:t>
        </w:r>
        <w:r>
          <w:tab/>
        </w:r>
        <w:r>
          <w:fldChar w:fldCharType="begin"/>
        </w:r>
        <w:r>
          <w:instrText xml:space="preserve"> PAGEREF _Toc11166 \h </w:instrText>
        </w:r>
        <w:r>
          <w:fldChar w:fldCharType="separate"/>
        </w:r>
        <w:r>
          <w:t>41</w:t>
        </w:r>
        <w:r>
          <w:fldChar w:fldCharType="end"/>
        </w:r>
      </w:hyperlink>
    </w:p>
    <w:p>
      <w:pPr>
        <w:pStyle w:val="TOC2"/>
        <w:tabs>
          <w:tab w:val="right" w:leader="dot" w:pos="8306"/>
        </w:tabs>
      </w:pPr>
      <w:hyperlink w:anchor="_Toc13049" w:history="1">
        <w:r>
          <w:rPr>
            <w:rFonts w:ascii="仿宋" w:eastAsia="仿宋" w:hAnsi="仿宋" w:cs="仿宋" w:hint="eastAsia"/>
            <w:lang w:eastAsia="zh-CN"/>
          </w:rPr>
          <w:t>(一)、风险识别与评估</w:t>
        </w:r>
        <w:r>
          <w:tab/>
        </w:r>
        <w:r>
          <w:fldChar w:fldCharType="begin"/>
        </w:r>
        <w:r>
          <w:instrText xml:space="preserve"> PAGEREF _Toc13049 \h </w:instrText>
        </w:r>
        <w:r>
          <w:fldChar w:fldCharType="separate"/>
        </w:r>
        <w:r>
          <w:t>41</w:t>
        </w:r>
        <w:r>
          <w:fldChar w:fldCharType="end"/>
        </w:r>
      </w:hyperlink>
    </w:p>
    <w:p>
      <w:pPr>
        <w:pStyle w:val="TOC2"/>
        <w:tabs>
          <w:tab w:val="right" w:leader="dot" w:pos="8306"/>
        </w:tabs>
      </w:pPr>
      <w:hyperlink w:anchor="_Toc28739" w:history="1">
        <w:r>
          <w:rPr>
            <w:rFonts w:ascii="仿宋" w:eastAsia="仿宋" w:hAnsi="仿宋" w:cs="仿宋" w:hint="eastAsia"/>
            <w:lang w:eastAsia="zh-CN"/>
          </w:rPr>
          <w:t>(二)、风险应对策略</w:t>
        </w:r>
        <w:r>
          <w:tab/>
        </w:r>
        <w:r>
          <w:fldChar w:fldCharType="begin"/>
        </w:r>
        <w:r>
          <w:instrText xml:space="preserve"> PAGEREF _Toc28739 \h </w:instrText>
        </w:r>
        <w:r>
          <w:fldChar w:fldCharType="separate"/>
        </w:r>
        <w:r>
          <w:t>43</w:t>
        </w:r>
        <w:r>
          <w:fldChar w:fldCharType="end"/>
        </w:r>
      </w:hyperlink>
    </w:p>
    <w:p>
      <w:pPr>
        <w:pStyle w:val="TOC2"/>
        <w:tabs>
          <w:tab w:val="right" w:leader="dot" w:pos="8306"/>
        </w:tabs>
      </w:pPr>
      <w:hyperlink w:anchor="_Toc31234" w:history="1">
        <w:r>
          <w:rPr>
            <w:rFonts w:ascii="仿宋" w:eastAsia="仿宋" w:hAnsi="仿宋" w:cs="仿宋" w:hint="eastAsia"/>
            <w:lang w:eastAsia="zh-CN"/>
          </w:rPr>
          <w:t>(三)、风险监控与控制</w:t>
        </w:r>
        <w:r>
          <w:tab/>
        </w:r>
        <w:r>
          <w:fldChar w:fldCharType="begin"/>
        </w:r>
        <w:r>
          <w:instrText xml:space="preserve"> PAGEREF _Toc31234 \h </w:instrText>
        </w:r>
        <w:r>
          <w:fldChar w:fldCharType="separate"/>
        </w:r>
        <w:r>
          <w:t>44</w:t>
        </w:r>
        <w:r>
          <w:fldChar w:fldCharType="end"/>
        </w:r>
      </w:hyperlink>
    </w:p>
    <w:p>
      <w:pPr>
        <w:pStyle w:val="TOC1"/>
        <w:tabs>
          <w:tab w:val="right" w:leader="dot" w:pos="8306"/>
        </w:tabs>
      </w:pPr>
      <w:hyperlink w:anchor="_Toc9434" w:history="1">
        <w:r>
          <w:rPr>
            <w:rFonts w:ascii="仿宋" w:eastAsia="仿宋" w:hAnsi="仿宋" w:cs="仿宋" w:hint="eastAsia"/>
            <w:lang w:eastAsia="zh-CN"/>
          </w:rPr>
          <w:t>十三、营销与推广策略</w:t>
        </w:r>
        <w:r>
          <w:tab/>
        </w:r>
        <w:r>
          <w:fldChar w:fldCharType="begin"/>
        </w:r>
        <w:r>
          <w:instrText xml:space="preserve"> PAGEREF _Toc9434 \h </w:instrText>
        </w:r>
        <w:r>
          <w:fldChar w:fldCharType="separate"/>
        </w:r>
        <w:r>
          <w:t>45</w:t>
        </w:r>
        <w:r>
          <w:fldChar w:fldCharType="end"/>
        </w:r>
      </w:hyperlink>
    </w:p>
    <w:p>
      <w:pPr>
        <w:pStyle w:val="TOC2"/>
        <w:tabs>
          <w:tab w:val="right" w:leader="dot" w:pos="8306"/>
        </w:tabs>
      </w:pPr>
      <w:hyperlink w:anchor="_Toc25926" w:history="1">
        <w:r>
          <w:rPr>
            <w:rFonts w:ascii="仿宋" w:eastAsia="仿宋" w:hAnsi="仿宋" w:cs="仿宋" w:hint="eastAsia"/>
            <w:lang w:eastAsia="zh-CN"/>
          </w:rPr>
          <w:t>(一)、产品/服务定位与特点</w:t>
        </w:r>
        <w:r>
          <w:tab/>
        </w:r>
        <w:r>
          <w:fldChar w:fldCharType="begin"/>
        </w:r>
        <w:r>
          <w:instrText xml:space="preserve"> PAGEREF _Toc25926 \h </w:instrText>
        </w:r>
        <w:r>
          <w:fldChar w:fldCharType="separate"/>
        </w:r>
        <w:r>
          <w:t>45</w:t>
        </w:r>
        <w:r>
          <w:fldChar w:fldCharType="end"/>
        </w:r>
      </w:hyperlink>
    </w:p>
    <w:p>
      <w:pPr>
        <w:pStyle w:val="TOC2"/>
        <w:tabs>
          <w:tab w:val="right" w:leader="dot" w:pos="8306"/>
        </w:tabs>
      </w:pPr>
      <w:hyperlink w:anchor="_Toc21915" w:history="1">
        <w:r>
          <w:rPr>
            <w:rFonts w:ascii="仿宋" w:eastAsia="仿宋" w:hAnsi="仿宋" w:cs="仿宋" w:hint="eastAsia"/>
            <w:lang w:eastAsia="zh-CN"/>
          </w:rPr>
          <w:t>(二)、市场定位与竞争分析</w:t>
        </w:r>
        <w:r>
          <w:tab/>
        </w:r>
        <w:r>
          <w:fldChar w:fldCharType="begin"/>
        </w:r>
        <w:r>
          <w:instrText xml:space="preserve"> PAGEREF _Toc21915 \h </w:instrText>
        </w:r>
        <w:r>
          <w:fldChar w:fldCharType="separate"/>
        </w:r>
        <w:r>
          <w:t>47</w:t>
        </w:r>
        <w:r>
          <w:fldChar w:fldCharType="end"/>
        </w:r>
      </w:hyperlink>
    </w:p>
    <w:p>
      <w:pPr>
        <w:pStyle w:val="TOC2"/>
        <w:tabs>
          <w:tab w:val="right" w:leader="dot" w:pos="8306"/>
        </w:tabs>
      </w:pPr>
      <w:hyperlink w:anchor="_Toc21120" w:history="1">
        <w:r>
          <w:rPr>
            <w:rFonts w:ascii="仿宋" w:eastAsia="仿宋" w:hAnsi="仿宋" w:cs="仿宋" w:hint="eastAsia"/>
            <w:lang w:eastAsia="zh-CN"/>
          </w:rPr>
          <w:t>(三)、营销渠道与策略</w:t>
        </w:r>
        <w:r>
          <w:tab/>
        </w:r>
        <w:r>
          <w:fldChar w:fldCharType="begin"/>
        </w:r>
        <w:r>
          <w:instrText xml:space="preserve"> PAGEREF _Toc21120 \h </w:instrText>
        </w:r>
        <w:r>
          <w:fldChar w:fldCharType="separate"/>
        </w:r>
        <w:r>
          <w:t>48</w:t>
        </w:r>
        <w:r>
          <w:fldChar w:fldCharType="end"/>
        </w:r>
      </w:hyperlink>
    </w:p>
    <w:p>
      <w:pPr>
        <w:pStyle w:val="TOC2"/>
        <w:tabs>
          <w:tab w:val="right" w:leader="dot" w:pos="8306"/>
        </w:tabs>
      </w:pPr>
      <w:hyperlink w:anchor="_Toc2577" w:history="1">
        <w:r>
          <w:rPr>
            <w:rFonts w:ascii="仿宋" w:eastAsia="仿宋" w:hAnsi="仿宋" w:cs="仿宋" w:hint="eastAsia"/>
            <w:lang w:eastAsia="zh-CN"/>
          </w:rPr>
          <w:t>(四)、推广与宣传活动</w:t>
        </w:r>
        <w:r>
          <w:tab/>
        </w:r>
        <w:r>
          <w:fldChar w:fldCharType="begin"/>
        </w:r>
        <w:r>
          <w:instrText xml:space="preserve"> PAGEREF _Toc2577 \h </w:instrText>
        </w:r>
        <w:r>
          <w:fldChar w:fldCharType="separate"/>
        </w:r>
        <w:r>
          <w:t>49</w:t>
        </w:r>
        <w:r>
          <w:fldChar w:fldCharType="end"/>
        </w:r>
      </w:hyperlink>
    </w:p>
    <w:p>
      <w:pPr>
        <w:pStyle w:val="TOC1"/>
        <w:tabs>
          <w:tab w:val="right" w:leader="dot" w:pos="8306"/>
        </w:tabs>
      </w:pPr>
      <w:hyperlink w:anchor="_Toc20685" w:history="1">
        <w:r>
          <w:rPr>
            <w:rFonts w:ascii="仿宋" w:eastAsia="仿宋" w:hAnsi="仿宋" w:cs="仿宋" w:hint="eastAsia"/>
            <w:lang w:eastAsia="zh-CN"/>
          </w:rPr>
          <w:t>十四、LED通用照明项目治理与监督</w:t>
        </w:r>
        <w:r>
          <w:tab/>
        </w:r>
        <w:r>
          <w:fldChar w:fldCharType="begin"/>
        </w:r>
        <w:r>
          <w:instrText xml:space="preserve"> PAGEREF _Toc20685 \h </w:instrText>
        </w:r>
        <w:r>
          <w:fldChar w:fldCharType="separate"/>
        </w:r>
        <w:r>
          <w:t>54</w:t>
        </w:r>
        <w:r>
          <w:fldChar w:fldCharType="end"/>
        </w:r>
      </w:hyperlink>
    </w:p>
    <w:p>
      <w:pPr>
        <w:pStyle w:val="TOC2"/>
        <w:tabs>
          <w:tab w:val="right" w:leader="dot" w:pos="8306"/>
        </w:tabs>
      </w:pPr>
      <w:hyperlink w:anchor="_Toc3004" w:history="1">
        <w:r>
          <w:rPr>
            <w:rFonts w:ascii="仿宋" w:eastAsia="仿宋" w:hAnsi="仿宋" w:cs="仿宋" w:hint="eastAsia"/>
            <w:lang w:eastAsia="zh-CN"/>
          </w:rPr>
          <w:t>(一)、LED通用照明项目治理结构</w:t>
        </w:r>
        <w:r>
          <w:tab/>
        </w:r>
        <w:r>
          <w:fldChar w:fldCharType="begin"/>
        </w:r>
        <w:r>
          <w:instrText xml:space="preserve"> PAGEREF _Toc3004 \h </w:instrText>
        </w:r>
        <w:r>
          <w:fldChar w:fldCharType="separate"/>
        </w:r>
        <w:r>
          <w:t>54</w:t>
        </w:r>
        <w:r>
          <w:fldChar w:fldCharType="end"/>
        </w:r>
      </w:hyperlink>
    </w:p>
    <w:p>
      <w:pPr>
        <w:pStyle w:val="TOC2"/>
        <w:tabs>
          <w:tab w:val="right" w:leader="dot" w:pos="8306"/>
        </w:tabs>
      </w:pPr>
      <w:hyperlink w:anchor="_Toc26425" w:history="1">
        <w:r>
          <w:rPr>
            <w:rFonts w:ascii="仿宋" w:eastAsia="仿宋" w:hAnsi="仿宋" w:cs="仿宋" w:hint="eastAsia"/>
            <w:lang w:eastAsia="zh-CN"/>
          </w:rPr>
          <w:t>(二)、监督与审计</w:t>
        </w:r>
        <w:r>
          <w:tab/>
        </w:r>
        <w:r>
          <w:fldChar w:fldCharType="begin"/>
        </w:r>
        <w:r>
          <w:instrText xml:space="preserve"> PAGEREF _Toc26425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72"/>
      <w:r>
        <w:rPr>
          <w:rFonts w:ascii="仿宋" w:eastAsia="仿宋" w:hAnsi="仿宋" w:cs="仿宋" w:hint="eastAsia"/>
          <w:sz w:val="28"/>
          <w:lang w:eastAsia="zh-CN"/>
        </w:rPr>
        <w:t>一、LED通用照明项目绩效评估</w:t>
      </w:r>
      <w:bookmarkEnd w:id="2"/>
    </w:p>
    <w:p>
      <w:pPr>
        <w:pStyle w:val="Heading2"/>
        <w:rPr>
          <w:rFonts w:ascii="仿宋" w:eastAsia="仿宋" w:hAnsi="仿宋" w:cs="仿宋" w:hint="eastAsia"/>
          <w:lang w:eastAsia="zh-CN"/>
        </w:rPr>
      </w:pPr>
      <w:bookmarkStart w:id="3" w:name="_Toc34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通用照明项目中，我们设计了一套全面的绩效评估指标，以确保LED通用照明项目的可控和成功交付。这些指标跨足LED通用照明项目目标、成本、进度和质量等多个维度，为我们提供了全面洞察LED通用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目标达成率是我们关注的首要指标。我们设定了明确的目标，并通过定期监测和评估，迅速发现并应对潜在的目标偏差。这为LED通用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成本绩效是另一个核心关注点。通过实际成本与预算成本的对比分析，我们深入了解成本差异的原因，及时调整资源分配，保持LED通用照明项目在经济效益方面的合理水平。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进度作为关键的绩效指标之一，得到了精心的关注。我们制定了详细的LED通用照明项目进度计划，并设立了进度符合度指标，确保实际进度与计划进度保持一致。这使我们能够快速发现和解决潜在的进度问题，保持LED通用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ED通用照明项目绩效的不可或缺的一环。我们引入了一系列的质量标准和客户满意度指标，以确保LED通用照明项目交付的成果在质量上达到或超越预期水平。通过持续监测这些指标，我们努力提升LED通用照明项目整体质量水平，为LED通用照明项目的成功交付提供有力保障。通过这些科学且全面的绩效评估，我们能够更好地引导LED通用照明项目的持续改进，确保LED通用照明项目目标的顺利达成。</w:t>
      </w:r>
    </w:p>
    <w:p>
      <w:pPr>
        <w:pStyle w:val="Heading2"/>
        <w:ind w:firstLine="560" w:firstLineChars="200"/>
        <w:rPr>
          <w:rFonts w:ascii="仿宋" w:eastAsia="仿宋" w:hAnsi="仿宋" w:cs="仿宋" w:hint="eastAsia"/>
          <w:sz w:val="28"/>
          <w:lang w:eastAsia="zh-CN"/>
        </w:rPr>
      </w:pPr>
      <w:bookmarkStart w:id="4" w:name="_Toc189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绩效评估是LED通用照明项目中的关键环节，为确保LED通用照明项目达到预期目标，我们采用了多层次、多维度的绩效评估方法。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ED通用照明项目的战略目标对齐，确保每个决策和行动都与LED通用照明项目整体目标保持一致。团队会定期召开战略对齐会议，审视当前工作与LED通用照明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ED通用照明项目进度、质量、成本和风险等方面。这些指标通过数据收集和分析，为LED通用照明项目管理团队提供了客观的评估依据。例如，我们通过LED通用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绩效评估不仅仅停留在LED通用照明项目内部，还考虑了LED通用照明项目对外部环境的影响。我们定期进行干系人满意度调查，以了解各利益相关方对LED通用照明项目的期望和满意度，并及时做出调整。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这种多层次、多角度的绩效评估方法，使得我们能够全面了解LED通用照明项目的运行状态，及时做出调整，确保LED通用照明项目在不断变化的环境中保持稳健前行。</w:t>
      </w:r>
    </w:p>
    <w:p>
      <w:pPr>
        <w:pStyle w:val="Heading2"/>
        <w:ind w:firstLine="560" w:firstLineChars="200"/>
        <w:rPr>
          <w:rFonts w:ascii="仿宋" w:eastAsia="仿宋" w:hAnsi="仿宋" w:cs="仿宋" w:hint="eastAsia"/>
          <w:sz w:val="28"/>
          <w:lang w:eastAsia="zh-CN"/>
        </w:rPr>
      </w:pPr>
      <w:bookmarkStart w:id="5" w:name="_Toc296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为了确保LED通用照明项目的有效管理和不断优化，我们采用了精心设计的绩效评估周期。这个周期旨在实现灵活、实时和全面的评估，以适应LED通用照明项目执行中的各种挑战。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LED通用照明项目的不同需求，分为短期、中期和长期。短期评估关注每个迭代或工作周期，以及时发现和解决当前任务中的问题。中期评估涵盖几个迭代，深入了解整体LED通用照明项目的趋势和性能。长期评估则着眼于整个LED通用照明项目阶段，确保LED通用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ED通用照明项目管理工具和协作平台，团队成员能够随时更新和分享LED通用照明项目数据。这种实时性的反馈机制使我们能够及时察觉潜在问题，快速调整，保持LED通用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ED通用照明项目的决策制定密不可分。每个周期的LED通用照明项目回顾会议成为集体总结经验、识别问题深层次原因并找到创新解决方案的平台。这种定期的反思与调整机制使LED通用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294"/>
      <w:r>
        <w:rPr>
          <w:rFonts w:ascii="仿宋" w:eastAsia="仿宋" w:hAnsi="仿宋" w:cs="仿宋" w:hint="eastAsia"/>
          <w:sz w:val="28"/>
          <w:lang w:eastAsia="zh-CN"/>
        </w:rPr>
        <w:t>二、LED通用照明项目可持续发展</w:t>
      </w:r>
      <w:bookmarkEnd w:id="6"/>
    </w:p>
    <w:p>
      <w:pPr>
        <w:pStyle w:val="Heading2"/>
        <w:rPr>
          <w:rFonts w:ascii="仿宋" w:eastAsia="仿宋" w:hAnsi="仿宋" w:cs="仿宋" w:hint="eastAsia"/>
          <w:lang w:eastAsia="zh-CN"/>
        </w:rPr>
      </w:pPr>
      <w:bookmarkStart w:id="7" w:name="_Toc789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通用照明项目中，LED通用照明项目团队着眼于未来，明确了可持续发展的战略方向。制定的具体可持续发展目标包括降低资源使用、采用环保技术、最大化社会效益等。这一步骤不仅有助于LED通用照明项目在环保和社会责任方面达到最高标准，也为未来提供了明确的指引，确保LED通用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可持续实践的融入LED通用照明项目管理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通用照明项目管理周期。从LED通用照明项目规划开始，LED通用照明项目团队就考虑了环境和社会的因素。在执行阶段，LED通用照明项目团队积极推动绿色技术的应用，优化资源利用。此外，关注员工的社会责任，通过培训和沟通活动提高员工对可持续发展的认知，使他们能够在日常工作中践行可持续实践。这些举措不仅为LED通用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88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扎根于LED通用照明项目的可持续发展理念，我们深信环保与社会责任是LED通用照明项目成功的关键支柱。在LED通用照明项目的每一步，我们都致力于通过创新和实践，履行对环境和社会的坚定责任。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团队通过引入先进的环保技术、建立高效的废物处理系统以及推动能源节约措施，积极履行环保责任。定期的环保监测和评估确保LED通用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不仅致力于自身可持续发展，还注重对社会的回馈。通过支持社区LED通用照明项目、参与慈善事业、提供培训机会等方式，LED通用照明项目积极履行社会责任。与当地社区建立积极互动，关注员工的工作与生活平衡，以及员工的身心健康，是LED通用照明项目在社会责任层面的关键举措。这样的实践不仅增强了LED通用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450"/>
      <w:r>
        <w:rPr>
          <w:rFonts w:ascii="仿宋" w:eastAsia="仿宋" w:hAnsi="仿宋" w:cs="仿宋" w:hint="eastAsia"/>
          <w:sz w:val="28"/>
          <w:lang w:eastAsia="zh-CN"/>
        </w:rPr>
        <w:t>三、LED通用照明项目概论</w:t>
      </w:r>
      <w:bookmarkEnd w:id="9"/>
    </w:p>
    <w:p>
      <w:pPr>
        <w:pStyle w:val="Heading2"/>
        <w:rPr>
          <w:rFonts w:ascii="仿宋" w:eastAsia="仿宋" w:hAnsi="仿宋" w:cs="仿宋" w:hint="eastAsia"/>
          <w:lang w:eastAsia="zh-CN"/>
        </w:rPr>
      </w:pPr>
      <w:bookmarkStart w:id="10" w:name="_Toc9828"/>
      <w:r>
        <w:rPr>
          <w:rFonts w:ascii="仿宋" w:eastAsia="仿宋" w:hAnsi="仿宋" w:cs="仿宋" w:hint="eastAsia"/>
          <w:lang w:eastAsia="zh-CN"/>
        </w:rPr>
        <w:t>(一)、LED通用照明项目概况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起源追溯至对市场的深入洞察。市场的不断演变与变革为LED通用照明项目提供了难得的机遇。当前市场存在的需求缺口和变革的大环境共同构成了LED通用照明项目的背景。这个LED通用照明项目旨在充分利用市场机遇，填补行业中尚未满足的需求，为客户提供全新的解决方案。市场的变革和需求的增长使得这个LED通用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LED通用照明项目名称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正式命名为LED通用照明。这个名称不仅仅是一个标识，更代表了LED通用照明项目的核心理念和愿景。它蕴含着LED通用照明项目所要解决问题的关键字，具有强烈的表达和辨识度，为LED通用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LED通用照明项目目标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核心目标是提供一种全新、高效的解决方案，满足客户日益增长的需求。LED通用照明项目追求的不仅仅是满足市场需求，更是在市场中获得卓越的竞争优势。通过不断提升产品或服务的质量和创新水平，LED通用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LED通用照明项目范围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全面涵盖了产品研发、制造、市场推广和售后服务，确保从产品设计到最终用户体验的全方位关注。这一全面的LED通用照明项目范围是为了确保LED通用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LED通用照明项目时间表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LED通用照明项目计划在未来18个月内完成，包括研发、测试、市场试点和正式推出等不同阶段。这个时间表的合理设计是为了确保LED通用照明项目各个阶段的顺利推进，以便按时交付高质量的成果。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LED通用照明项目预算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LED通用照明项目总预算估算为XX百万美元，主要分配在研发、市场推广、人员培训和运营等方面。这一充足的预算为LED通用照明项目提供了充足的资源，确保LED通用照明项目在各个方面都能取得优异的表现。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LED通用照明项目风险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可能面临的风险包括市场接受度低、技术难题、竞争激烈等。LED通用照明项目团队已经制定了相应的风险应对计划，通过前瞻性的风险管理，确保LED通用照明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LED通用照明项目团队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LED通用照明项目汇聚了一支经验丰富、多领域专业素养的核心团队，确保LED通用照明项目在各个方面都能拥有高水平的执行力。团队的协同作战是LED通用照明项目成功的关键因素之一。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LED通用照明项目背景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LED通用照明项目的背景根植于市场对更高效、创新产品的渴望，同时也受到科技发展对行业格局的深刻改变的影响。这为LED通用照明项目提供了广阔的发展空间和市场需求。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LED通用照明项目现状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截至目前，LED通用照明项目已完成市场调研和技术验证，取得了初步的成功。这为LED通用照明项目在未来的发展奠定了坚实的基础，为更远大的目标打下了坚实的基石。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970"/>
      <w:r>
        <w:rPr>
          <w:rFonts w:ascii="仿宋" w:eastAsia="仿宋" w:hAnsi="仿宋" w:cs="仿宋" w:hint="eastAsia"/>
          <w:sz w:val="28"/>
          <w:lang w:eastAsia="zh-CN"/>
        </w:rPr>
        <w:t>(二)、LED通用照明项目目标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keyword》LED通用照明项目首要业务目标是在市场中占据有利地位，实现产品/服务的成功推广和销售。通过不断提升产品质量、创新性，LED通用照明项目追求成为行业中的领导者，赢得更多客户的青睐。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在科技迅速发展的时代，LED通用照明项目着眼于技术创新。通过持续的研发和技术升级，LED通用照明项目旨在推出更具创新性的产品或服务，以满足市场对新鲜、先进解决方案的需求。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为了建立可持续的客户关系，LED通用照明项目设定了客户满意度目标。通过提供卓越的产品质量和优质的客户服务，LED通用照明项目追求赢得客户的信任和忠诚度，确保他们的满意度达到行业领先水平。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LED通用照明项目注重社会责任和可持续发展。通过实施环保、社会责任LED通用照明项目，LED通用照明项目致力于在经济发展的同时保护环境，促进社会公平，实现可持续经营。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LED通用照明项目的团队是实现目标的核心驱动力。因此，LED通用照明项目设定了团队发展目标，包括提升团队成员的专业技能、培养领导力，以及搭建协同高效的团队工作氛围。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934"/>
      <w:r>
        <w:rPr>
          <w:rFonts w:ascii="仿宋" w:eastAsia="仿宋" w:hAnsi="仿宋" w:cs="仿宋" w:hint="eastAsia"/>
          <w:sz w:val="28"/>
          <w:lang w:eastAsia="zh-CN"/>
        </w:rPr>
        <w:t>(三)、LED通用照明项目提出的理由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LED通用照明项目提出的理由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提出源于对市场机遇的深刻洞察。当前市场中存在的需求缺口和行业发展趋势表明，有巨大的商业机会等待被开发。通过准确捕捉市场机遇，LED通用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理念基于对技术创新的信仰。通过持续的研发和技术投入，LED通用照明项目有望推出更具创新性的产品或服务。在科技飞速发展的当下，LED通用照明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提出是为了增强企业的行业竞争力。通过提升产品或服务的质量和独特性，LED通用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响应了消费者需求的变化。随着社会和科技的不断发展，消费者对产品和服务的需求也在发生变化。通过深入了解并及时回应消费者的新需求，LED通用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LED通用照明项目的提出是企业战略发展规划的一部分。在面对日益激烈的市场竞争和不断变化的商业环境中，LED通用照明项目作为企业战略的一环，旨在为企业开辟新的增长领域，巩固企业在行业中的地位。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提出不仅仅是基于商业考量，还注重社会责任。通过推出环保、社会责任等方面的LED通用照明项目，LED通用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LED通用照明项目的提出反映了对利益相关者期望的关注。包括客户、员工、投资者等利益相关者在企业发展中都有着各自的期望，LED通用照明项目力求在满足这些期望的同时，取得更大的共赢。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191"/>
      <w:r>
        <w:rPr>
          <w:rFonts w:ascii="仿宋" w:eastAsia="仿宋" w:hAnsi="仿宋" w:cs="仿宋" w:hint="eastAsia"/>
          <w:sz w:val="28"/>
          <w:lang w:eastAsia="zh-CN"/>
        </w:rPr>
        <w:t>(四)、LED通用照明项目意义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在实施LED通用照明项目的过程中，我们不仅仅是在追逐商业成功，更是为企业和社会的多个层面创造了深远的意义。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通用照明项目的首要意义在于提升企业的市场竞争力。通过持续的创新和对产品质量的高标准要求，LED通用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通用照明项目的推进将促使行业技术水平的提升。通过引入先进技术和创新性解决方案，LED通用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通用照明项目不仅创造了大量就业机会，提高了就业水平，还注重社会责任和环保。通过参与社会公益事业和推动环保LED通用照明项目，LED通用照明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综合而言，LED通用照明项目意义重大，不仅推动了企业的发展，也为行业和社会的进步贡献了积极力量。这是一个全面而深刻的影响，将在未来产生可持续的正面效应。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546"/>
      <w:r>
        <w:rPr>
          <w:rFonts w:ascii="仿宋" w:eastAsia="仿宋" w:hAnsi="仿宋" w:cs="仿宋" w:hint="eastAsia"/>
          <w:sz w:val="28"/>
          <w:lang w:eastAsia="zh-CN"/>
        </w:rPr>
        <w:t>(五)、LED通用照明项目背景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在当今迅猛发展的商业环境中，LED通用照明项目的动因根植于对多方面因素的审慎考量。这个LED通用照明项目的提出并非孤立的决策，而是对企业所处背景深入思考的产物。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通用照明项目背后的首要原因。科技的迅速发展和全球市场的快速变化使得企业必须灵活应对。LED通用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竞争的激烈程度也是LED通用照明项目背景中不可忽视的一环。企业需要在激烈竞争中脱颖而出，为此，LED通用照明项目致力于打破常规，提供独特的价值主张，以吸引客户并确保市场份额的增长。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技术的迅速发展为企业带来了机遇与挑战。作为LED通用照明项目启动的背景之一，对新兴技术的应用将有助于提升企业的技术水平，使其在不断演进的商业环境中保持竞争优势。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此外，社会对企业责任的期望也在逐渐升高。LED通用照明项目充分融入了社会责任的理念，通过可持续经营和社会公益LED通用照明项目，企图为社会贡献一份力量，在商业成功的同时关注社会价值。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172"/>
      <w:r>
        <w:rPr>
          <w:rFonts w:ascii="仿宋" w:eastAsia="仿宋" w:hAnsi="仿宋" w:cs="仿宋" w:hint="eastAsia"/>
          <w:sz w:val="28"/>
          <w:lang w:eastAsia="zh-CN"/>
        </w:rPr>
        <w:t>四、LED通用照明项目选址可行性分析</w:t>
      </w:r>
      <w:bookmarkEnd w:id="15"/>
    </w:p>
    <w:p>
      <w:pPr>
        <w:pStyle w:val="Heading2"/>
        <w:rPr>
          <w:rFonts w:ascii="仿宋" w:eastAsia="仿宋" w:hAnsi="仿宋" w:cs="仿宋" w:hint="eastAsia"/>
          <w:lang w:eastAsia="zh-CN"/>
        </w:rPr>
      </w:pPr>
      <w:bookmarkStart w:id="16" w:name="_Toc22691"/>
      <w:r>
        <w:rPr>
          <w:rFonts w:ascii="仿宋" w:eastAsia="仿宋" w:hAnsi="仿宋" w:cs="仿宋" w:hint="eastAsia"/>
          <w:lang w:eastAsia="zh-CN"/>
        </w:rPr>
        <w:t>(一)、LED通用照明项目选址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该LED通用照明项目选址位于XX省XX市XX区XXX街道</w:t>
      </w:r>
    </w:p>
    <w:p>
      <w:pPr>
        <w:pStyle w:val="Heading2"/>
        <w:ind w:firstLine="560" w:firstLineChars="200"/>
        <w:rPr>
          <w:rFonts w:ascii="仿宋" w:eastAsia="仿宋" w:hAnsi="仿宋" w:cs="仿宋" w:hint="eastAsia"/>
          <w:sz w:val="28"/>
          <w:lang w:eastAsia="zh-CN"/>
        </w:rPr>
      </w:pPr>
      <w:bookmarkStart w:id="17" w:name="_Toc2243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LED通用照明项目的征地面积将根据LED通用照明项目的实际规模和需求进行精确规划。具体面积XXX平方米，旨在确保LED通用照明项目不仅能够满足当前的发展需求，还能够预留空间以适应未来的扩展。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净用地面积是在征地面积基础上去除不可利用面积后的实际可开发用地。具体面积XXX平方米，考虑到环保、交通、安全等多方面因素，以确保LED通用照明项目在整体利用效率上达到最优。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LED通用照明项目计划建设的建筑总规模具体面积XXX平方米。这一规模的确定综合考虑了LED通用照明项目的性质、规模，以及城市规划的相关要求，确保建筑布局与周边环境协调一致。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绿地率是LED通用照明项目用地中被规划为绿地的比例。具体面积XXX平方米，旨在通过合理规划绿地，改善LED通用照明项目周边环境，提升居民生活质量，并符合城市整体绿化规划。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容积率是用地上可以建设的建筑总体积与用地面积之比。具体面积XXX，通过合理的容积率规划，确保LED通用照明项目建筑规模与周边环境和谐共生。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LED通用照明项目选址与当地城市规划相一致，具体面积XXX平方米。通过与城市规划部门深入沟通，确保LED通用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通用照明项目选址符合当地产业政策，具体面积XXX平方米。这包括LED通用照明项目对当地经济的促进作用，以及对相关产业的带动效应，确保LED通用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用地总体要求必须符合环保和可持续发展的原则，具体面积XXX平方米。通过采用绿色建筑设计、节能减排等措施，确保LED通用照明项目在建设和运营过程中对环境的影响最小化，达到可持续发展的要求。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确保LED通用照明项目选址具备必要的公共设施配套，具体面积XXX平方米。这包括交通便利性、教育、医疗等基础设施，以提高居民生活品质，使得LED通用照明项目选址更具吸引力。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考虑用地总体要求对当地社会稳定性的影响，具体面积XXX平方米。通过深入了解当地社区反馈，确保LED通用照明项目的选址和建设过程对当地社会和谐稳定产生积极作用。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通用照明项目选址不仅符合法规和规划，还在实际操作中具有可行性。这一全面规划将为LED通用照明项目的成功实施提供坚实的基础，确保LED通用照明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64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https://d.book118.com/395224334132011122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LED通用照明项目计划设计方案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03581"/>
    <w:rsid w:val="6DA035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243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2024-03-03T10:24:00Z</dcterms:created>
  <dcterms:modified xsi:type="dcterms:W3CDTF">2024-03-03T10:24:35Z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741256461E0B4FD382E6C3790B6628C8_11</vt:lpwstr>
  </property>
  <property fmtid="{D5CDD505-2E9C-101B-9397-08002B2CF9AE}" pid="3" name="KSOProductBuildVer">
    <vt:lpwstr>2052-12.1.0.16388</vt:lpwstr>
  </property>
</Properties>
</file>