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健康管理行业商业计划书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_Toc5755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" w:history="1">
        <w:r>
          <w:rPr>
            <w:rFonts w:ascii="仿宋" w:eastAsia="仿宋" w:hAnsi="仿宋" w:cs="仿宋" w:hint="eastAsia"/>
            <w:lang w:eastAsia="zh-CN"/>
          </w:rPr>
          <w:t>一、健康管理行业发展现状</w:t>
        </w:r>
        <w:r>
          <w:tab/>
        </w:r>
        <w:r>
          <w:fldChar w:fldCharType="begin"/>
        </w:r>
        <w:r>
          <w:instrText xml:space="preserve"> PAGEREF _Toc1549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(一)、健康管理行业整体概况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二、定性、定量安全评价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_Toc629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4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_Toc24164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3" w:history="1">
        <w:r>
          <w:rPr>
            <w:rFonts w:ascii="仿宋" w:eastAsia="仿宋" w:hAnsi="仿宋" w:cs="仿宋" w:hint="eastAsia"/>
            <w:lang w:eastAsia="zh-CN"/>
          </w:rPr>
          <w:t>三、技术方案</w:t>
        </w:r>
        <w:r>
          <w:tab/>
        </w:r>
        <w:r>
          <w:fldChar w:fldCharType="begin"/>
        </w:r>
        <w:r>
          <w:instrText xml:space="preserve"> PAGEREF _Toc4963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_Toc26959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(二)、健康管理项目技术工艺分析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eastAsia="zh-CN"/>
          </w:rPr>
          <w:t>(三)、健康管理项目技术流程</w:t>
        </w:r>
        <w:r>
          <w:tab/>
        </w:r>
        <w:r>
          <w:fldChar w:fldCharType="begin"/>
        </w:r>
        <w:r>
          <w:instrText xml:space="preserve"> PAGEREF _Toc10780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_Toc26582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8" w:history="1">
        <w:r>
          <w:rPr>
            <w:rFonts w:ascii="仿宋" w:eastAsia="仿宋" w:hAnsi="仿宋" w:cs="仿宋" w:hint="eastAsia"/>
            <w:lang w:eastAsia="zh-CN"/>
          </w:rPr>
          <w:t>(二)、健康管理项目工程建设标准规范</w:t>
        </w:r>
        <w:r>
          <w:tab/>
        </w:r>
        <w:r>
          <w:fldChar w:fldCharType="begin"/>
        </w:r>
        <w:r>
          <w:instrText xml:space="preserve"> PAGEREF _Toc10918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0" w:history="1">
        <w:r>
          <w:rPr>
            <w:rFonts w:ascii="仿宋" w:eastAsia="仿宋" w:hAnsi="仿宋" w:cs="仿宋" w:hint="eastAsia"/>
            <w:lang w:eastAsia="zh-CN"/>
          </w:rPr>
          <w:t>(三)、健康管理项目总平面设计要求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8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_Toc9718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6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_Toc29256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" w:history="1">
        <w:r>
          <w:rPr>
            <w:rFonts w:ascii="仿宋" w:eastAsia="仿宋" w:hAnsi="仿宋" w:cs="仿宋" w:hint="eastAsia"/>
            <w:lang w:eastAsia="zh-CN"/>
          </w:rPr>
          <w:t>五、建设规划</w:t>
        </w:r>
        <w:r>
          <w:tab/>
        </w:r>
        <w:r>
          <w:fldChar w:fldCharType="begin"/>
        </w:r>
        <w:r>
          <w:instrText xml:space="preserve"> PAGEREF _Toc1463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_Toc28080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2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_Toc14412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_Toc16512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5" w:history="1">
        <w:r>
          <w:rPr>
            <w:rFonts w:ascii="仿宋" w:eastAsia="仿宋" w:hAnsi="仿宋" w:cs="仿宋" w:hint="eastAsia"/>
            <w:lang w:eastAsia="zh-CN"/>
          </w:rPr>
          <w:t>七、健康管理项目概况</w:t>
        </w:r>
        <w:r>
          <w:tab/>
        </w:r>
        <w:r>
          <w:fldChar w:fldCharType="begin"/>
        </w:r>
        <w:r>
          <w:instrText xml:space="preserve"> PAGEREF _Toc21935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_Toc21544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3" w:history="1">
        <w:r>
          <w:rPr>
            <w:rFonts w:ascii="仿宋" w:eastAsia="仿宋" w:hAnsi="仿宋" w:cs="仿宋" w:hint="eastAsia"/>
            <w:lang w:eastAsia="zh-CN"/>
          </w:rPr>
          <w:t>(二)、健康管理项目提出的理由</w:t>
        </w:r>
        <w:r>
          <w:tab/>
        </w:r>
        <w:r>
          <w:fldChar w:fldCharType="begin"/>
        </w:r>
        <w:r>
          <w:instrText xml:space="preserve"> PAGEREF _Toc6623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(三)、健康管理项目选址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_Toc28554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9" w:history="1">
        <w:r>
          <w:rPr>
            <w:rFonts w:ascii="仿宋" w:eastAsia="仿宋" w:hAnsi="仿宋" w:cs="仿宋" w:hint="eastAsia"/>
            <w:lang w:eastAsia="zh-CN"/>
          </w:rPr>
          <w:t>(六)、健康管理项目投资</w:t>
        </w:r>
        <w:r>
          <w:tab/>
        </w:r>
        <w:r>
          <w:fldChar w:fldCharType="begin"/>
        </w:r>
        <w:r>
          <w:instrText xml:space="preserve"> PAGEREF _Toc12749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1" w:history="1">
        <w:r>
          <w:rPr>
            <w:rFonts w:ascii="仿宋" w:eastAsia="仿宋" w:hAnsi="仿宋" w:cs="仿宋" w:hint="eastAsia"/>
            <w:lang w:eastAsia="zh-CN"/>
          </w:rPr>
          <w:t>(七)、健康管理项目进度规划</w:t>
        </w:r>
        <w:r>
          <w:tab/>
        </w:r>
        <w:r>
          <w:fldChar w:fldCharType="begin"/>
        </w:r>
        <w:r>
          <w:instrText xml:space="preserve"> PAGEREF _Toc12291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_Toc12819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(九)、健康管理项目综合评价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9" w:history="1">
        <w:r>
          <w:rPr>
            <w:rFonts w:ascii="仿宋" w:eastAsia="仿宋" w:hAnsi="仿宋" w:cs="仿宋" w:hint="eastAsia"/>
            <w:lang w:eastAsia="zh-CN"/>
          </w:rPr>
          <w:t>八、技术与研发计划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3" w:history="1">
        <w:r>
          <w:rPr>
            <w:rFonts w:ascii="仿宋" w:eastAsia="仿宋" w:hAnsi="仿宋" w:cs="仿宋" w:hint="eastAsia"/>
            <w:lang w:eastAsia="zh-CN"/>
          </w:rPr>
          <w:t>九、第三十二章未来发展愿景</w:t>
        </w:r>
        <w:r>
          <w:tab/>
        </w:r>
        <w:r>
          <w:fldChar w:fldCharType="begin"/>
        </w:r>
        <w:r>
          <w:instrText xml:space="preserve"> PAGEREF _Toc5773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8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十、财务管理与资金运作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3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_Toc9563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_Toc30111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5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_Toc25645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1" w:history="1">
        <w:r>
          <w:rPr>
            <w:rFonts w:ascii="仿宋" w:eastAsia="仿宋" w:hAnsi="仿宋" w:cs="仿宋" w:hint="eastAsia"/>
            <w:lang w:eastAsia="zh-CN"/>
          </w:rPr>
          <w:t>十一、风险评估与应对策略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(一)、健康管理项目风险分析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eastAsia="zh-CN"/>
          </w:rPr>
          <w:t>十二、信息技术与数字化转型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0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_Toc23180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4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_Toc8794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" w:history="1">
        <w:r>
          <w:rPr>
            <w:rFonts w:ascii="仿宋" w:eastAsia="仿宋" w:hAnsi="仿宋" w:cs="仿宋" w:hint="eastAsia"/>
            <w:lang w:eastAsia="zh-CN"/>
          </w:rPr>
          <w:t>十三、营销策略与品牌推广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4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_Toc12496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0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_Toc28900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十四、运营风险管理的一般程序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8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_Toc6048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十五、投资风险分析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7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5" w:history="1">
        <w:r>
          <w:rPr>
            <w:rFonts w:ascii="仿宋" w:eastAsia="仿宋" w:hAnsi="仿宋" w:cs="仿宋" w:hint="eastAsia"/>
            <w:lang w:eastAsia="zh-CN"/>
          </w:rPr>
          <w:t>十六、市场趋势与消费者洞察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4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_Toc31094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3" w:history="1">
        <w:r>
          <w:rPr>
            <w:rFonts w:ascii="仿宋" w:eastAsia="仿宋" w:hAnsi="仿宋" w:cs="仿宋" w:hint="eastAsia"/>
            <w:lang w:eastAsia="zh-CN"/>
          </w:rPr>
          <w:t>十七、差异化战略</w:t>
        </w:r>
        <w:r>
          <w:tab/>
        </w:r>
        <w:r>
          <w:fldChar w:fldCharType="begin"/>
        </w:r>
        <w:r>
          <w:instrText xml:space="preserve"> PAGEREF _Toc21493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十八、战略的建立与选择过程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_Toc28928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1" w:history="1">
        <w:r>
          <w:rPr>
            <w:rFonts w:ascii="仿宋" w:eastAsia="仿宋" w:hAnsi="仿宋" w:cs="仿宋" w:hint="eastAsia"/>
            <w:lang w:eastAsia="zh-CN"/>
          </w:rPr>
          <w:t>十九、建设及运营风险分析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_Toc5977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_Toc27140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8" w:history="1">
        <w:r>
          <w:rPr>
            <w:rFonts w:ascii="仿宋" w:eastAsia="仿宋" w:hAnsi="仿宋" w:cs="仿宋" w:hint="eastAsia"/>
            <w:lang w:eastAsia="zh-CN"/>
          </w:rPr>
          <w:t>二十、健康管理项目进度计划</w:t>
        </w:r>
        <w:r>
          <w:tab/>
        </w:r>
        <w:r>
          <w:fldChar w:fldCharType="begin"/>
        </w:r>
        <w:r>
          <w:instrText xml:space="preserve"> PAGEREF _Toc16088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" w:history="1">
        <w:r>
          <w:rPr>
            <w:rFonts w:ascii="仿宋" w:eastAsia="仿宋" w:hAnsi="仿宋" w:cs="仿宋" w:hint="eastAsia"/>
            <w:lang w:eastAsia="zh-CN"/>
          </w:rPr>
          <w:t>(一)、健康管理项目进度安排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(二)、健康管理项目实施保障措施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二十一、健康管理行业背景分析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(一)、健康管理行业创新驱动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(二)、健康管理行业发展形势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eastAsia="zh-CN"/>
          </w:rPr>
          <w:t>(三)、健康管理行业特征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(四)、健康管理行业前景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49"/>
      <w:r>
        <w:rPr>
          <w:rFonts w:ascii="仿宋" w:eastAsia="仿宋" w:hAnsi="仿宋" w:cs="仿宋" w:hint="eastAsia"/>
          <w:sz w:val="28"/>
          <w:lang w:eastAsia="zh-CN"/>
        </w:rPr>
        <w:t>一、健康管理行业发展现状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17"/>
      <w:r>
        <w:rPr>
          <w:rFonts w:ascii="仿宋" w:eastAsia="仿宋" w:hAnsi="仿宋" w:cs="仿宋" w:hint="eastAsia"/>
          <w:lang w:eastAsia="zh-CN"/>
        </w:rPr>
        <w:t>(一)、健康管理行业整体概况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产值增长趋势： 深入分析市场规模的增长趋势，了解过去几年的发展状况以及未来的预测，以把握市场的潜在机会。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地域分布： 检视市场规模在不同地域的分布情况，是否存在地域性差异，以便企业能够有针对性地调整战略。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新兴市场： 了解新兴市场的发展潜力，是否存在尚未开发的健康管理市场领域，以确定未来的市场扩张方向。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主要参与者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市场份额分析： 深入了解主要参与者的市场份额，以及这些份额的变化趋势，有助于评估企业在竞争中的地位。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企业战略：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https://d.book118.com/395301321123011122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245B88"/>
    <w:rsid w:val="2A245B8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5301321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2024-03-13T11:13:00Z</dcterms:created>
  <dcterms:modified xsi:type="dcterms:W3CDTF">2024-03-13T11:14:09Z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594BFD82C9A342E3B5378956825D5443_11</vt:lpwstr>
  </property>
  <property fmtid="{D5CDD505-2E9C-101B-9397-08002B2CF9AE}" pid="3" name="KSOProductBuildVer">
    <vt:lpwstr>2052-12.1.0.16399</vt:lpwstr>
  </property>
</Properties>
</file>