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2024年湖南冶金职业技术学院高职单招（英语／数学／语文）笔试历年真题摘选含答案解析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《答司马谏议书》的总体行文风格是（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A.慷慨激昂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B.平易质朴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C.含蓄委婉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D.刚柔相济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契诃夫是（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A.俄国诗人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B.俄国散文随笔作家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C.俄国短篇小说之王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D.俄国政论家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盛唐山水田园诗派的代表诗人是（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A.陶渊明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B.谢灵运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C.王维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D.王之涣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陆游是（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A.北宋爱国诗人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B.南宋爱国诗人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C.北宋现实主义诗人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D.南宋现实主义诗人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《灯下漫笔》选自鲁迅著名的杂文集（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A.《热风》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B.《南腔北调集》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D.《华盖集》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《五代史伶官传序》一文的主旨是（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A.满招损，谦受益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B.祸患积于忽微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C.智勇多困于所溺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D.盛衰在于人事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《苦恼》一文在刻画人物形象时运用了哪些手法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A.肖像描写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B.环境烘托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C.白描手法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D.对话、细节与心理描写方法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https://d.book118.com/396045140134010101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396045140134010101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