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赛车项目安全调研评估报告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9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一、投资估算与资金筹措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8" w:history="1">
        <w:r>
          <w:rPr>
            <w:rFonts w:ascii="仿宋" w:eastAsia="仿宋" w:hAnsi="仿宋" w:cs="仿宋" w:hint="eastAsia"/>
            <w:lang w:eastAsia="zh-CN"/>
          </w:rPr>
          <w:t>二、产品规划</w:t>
        </w:r>
        <w:r>
          <w:tab/>
        </w:r>
        <w:r>
          <w:fldChar w:fldCharType="begin"/>
        </w:r>
        <w:r>
          <w:instrText xml:space="preserve"> PAGEREF _Toc10538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3" w:history="1">
        <w:r>
          <w:rPr>
            <w:rFonts w:ascii="仿宋" w:eastAsia="仿宋" w:hAnsi="仿宋" w:cs="仿宋" w:hint="eastAsia"/>
            <w:lang w:eastAsia="zh-CN"/>
          </w:rPr>
          <w:t>三、工艺技术设计及设备选型方案</w:t>
        </w:r>
        <w:r>
          <w:tab/>
        </w:r>
        <w:r>
          <w:fldChar w:fldCharType="begin"/>
        </w:r>
        <w:r>
          <w:instrText xml:space="preserve"> PAGEREF _Toc17973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(二)、赛车项目技术工艺分析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eastAsia="zh-CN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_Toc26423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3" w:history="1">
        <w:r>
          <w:rPr>
            <w:rFonts w:ascii="仿宋" w:eastAsia="仿宋" w:hAnsi="仿宋" w:cs="仿宋" w:hint="eastAsia"/>
            <w:lang w:eastAsia="zh-CN"/>
          </w:rPr>
          <w:t>(一)、顾客忠诚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6" w:history="1">
        <w:r>
          <w:rPr>
            <w:rFonts w:ascii="仿宋" w:eastAsia="仿宋" w:hAnsi="仿宋" w:cs="仿宋" w:hint="eastAsia"/>
            <w:lang w:eastAsia="zh-CN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_Toc13526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4" w:history="1">
        <w:r>
          <w:rPr>
            <w:rFonts w:ascii="仿宋" w:eastAsia="仿宋" w:hAnsi="仿宋" w:cs="仿宋" w:hint="eastAsia"/>
            <w:lang w:eastAsia="zh-CN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_Toc15234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4" w:history="1">
        <w:r>
          <w:rPr>
            <w:rFonts w:ascii="仿宋" w:eastAsia="仿宋" w:hAnsi="仿宋" w:cs="仿宋" w:hint="eastAsia"/>
            <w:lang w:eastAsia="zh-CN"/>
          </w:rPr>
          <w:t>(十)、赛车行业竞争者识别</w:t>
        </w:r>
        <w:r>
          <w:tab/>
        </w:r>
        <w:r>
          <w:fldChar w:fldCharType="begin"/>
        </w:r>
        <w:r>
          <w:instrText xml:space="preserve"> PAGEREF _Toc23014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_Toc7434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六、节能方案分析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_Toc28400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2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_Toc11852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_Toc28201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eastAsia="zh-CN"/>
          </w:rPr>
          <w:t>八、项目验收与总结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eastAsia="zh-CN"/>
          </w:rPr>
          <w:t>九、风险管理策略和内部控制体系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7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6" w:history="1">
        <w:r>
          <w:rPr>
            <w:rFonts w:ascii="仿宋" w:eastAsia="仿宋" w:hAnsi="仿宋" w:cs="仿宋" w:hint="eastAsia"/>
            <w:lang w:eastAsia="zh-CN"/>
          </w:rPr>
          <w:t>十、赛车行业产品策略</w:t>
        </w:r>
        <w:r>
          <w:tab/>
        </w:r>
        <w:r>
          <w:fldChar w:fldCharType="begin"/>
        </w:r>
        <w:r>
          <w:instrText xml:space="preserve"> PAGEREF _Toc29756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7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_Toc14807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6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_Toc7586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4" w:history="1">
        <w:r>
          <w:rPr>
            <w:rFonts w:ascii="仿宋" w:eastAsia="仿宋" w:hAnsi="仿宋" w:cs="仿宋" w:hint="eastAsia"/>
            <w:lang w:eastAsia="zh-CN"/>
          </w:rPr>
          <w:t>十一、环境和生态影响分析</w:t>
        </w:r>
        <w:r>
          <w:tab/>
        </w:r>
        <w:r>
          <w:fldChar w:fldCharType="begin"/>
        </w:r>
        <w:r>
          <w:instrText xml:space="preserve"> PAGEREF _Toc15344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_Toc31928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3" w:history="1">
        <w:r>
          <w:rPr>
            <w:rFonts w:ascii="仿宋" w:eastAsia="仿宋" w:hAnsi="仿宋" w:cs="仿宋" w:hint="eastAsia"/>
            <w:lang w:eastAsia="zh-CN"/>
          </w:rPr>
          <w:t>十二、市场需求分析</w:t>
        </w:r>
        <w:r>
          <w:tab/>
        </w:r>
        <w:r>
          <w:fldChar w:fldCharType="begin"/>
        </w:r>
        <w:r>
          <w:instrText xml:space="preserve"> PAGEREF _Toc27083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十三、发展规划、产业政策和行业准入分析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_Toc14428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7" w:history="1">
        <w:r>
          <w:rPr>
            <w:rFonts w:ascii="仿宋" w:eastAsia="仿宋" w:hAnsi="仿宋" w:cs="仿宋" w:hint="eastAsia"/>
            <w:lang w:eastAsia="zh-CN"/>
          </w:rPr>
          <w:t>十四、赛车财务管理策略</w:t>
        </w:r>
        <w:r>
          <w:tab/>
        </w:r>
        <w:r>
          <w:fldChar w:fldCharType="begin"/>
        </w:r>
        <w:r>
          <w:instrText xml:space="preserve"> PAGEREF _Toc20697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(一)、赛车财务管理原则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(二)、赛车收入及成本核算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(三)、赛车经济效益分析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(四)、赛车利润及利润分配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0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8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_Toc21838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十六、战略的定性评价决策方法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_Toc2796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十七、智能化设备与自动化生产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十八、市场营销与推广策略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1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_Toc18051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0" w:history="1">
        <w:r>
          <w:rPr>
            <w:rFonts w:ascii="仿宋" w:eastAsia="仿宋" w:hAnsi="仿宋" w:cs="仿宋" w:hint="eastAsia"/>
            <w:lang w:eastAsia="zh-CN"/>
          </w:rPr>
          <w:t>十九、环境与社会责任</w:t>
        </w:r>
        <w:r>
          <w:tab/>
        </w:r>
        <w:r>
          <w:fldChar w:fldCharType="begin"/>
        </w:r>
        <w:r>
          <w:instrText xml:space="preserve"> PAGEREF _Toc7460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二十、赛车项目总结分析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99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9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77"/>
      <w:r>
        <w:rPr>
          <w:rFonts w:ascii="仿宋" w:eastAsia="仿宋" w:hAnsi="仿宋" w:cs="仿宋" w:hint="eastAsia"/>
          <w:sz w:val="28"/>
          <w:lang w:eastAsia="zh-CN"/>
        </w:rPr>
        <w:t>一、投资估算与资金筹措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5"/>
      <w:r>
        <w:rPr>
          <w:rFonts w:ascii="仿宋" w:eastAsia="仿宋" w:hAnsi="仿宋" w:cs="仿宋" w:hint="eastAsia"/>
          <w:lang w:eastAsia="zh-CN"/>
        </w:rPr>
        <w:t>(一)、投资估算依据及范围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赛车项目的投资估算是依据多个因素全面考虑，以确保对赛车项目各方面费用的准确评估。这些因素主要包括以下几个方面：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通过调查和比较国内设备生产厂家的最新报价，获取设备的市场价格，以确定设备购置费用的合理估算。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参考国家建筑安装定额资料，合理估算建筑工程和安装工程的费用，包括所需人工、材料和机械设备的费用。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考察赛车项目的建设总体规划资料，了解项目的整体布局和要求，以便更准确地估算建设期各项费用。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参考相关财务制度，了解财务管理的规范和要求，确保估算符合财务制度的规定。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https://d.book118.com/396102005231010052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赛车项目安全调研评估报告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赛车项目安全调研评估报告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赛车项目安全调研评估报告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赛车项目安全调研评估报告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赛车项目安全调研评估报告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447086"/>
    <w:rsid w:val="4593521B"/>
    <w:rsid w:val="7944708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102005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2024-02-20T16:44:00Z</dcterms:created>
  <dcterms:modified xsi:type="dcterms:W3CDTF">2024-02-20T16:44:59Z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9F6C51D7D19344BCBDE7228ACE9E83D1_11</vt:lpwstr>
  </property>
  <property fmtid="{D5CDD505-2E9C-101B-9397-08002B2CF9AE}" pid="3" name="KSOProductBuildVer">
    <vt:lpwstr>2052-12.1.0.16250</vt:lpwstr>
  </property>
</Properties>
</file>