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学术圈行业相关公司设立可行性研究报告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3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(七)、学术圈项目建设必要性分析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五、学术圈筹建公司基本信息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六、学术圈项目风险分析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(一)、学术圈项目风险分析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(二)、学术圈项目风险对策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(一)、学术圈项目进度安排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eastAsia="zh-CN"/>
          </w:rPr>
          <w:t>(二)、学术圈项目实施保障措施</w:t>
        </w:r>
        <w:r>
          <w:tab/>
        </w:r>
        <w:r>
          <w:fldChar w:fldCharType="begin"/>
        </w:r>
        <w:r>
          <w:instrText xml:space="preserve"> PAGEREF _Toc30812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八、学术圈项目经济效益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(三)、学术圈项目盈利能力分析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(一)、学术圈项目背景分析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(二)、学术圈项目建设必要性分析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_Toc6793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_Toc14585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_Toc22559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9" w:history="1">
        <w:r>
          <w:rPr>
            <w:rFonts w:ascii="仿宋" w:eastAsia="仿宋" w:hAnsi="仿宋" w:cs="仿宋" w:hint="eastAsia"/>
            <w:lang w:eastAsia="zh-CN"/>
          </w:rPr>
          <w:t>(二)、合作学术圈项目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_Toc5363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3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8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6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49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https://d.book118.com/396102014141010050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10201414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2024-02-04T18:57:00Z</dcterms:created>
  <dcterms:modified xsi:type="dcterms:W3CDTF">2024-02-04T18:57:51Z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E2C413807DE14B94A8D7E15D654D01FA_11</vt:lpwstr>
  </property>
  <property fmtid="{D5CDD505-2E9C-101B-9397-08002B2CF9AE}" pid="3" name="KSOProductBuildVer">
    <vt:lpwstr>2052-12.1.0.16250</vt:lpwstr>
  </property>
</Properties>
</file>