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2018-2023年四川护理职业学院高职单招（数学／语文／英语）历年常考试题库含答案解析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下列诗句中引发议论的是（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A.桑之未落，其叶沃若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D.淇则有岸，隰则有泮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“既来之，则安之”这句古语出自（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下列关于《庄子·秋水》的表述，不正确的一项是（）。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A.“东面而视，不见水端”描写了北海的辽阔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B.“两涘渚崖之间，不辩牛马”描写了黄河水上涨的景色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C.“吾长见笑于大方之家”说明河伯认识到了自己的局限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D.“天下之水，莫大于海”写出了北海若骄傲自得的心态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孟子和孔子同属（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A.儒家学派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B.道家学派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D.名家学派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下列作家中，具有“含泪的微笑”艺术风格的是（）。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D.福楼拜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下列关于作品、作者、体裁搭配完全正确的是（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A.《报刘一丈书》——侯方域——书信体议论文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B.《论毅力》——梁实秋——议论文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C.《答司马谏议书》——王安石——书信体驳论文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D.《陈情表》——李斯——奏章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《大同》选自（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C.《礼记》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以下诗句中，化用《诗经》诗句的为（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A.周公吐哺，天下归心。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B.对酒当歌，人生几何。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C.山不厌高，海不厌深。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D.呦呦鹿鸣，食野之苹。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成语“祸起萧墙”出自（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2343396" cy="209572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3396" cy="20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下列关于欧阳修的表述，错误的一项是（）。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A.新乐府运动的倡导者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B.唐宋八大家之一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C.号醉翁，晚年自称六一居士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D.著有《新五代史》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https://d.book118.com/396103133230010052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39610313323001005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