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59F0AB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16BB3F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EA868F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DCF3B52" w14:textId="77777777">
                          <w:pPr>
                            <w:pStyle w:val="NoSpacing"/>
                            <w:jc w:val="right"/>
                            <w:rPr>
                              <w:color w:val="595959" w:themeColor="text1" w:themeTint="A6"/>
                              <w:sz w:val="32"/>
                              <w:szCs w:val="32"/>
                            </w:rPr>
                          </w:pPr>
                          <w:sdt>
                            <w:sdtPr>
                              <w:rPr>
                                <w:color w:val="595959" w:themeColor="text1" w:themeTint="A6"/>
                                <w:sz w:val="32"/>
                                <w:szCs w:val="32"/>
                              </w:rPr>
                              <w:alias w:val="摘要"/>
                              <w:id w:val="65055922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928817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B01CD8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F3747E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5002047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9029B9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BE443F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F0FC21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A955C5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F0394B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6D5C5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97D4FD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6D1F8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05F8D3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CB9EEB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406E97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837936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71DFAE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305E9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EAAAB4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7A124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A1BB98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4AA6A5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8BF02D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2DDE85F"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62869B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76D60B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30847775"/>
        <w:docPartObj>
          <w:docPartGallery w:val="Table of Contents"/>
          <w:docPartUnique/>
        </w:docPartObj>
      </w:sdtPr>
      <w:sdtEndPr>
        <w:rPr>
          <w:b/>
          <w:bCs/>
        </w:rPr>
      </w:sdtEndPr>
      <w:sdtContent>
        <w:p w:rsidR="00483551" w:rsidRPr="00913CD1" w:rsidP="00457322" w14:paraId="3A23F2E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02B024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D024C2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C2F89F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CDC6B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F4D347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FE2BF3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8CDFF0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1BDF1A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EED924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B108C9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4EF94C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62AF75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95FEA9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FB6C9B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2645F4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FA8B1D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5BB46A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C92E57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A7ABE4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1E3A4A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52F9CB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44712970"/>
        <w:docPartObj>
          <w:docPartGallery w:val="Table of Contents"/>
          <w:docPartUnique/>
        </w:docPartObj>
      </w:sdtPr>
      <w:sdtEndPr>
        <w:rPr>
          <w:b/>
          <w:bCs/>
        </w:rPr>
      </w:sdtEndPr>
      <w:sdtContent>
        <w:p w:rsidR="00483551" w:rsidRPr="00913CD1" w:rsidP="00457322" w14:paraId="6E9BE55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DBABBD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FC4CA4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B8FB41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2FBE09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3E3063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7719F1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CF19AB5"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BC9120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BC5958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606F12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35D4D9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D76621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19DC3B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C6A995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088EE6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02FAD4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0185DC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1D2905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5F7EA7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2EAAC0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FD750D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9967173"/>
        <w:docPartObj>
          <w:docPartGallery w:val="Table of Contents"/>
          <w:docPartUnique/>
        </w:docPartObj>
      </w:sdtPr>
      <w:sdtEndPr>
        <w:rPr>
          <w:b/>
          <w:bCs/>
        </w:rPr>
      </w:sdtEndPr>
      <w:sdtContent>
        <w:p w:rsidR="00483551" w:rsidRPr="00913CD1" w:rsidP="00457322" w14:paraId="124643A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C9E4E8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036C03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F78186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D4C0F6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9F7341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B970CA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CCC835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CD8387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DFAF11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F00D54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E01F1C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BA5775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5DF73A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865D3D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57BF18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EEEE5B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DEFBDD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1523CC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B2721" w14:paraId="0AF20160" w14:textId="3573201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建筑用木料及加工木材组件项目可行性分析报告编制的主要目的和意义在于为项目投资决策提供科学、客观的依据。通过深入的市场调研、技术评估、财务分析和风险评估，可行性分析报告能够帮助决策者清晰地了解项目的潜在收益、成本、风险和可行性。具体来说，编制此类报告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：通过可行性分析，可以明确项目的预期目标，包括经济效益、社会效益和环境效益，确保项目与组织的整体战略相一致。</w:t>
      </w:r>
      <w:r>
        <w:rPr>
          <w:rFonts w:ascii="仿宋" w:eastAsia="仿宋" w:hAnsi="仿宋"/>
          <w:sz w:val="28"/>
        </w:rPr>
        <w:br/>
        <w:t xml:space="preserve">    2.</w:t>
      </w:r>
      <w:r>
        <w:rPr>
          <w:rFonts w:ascii="仿宋" w:eastAsia="仿宋" w:hAnsi="仿宋"/>
          <w:sz w:val="28"/>
        </w:rPr>
        <w:t>市场洞察</w:t>
      </w:r>
      <w:r>
        <w:rPr>
          <w:rFonts w:ascii="仿宋" w:eastAsia="仿宋" w:hAnsi="仿宋"/>
          <w:sz w:val="28"/>
        </w:rPr>
        <w:t>：详细的市场调研有助于了解目标市场的需求、竞争状况、价格趋势和潜在的销售渠道，从而为项目的市场定位和营销策略提供指导。</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：对项目所采用的技术进行评估，确保其先进性、适用性和经济性，同时评估技术风险和知识产权状况。</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：通过对项目的财务数据进行详细分析，评估项目的盈利能力、现金流量、投资回报率和财务风险，为投资者提供明确的财务预期。</w:t>
      </w:r>
      <w:r>
        <w:rPr>
          <w:rFonts w:ascii="仿宋" w:eastAsia="仿宋" w:hAnsi="仿宋"/>
          <w:sz w:val="28"/>
        </w:rPr>
        <w:br/>
        <w:t xml:space="preserve">    5.</w:t>
      </w:r>
      <w:r>
        <w:rPr>
          <w:rFonts w:ascii="仿宋" w:eastAsia="仿宋" w:hAnsi="仿宋"/>
          <w:sz w:val="28"/>
        </w:rPr>
        <w:t>风险评估</w:t>
      </w:r>
    </w:p>
    <w:p w:rsidR="00CB2721" w14:textId="35732014">
      <w:pPr>
        <w:ind w:firstLine="561"/>
      </w:pPr>
      <w:r>
        <w:rPr>
          <w:rFonts w:ascii="仿宋" w:eastAsia="仿宋" w:hAnsi="仿宋"/>
          <w:sz w:val="28"/>
        </w:rPr>
        <w:t>：识别和评估项目可能面临的各种风险，包括市场风险、技术风险、管理风险和财务风险等，并提出相应的风险应对策略。</w:t>
      </w:r>
      <w:r>
        <w:rPr>
          <w:rFonts w:ascii="仿宋" w:eastAsia="仿宋" w:hAnsi="仿宋"/>
          <w:sz w:val="28"/>
        </w:rPr>
        <w:br/>
        <w:t xml:space="preserve">    6.</w:t>
      </w:r>
      <w:r>
        <w:rPr>
          <w:rFonts w:ascii="仿宋" w:eastAsia="仿宋" w:hAnsi="仿宋"/>
          <w:sz w:val="28"/>
        </w:rPr>
        <w:t>优化决策</w:t>
      </w:r>
      <w:r>
        <w:rPr>
          <w:rFonts w:ascii="仿宋" w:eastAsia="仿宋" w:hAnsi="仿宋"/>
          <w:sz w:val="28"/>
        </w:rPr>
        <w:t>：基于上述分析，为项目投资者和决策者提供客观的数据和信息，帮助其做出最优的投资决策。</w:t>
      </w:r>
      <w:r>
        <w:rPr>
          <w:rFonts w:ascii="仿宋" w:eastAsia="仿宋" w:hAnsi="仿宋"/>
          <w:sz w:val="28"/>
        </w:rPr>
        <w:br/>
        <w:t xml:space="preserve">    7.</w:t>
      </w:r>
      <w:r>
        <w:rPr>
          <w:rFonts w:ascii="仿宋" w:eastAsia="仿宋" w:hAnsi="仿宋"/>
          <w:sz w:val="28"/>
        </w:rPr>
        <w:t>资源配置</w:t>
      </w:r>
      <w:r>
        <w:rPr>
          <w:rFonts w:ascii="仿宋" w:eastAsia="仿宋" w:hAnsi="仿宋"/>
          <w:sz w:val="28"/>
        </w:rPr>
        <w:t>：根据可行性分析的结果，合理配置项目所需的资源，包括人力、物力和财力，确保项目高效实施。</w:t>
      </w:r>
      <w:r>
        <w:rPr>
          <w:rFonts w:ascii="仿宋" w:eastAsia="仿宋" w:hAnsi="仿宋"/>
          <w:sz w:val="28"/>
        </w:rPr>
        <w:br/>
        <w:t xml:space="preserve">    8.</w:t>
      </w:r>
      <w:r>
        <w:rPr>
          <w:rFonts w:ascii="仿宋" w:eastAsia="仿宋" w:hAnsi="仿宋"/>
          <w:sz w:val="28"/>
        </w:rPr>
        <w:t>合规性</w:t>
      </w:r>
      <w:r>
        <w:rPr>
          <w:rFonts w:ascii="仿宋" w:eastAsia="仿宋" w:hAnsi="仿宋"/>
          <w:sz w:val="28"/>
        </w:rPr>
        <w:t>：确保项目符合相关的法律法规、行业标准和环保要求，降低潜在的合规风险。</w:t>
      </w:r>
      <w:r>
        <w:rPr>
          <w:rFonts w:ascii="仿宋" w:eastAsia="仿宋" w:hAnsi="仿宋"/>
          <w:sz w:val="28"/>
        </w:rPr>
        <w:br/>
        <w:t xml:space="preserve">    9.</w:t>
      </w:r>
      <w:r>
        <w:rPr>
          <w:rFonts w:ascii="仿宋" w:eastAsia="仿宋" w:hAnsi="仿宋"/>
          <w:sz w:val="28"/>
        </w:rPr>
        <w:t>持续发展</w:t>
      </w:r>
      <w:r>
        <w:rPr>
          <w:rFonts w:ascii="仿宋" w:eastAsia="仿宋" w:hAnsi="仿宋"/>
          <w:sz w:val="28"/>
        </w:rPr>
        <w:t>：通过评估项目的可持续性，为项目的长期发展和战略规划提供参考。</w:t>
      </w:r>
      <w:r>
        <w:rPr>
          <w:rFonts w:ascii="仿宋" w:eastAsia="仿宋" w:hAnsi="仿宋"/>
          <w:sz w:val="28"/>
        </w:rPr>
        <w:br/>
      </w:r>
      <w:r>
        <w:rPr>
          <w:rFonts w:ascii="仿宋" w:eastAsia="仿宋" w:hAnsi="仿宋"/>
          <w:sz w:val="28"/>
        </w:rPr>
        <w:t>综上所述，建筑用木料及加工木材组件项目可行性分析报告的编制不仅为项目提供了全面的评估，也为项目投资决策提供了坚实的依据，有助于提高项目的成功率，降低投资风险，并为项目的长期发展和持续运营奠定基础。</w:t>
      </w:r>
    </w:p>
    <w:p w:rsidR="009D1637" w:rsidRPr="00913CD1" w:rsidP="00457322" w14:paraId="012B6F0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A4E5CD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B4D92E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A08AC36"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9C37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9EEC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90D7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3EEA29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4E071F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181EFE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0DDF1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D8B462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30EA3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3AB006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23BBC0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8A9F48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B167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8ACF0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D8D388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DBEA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728B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0A4C1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4B947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A760C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DC02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F8A1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083CE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w:t>
      </w:r>
    </w:p>
    <w:p w:rsidR="009D1637" w:rsidRPr="00913CD1" w:rsidP="00457322" w14:paraId="1B8ED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w:t>
      </w:r>
    </w:p>
    <w:p w:rsidR="009D1637" w:rsidRPr="00913CD1" w:rsidP="00457322" w14:paraId="510F4C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2E6F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0CDE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63D7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F8FF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20D32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0F4DD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8C64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建筑用木料及加工木材组件产品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964A65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建筑用木料及加工木材组件</w:t>
      </w:r>
      <w:r w:rsidRPr="00913CD1">
        <w:rPr>
          <w:rFonts w:ascii="仿宋" w:eastAsia="仿宋" w:hAnsi="仿宋"/>
        </w:rPr>
        <w:t>项目绪论</w:t>
      </w:r>
      <w:bookmarkEnd w:id="4"/>
    </w:p>
    <w:p w:rsidR="009D1637" w:rsidRPr="00913CD1" w:rsidP="00457322" w14:paraId="154D96C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建筑用木料及加工木材组件</w:t>
      </w:r>
      <w:r w:rsidRPr="00913CD1">
        <w:rPr>
          <w:rFonts w:ascii="仿宋" w:eastAsia="仿宋" w:hAnsi="仿宋"/>
        </w:rPr>
        <w:t>项目名称及建设性质</w:t>
      </w:r>
      <w:bookmarkEnd w:id="5"/>
    </w:p>
    <w:p w:rsidR="009D1637" w:rsidRPr="00913CD1" w:rsidP="00457322" w14:paraId="5C9EB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项目名称</w:t>
      </w:r>
    </w:p>
    <w:p w:rsidR="009D1637" w:rsidRPr="00913CD1" w:rsidP="00457322" w14:paraId="5112CB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w:t>
      </w:r>
    </w:p>
    <w:p w:rsidR="009D1637" w:rsidRPr="00913CD1" w:rsidP="00457322" w14:paraId="5904A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项目建设性质</w:t>
      </w:r>
    </w:p>
    <w:p w:rsidR="009D1637" w:rsidRPr="00913CD1" w:rsidP="00457322" w14:paraId="21872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建筑用木料及加工木材组件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81004A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建筑用木料及加工木材组件</w:t>
      </w:r>
      <w:r w:rsidRPr="00913CD1">
        <w:rPr>
          <w:rFonts w:ascii="仿宋" w:eastAsia="仿宋" w:hAnsi="仿宋"/>
        </w:rPr>
        <w:t>项目承办单位</w:t>
      </w:r>
      <w:bookmarkEnd w:id="6"/>
    </w:p>
    <w:p w:rsidR="009D1637" w:rsidRPr="00913CD1" w:rsidP="00457322" w14:paraId="798F3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项目实施主体</w:t>
      </w:r>
    </w:p>
    <w:p w:rsidR="009D1637" w:rsidRPr="00913CD1" w:rsidP="00457322" w14:paraId="073A3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F954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DED9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项目信息。</w:t>
      </w:r>
    </w:p>
    <w:p w:rsidR="009D1637" w:rsidRPr="00913CD1" w:rsidP="00457322" w14:paraId="1E572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13CB010"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03B198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64FF17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3F03C4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244360C"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建筑用木料及加工木材组件</w:t>
      </w:r>
      <w:r w:rsidRPr="00913CD1">
        <w:rPr>
          <w:rFonts w:ascii="仿宋" w:eastAsia="仿宋" w:hAnsi="仿宋"/>
        </w:rPr>
        <w:t>项目定位及建设理由</w:t>
      </w:r>
      <w:bookmarkEnd w:id="7"/>
    </w:p>
    <w:p w:rsidR="00CB2721" w14:paraId="4DDA392F" w14:textId="3893FB3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建筑用木料及加工木材组件项目可行性分析报告中的项目定位及建设理由应包括以下关键点：</w:t>
      </w:r>
      <w:r>
        <w:rPr>
          <w:rFonts w:ascii="仿宋" w:eastAsia="仿宋" w:hAnsi="仿宋"/>
          <w:sz w:val="28"/>
        </w:rPr>
        <w:br/>
        <w:t xml:space="preserve">    1.</w:t>
      </w:r>
      <w:r>
        <w:rPr>
          <w:rFonts w:ascii="仿宋" w:eastAsia="仿宋" w:hAnsi="仿宋"/>
          <w:sz w:val="28"/>
        </w:rPr>
        <w:t>市场定位：明确目标市场，分析市场供需状况，确定项目产品或服务的市场定位，满足特定客户群体的需求。</w:t>
      </w:r>
      <w:r>
        <w:rPr>
          <w:rFonts w:ascii="仿宋" w:eastAsia="仿宋" w:hAnsi="仿宋"/>
          <w:sz w:val="28"/>
        </w:rPr>
        <w:br/>
        <w:t xml:space="preserve">    2.</w:t>
      </w:r>
      <w:r>
        <w:rPr>
          <w:rFonts w:ascii="仿宋" w:eastAsia="仿宋" w:hAnsi="仿宋"/>
          <w:sz w:val="28"/>
        </w:rPr>
        <w:t>产品定位：根据市场需求和技术能力，确定项目产品或服务的特色、质量标准和价格策略，以实现差异化竞争。</w:t>
      </w:r>
      <w:r>
        <w:rPr>
          <w:rFonts w:ascii="仿宋" w:eastAsia="仿宋" w:hAnsi="仿宋"/>
          <w:sz w:val="28"/>
        </w:rPr>
        <w:br/>
        <w:t xml:space="preserve">    3.</w:t>
      </w:r>
    </w:p>
    <w:p w:rsidR="00CB2721" w14:textId="3893FB39">
      <w:pPr>
        <w:ind w:firstLine="561"/>
      </w:pPr>
      <w:r>
        <w:rPr>
          <w:rFonts w:ascii="仿宋" w:eastAsia="仿宋" w:hAnsi="仿宋"/>
          <w:sz w:val="28"/>
        </w:rPr>
        <w:t>技术定位：评估项目所需技术水平，确定采用先进适用的技术，确保产品或服务的质量和竞争力。</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经济效益：分析项目预期经济效益，包括投资回报率、成本效益分析等，论证项目在经济上的可行性和盈利能力。</w:t>
      </w:r>
      <w:r>
        <w:rPr>
          <w:rFonts w:ascii="仿宋" w:eastAsia="仿宋" w:hAnsi="仿宋"/>
          <w:sz w:val="28"/>
        </w:rPr>
        <w:br/>
        <w:t xml:space="preserve">    △</w:t>
      </w:r>
      <w:r>
        <w:rPr>
          <w:rFonts w:ascii="仿宋" w:eastAsia="仿宋" w:hAnsi="仿宋"/>
          <w:sz w:val="28"/>
        </w:rPr>
        <w:t>社会效益：评估项目对当地就业、税收、产业升级等方面的贡献，以及对社会发展的积极影响。</w:t>
      </w:r>
      <w:r>
        <w:rPr>
          <w:rFonts w:ascii="仿宋" w:eastAsia="仿宋" w:hAnsi="仿宋"/>
          <w:sz w:val="28"/>
        </w:rPr>
        <w:br/>
        <w:t xml:space="preserve">    △</w:t>
      </w:r>
      <w:r>
        <w:rPr>
          <w:rFonts w:ascii="仿宋" w:eastAsia="仿宋" w:hAnsi="仿宋"/>
          <w:sz w:val="28"/>
        </w:rPr>
        <w:t>环境效益：分析项目对环境的影响，包括资源节约、污染控制、生态保护等，确保项目符合可持续发展要求。</w:t>
      </w:r>
      <w:r>
        <w:rPr>
          <w:rFonts w:ascii="仿宋" w:eastAsia="仿宋" w:hAnsi="仿宋"/>
          <w:sz w:val="28"/>
        </w:rPr>
        <w:br/>
        <w:t xml:space="preserve">    △</w:t>
      </w:r>
      <w:r>
        <w:rPr>
          <w:rFonts w:ascii="仿宋" w:eastAsia="仿宋" w:hAnsi="仿宋"/>
          <w:sz w:val="28"/>
        </w:rPr>
        <w:t>政策支持：说明项目是否符合国家或地方的政策导向，是否能够获得政策支持和优惠条件。</w:t>
      </w:r>
      <w:r>
        <w:rPr>
          <w:rFonts w:ascii="仿宋" w:eastAsia="仿宋" w:hAnsi="仿宋"/>
          <w:sz w:val="28"/>
        </w:rPr>
        <w:br/>
        <w:t xml:space="preserve">    △</w:t>
      </w:r>
      <w:r>
        <w:rPr>
          <w:rFonts w:ascii="仿宋" w:eastAsia="仿宋" w:hAnsi="仿宋"/>
          <w:sz w:val="28"/>
        </w:rPr>
        <w:t>风险评估：对项目可能面临的市场风险、技术风险、管理风险等进行评估，并提出应对措施。</w:t>
      </w:r>
      <w:r>
        <w:rPr>
          <w:rFonts w:ascii="仿宋" w:eastAsia="仿宋" w:hAnsi="仿宋"/>
          <w:sz w:val="28"/>
        </w:rPr>
        <w:br/>
        <w:t xml:space="preserve">    5.</w:t>
      </w:r>
      <w:r>
        <w:rPr>
          <w:rFonts w:ascii="仿宋" w:eastAsia="仿宋" w:hAnsi="仿宋"/>
          <w:sz w:val="28"/>
        </w:rPr>
        <w:t>综合评估：通过对上述因素的综合分析，确定项目的可行性和必要性，为投资决策提供科学依据。</w:t>
      </w:r>
      <w:r>
        <w:rPr>
          <w:rFonts w:ascii="仿宋" w:eastAsia="仿宋" w:hAnsi="仿宋"/>
          <w:sz w:val="28"/>
        </w:rPr>
        <w:br/>
        <w:t xml:space="preserve">    6.</w:t>
      </w:r>
      <w:r>
        <w:rPr>
          <w:rFonts w:ascii="仿宋" w:eastAsia="仿宋" w:hAnsi="仿宋"/>
          <w:sz w:val="28"/>
        </w:rPr>
        <w:t>结论与建议：基于上述分析，给出项目是否实施的结论，并提出相应的实施建议。</w:t>
      </w:r>
    </w:p>
    <w:p w:rsidR="009D1637" w:rsidRPr="00913CD1" w:rsidP="00457322" w14:paraId="47D09D3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92BF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5EF5AC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A7AD61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57420F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建筑用木料及加工木材组件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321CA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建筑用木料及加工木材组件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263370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建筑用木料及加工木材组件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3437B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EF76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4BCA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4C18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E8B5E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项目功能、盈利性等</w:t>
      </w:r>
    </w:p>
    <w:p w:rsidR="007D3AEE" w:rsidRPr="00913CD1" w:rsidP="00457322" w14:paraId="13A75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4D21FD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C1C0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9CA85A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建筑用木料及加工木材组件</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项目建设的可行性和效益的合理性。</w:t>
      </w:r>
    </w:p>
    <w:p w:rsidR="009D1637" w:rsidRPr="00913CD1" w:rsidP="00457322" w14:paraId="2975F14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建筑用木料及加工木材组件</w:t>
      </w:r>
      <w:r w:rsidRPr="00913CD1">
        <w:rPr>
          <w:rFonts w:ascii="仿宋" w:eastAsia="仿宋" w:hAnsi="仿宋"/>
        </w:rPr>
        <w:t>项目建设选址</w:t>
      </w:r>
      <w:bookmarkEnd w:id="9"/>
    </w:p>
    <w:p w:rsidR="009D1637" w:rsidRPr="00913CD1" w:rsidP="00457322" w14:paraId="2CB6A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项目选址及规划</w:t>
      </w:r>
    </w:p>
    <w:p w:rsidR="009D1637" w:rsidRPr="00913CD1" w:rsidP="00457322" w14:paraId="7673E9A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项目的建设。</w:t>
      </w:r>
    </w:p>
    <w:p w:rsidR="009D1637" w:rsidRPr="00913CD1" w:rsidP="00457322" w14:paraId="57D745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项目背景及选址理由</w:t>
      </w:r>
    </w:p>
    <w:p w:rsidR="009D1637" w:rsidRPr="00913CD1" w:rsidP="00457322" w14:paraId="788D0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项目背景</w:t>
      </w:r>
    </w:p>
    <w:p w:rsidR="00CB2721" w14:paraId="562C2768" w14:textId="201E11B5">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建筑用木料及加工木材组件项目背景分析报告应包括以下关键内容：</w:t>
      </w:r>
      <w:r>
        <w:rPr>
          <w:rFonts w:ascii="仿宋" w:eastAsia="仿宋" w:hAnsi="仿宋"/>
          <w:sz w:val="28"/>
        </w:rPr>
        <w:br/>
        <w:t xml:space="preserve">    1.</w:t>
      </w:r>
      <w:r>
        <w:rPr>
          <w:rFonts w:ascii="仿宋" w:eastAsia="仿宋" w:hAnsi="仿宋"/>
          <w:sz w:val="28"/>
        </w:rPr>
        <w:t>项目概述：简要介绍项目的目的、规模和预期效益。</w:t>
      </w:r>
      <w:r>
        <w:rPr>
          <w:rFonts w:ascii="仿宋" w:eastAsia="仿宋" w:hAnsi="仿宋"/>
          <w:sz w:val="28"/>
        </w:rPr>
        <w:br/>
        <w:t xml:space="preserve">    2.</w:t>
      </w:r>
      <w:r>
        <w:rPr>
          <w:rFonts w:ascii="仿宋" w:eastAsia="仿宋" w:hAnsi="仿宋"/>
          <w:sz w:val="28"/>
        </w:rPr>
        <w:t>市场分析：研究目标市场的供需情况、价格趋势、竞争格局和潜在客户群体。</w:t>
      </w:r>
    </w:p>
    <w:p w:rsidR="00CB2721" w14:textId="201E11B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技术分析：评估项目所采用的技术是否先进、成熟、可靠，是否具有成本优势和市场竞争力。</w:t>
      </w:r>
      <w:r>
        <w:rPr>
          <w:rFonts w:ascii="仿宋" w:eastAsia="仿宋" w:hAnsi="仿宋"/>
          <w:sz w:val="28"/>
        </w:rPr>
        <w:br/>
        <w:t xml:space="preserve">    4.</w:t>
      </w:r>
      <w:r>
        <w:rPr>
          <w:rFonts w:ascii="仿宋" w:eastAsia="仿宋" w:hAnsi="仿宋"/>
          <w:sz w:val="28"/>
        </w:rPr>
        <w:t>资源分析：分析项目所需原材料、人力资源、资金和其他资源的供应情况。</w:t>
      </w:r>
      <w:r>
        <w:rPr>
          <w:rFonts w:ascii="仿宋" w:eastAsia="仿宋" w:hAnsi="仿宋"/>
          <w:sz w:val="28"/>
        </w:rPr>
        <w:br/>
        <w:t xml:space="preserve">    5.</w:t>
      </w:r>
      <w:r>
        <w:rPr>
          <w:rFonts w:ascii="仿宋" w:eastAsia="仿宋" w:hAnsi="仿宋"/>
          <w:sz w:val="28"/>
        </w:rPr>
        <w:t>环境保护：评估项目对环境的影响，包括污染控制措施和可持续发展策略。</w:t>
      </w:r>
      <w:r>
        <w:rPr>
          <w:rFonts w:ascii="仿宋" w:eastAsia="仿宋" w:hAnsi="仿宋"/>
          <w:sz w:val="28"/>
        </w:rPr>
        <w:br/>
        <w:t xml:space="preserve">    6.</w:t>
      </w:r>
      <w:r>
        <w:rPr>
          <w:rFonts w:ascii="仿宋" w:eastAsia="仿宋" w:hAnsi="仿宋"/>
          <w:sz w:val="28"/>
        </w:rPr>
        <w:t>经济分析：进行财务评估，包括投资估算、收益预测、成本分析、风险评估和敏感性分析。</w:t>
      </w:r>
      <w:r>
        <w:rPr>
          <w:rFonts w:ascii="仿宋" w:eastAsia="仿宋" w:hAnsi="仿宋"/>
          <w:sz w:val="28"/>
        </w:rPr>
        <w:br/>
        <w:t xml:space="preserve">    7.</w:t>
      </w:r>
      <w:r>
        <w:rPr>
          <w:rFonts w:ascii="仿宋" w:eastAsia="仿宋" w:hAnsi="仿宋"/>
          <w:sz w:val="28"/>
        </w:rPr>
        <w:t>社会分析：考虑项目对当地社会、文化和生活方式的影响，以及社会接受度。</w:t>
      </w:r>
      <w:r>
        <w:rPr>
          <w:rFonts w:ascii="仿宋" w:eastAsia="仿宋" w:hAnsi="仿宋"/>
          <w:sz w:val="28"/>
        </w:rPr>
        <w:br/>
        <w:t xml:space="preserve">    8.</w:t>
      </w:r>
      <w:r>
        <w:rPr>
          <w:rFonts w:ascii="仿宋" w:eastAsia="仿宋" w:hAnsi="仿宋"/>
          <w:sz w:val="28"/>
        </w:rPr>
        <w:t>法律分析：分析项目是否符合相关法律法规，是否存在法律风险。</w:t>
      </w:r>
      <w:r>
        <w:rPr>
          <w:rFonts w:ascii="仿宋" w:eastAsia="仿宋" w:hAnsi="仿宋"/>
          <w:sz w:val="28"/>
        </w:rPr>
        <w:br/>
        <w:t xml:space="preserve">    9.</w:t>
      </w:r>
      <w:r>
        <w:rPr>
          <w:rFonts w:ascii="仿宋" w:eastAsia="仿宋" w:hAnsi="仿宋"/>
          <w:sz w:val="28"/>
        </w:rPr>
        <w:t>项目风险：识别并评估项目可能面临的各类风险，包括市场风险、技术风险、财务风险等。</w:t>
      </w:r>
      <w:r>
        <w:rPr>
          <w:rFonts w:ascii="仿宋" w:eastAsia="仿宋" w:hAnsi="仿宋"/>
          <w:sz w:val="28"/>
        </w:rPr>
        <w:br/>
        <w:t xml:space="preserve">10. </w:t>
      </w:r>
      <w:r>
        <w:rPr>
          <w:rFonts w:ascii="仿宋" w:eastAsia="仿宋" w:hAnsi="仿宋"/>
          <w:sz w:val="28"/>
        </w:rPr>
        <w:t>结论与建议：基于上述分析，给出项目是否可行的结论，并提出相应的建议。</w:t>
      </w:r>
    </w:p>
    <w:p w:rsidR="009D1637" w:rsidRPr="00913CD1" w:rsidP="00457322" w14:paraId="76F0A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8C18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387F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项目的发展和扩张。</w:t>
      </w:r>
    </w:p>
    <w:p w:rsidR="009D1637" w:rsidRPr="00913CD1" w:rsidP="00457322" w14:paraId="1284D0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项目的可迗性。</w:t>
      </w:r>
    </w:p>
    <w:p w:rsidR="009D1637" w:rsidRPr="00913CD1" w:rsidP="00457322" w14:paraId="0C4A4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项目建设提供了良好基础条件。</w:t>
      </w:r>
    </w:p>
    <w:p w:rsidR="009D1637" w:rsidRPr="00913CD1" w:rsidP="00457322" w14:paraId="1941D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项目规模和扩展的需要。</w:t>
      </w:r>
    </w:p>
    <w:p w:rsidR="009D1637" w:rsidRPr="00913CD1" w:rsidP="00457322" w14:paraId="0E8A130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建筑用木料及加工木材组件</w:t>
      </w:r>
      <w:r w:rsidRPr="00913CD1">
        <w:rPr>
          <w:rFonts w:ascii="仿宋" w:eastAsia="仿宋" w:hAnsi="仿宋"/>
        </w:rPr>
        <w:t>项目生产规模</w:t>
      </w:r>
      <w:bookmarkEnd w:id="10"/>
    </w:p>
    <w:p w:rsidR="009D1637" w:rsidRPr="00913CD1" w:rsidP="00457322" w14:paraId="620982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1CE627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5A46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04B276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E32C0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6C0A30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DE66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BABD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AD8D99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建筑用木料及加工木材组件</w:t>
      </w:r>
      <w:r w:rsidRPr="00913CD1">
        <w:rPr>
          <w:rFonts w:ascii="仿宋" w:eastAsia="仿宋" w:hAnsi="仿宋"/>
        </w:rPr>
        <w:t>项目总投资及资金构成</w:t>
      </w:r>
      <w:bookmarkEnd w:id="13"/>
    </w:p>
    <w:p w:rsidR="009D1637" w:rsidRPr="00913CD1" w:rsidP="00457322" w14:paraId="2C218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的生产能力。</w:t>
      </w:r>
    </w:p>
    <w:p w:rsidR="009D1637" w:rsidRPr="00913CD1" w:rsidP="00457322" w14:paraId="1E008F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项目总投资</w:t>
      </w:r>
    </w:p>
    <w:p w:rsidR="009D1637" w:rsidRPr="00913CD1" w:rsidP="00457322" w14:paraId="16911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6C1F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9643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47F5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544F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2952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FD926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89B9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项目的顺利建设奠定了财务基础。</w:t>
      </w:r>
    </w:p>
    <w:p w:rsidR="009D1637" w:rsidRPr="00913CD1" w:rsidP="00457322" w14:paraId="63A926C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B40E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39C1D8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建筑用木料及加工木材组件</w:t>
      </w:r>
      <w:r w:rsidRPr="00913CD1">
        <w:rPr>
          <w:rFonts w:ascii="仿宋" w:eastAsia="仿宋" w:hAnsi="仿宋"/>
        </w:rPr>
        <w:t>项目预期经济效益规划目标</w:t>
      </w:r>
      <w:bookmarkEnd w:id="15"/>
    </w:p>
    <w:p w:rsidR="009D1637" w:rsidRPr="00913CD1" w:rsidP="00457322" w14:paraId="0724F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项目的盈利能力和市场竞争力。</w:t>
      </w:r>
    </w:p>
    <w:p w:rsidR="009D1637" w:rsidRPr="00913CD1" w:rsidP="00457322" w14:paraId="31644A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项目具有较高的投资价值和发展潜力。</w:t>
      </w:r>
    </w:p>
    <w:p w:rsidR="009D1637" w:rsidRPr="00913CD1" w:rsidP="00457322" w14:paraId="6F881CA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3C0F3F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建筑用木料及加工木材组件</w:t>
      </w:r>
      <w:r w:rsidRPr="00913CD1">
        <w:rPr>
          <w:rFonts w:ascii="仿宋" w:eastAsia="仿宋" w:hAnsi="仿宋"/>
        </w:rPr>
        <w:t>项目建设进度规划</w:t>
      </w:r>
      <w:bookmarkEnd w:id="16"/>
    </w:p>
    <w:p w:rsidR="009D1637" w:rsidRPr="00913CD1" w:rsidP="00457322" w14:paraId="2C5BF9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项目的顺利进行和按时完成。</w:t>
      </w:r>
    </w:p>
    <w:p w:rsidR="009D1637" w:rsidRPr="00913CD1" w:rsidP="00457322" w14:paraId="5F7C1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项目的质量和进度。</w:t>
      </w:r>
    </w:p>
    <w:p w:rsidR="009D1637" w:rsidRPr="00913CD1" w:rsidP="00457322" w14:paraId="35ACC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12D8DA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建筑用木料及加工木材组件</w:t>
      </w:r>
      <w:r w:rsidRPr="00913CD1">
        <w:rPr>
          <w:rFonts w:ascii="仿宋" w:eastAsia="仿宋" w:hAnsi="仿宋"/>
        </w:rPr>
        <w:t>项目综合评价</w:t>
      </w:r>
      <w:bookmarkEnd w:id="17"/>
    </w:p>
    <w:p w:rsidR="00BF6395" w:rsidRPr="00913CD1" w:rsidP="00457322" w14:paraId="0BA05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建筑用木料及加工木材组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0AA7E1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建筑用木料及加工木材组件项目的投资回报率稳定且可观。根据市场调查和预测，建筑用木料及加工木材组件市场需求持续增长，具有良好的市场前景和发展空间。我们的投资方向紧密结合国家产业政策和市场需求，为投资者创造可观的投资收益。</w:t>
      </w:r>
    </w:p>
    <w:p w:rsidR="00BF6395" w:rsidRPr="00913CD1" w:rsidP="00457322" w14:paraId="47B2E18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建筑用木料及加工木材组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48327A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在技术方案设计方面，我们注重方案的优化和效益的提升。通过科学合理的设计，实现建筑用木料及加工木材组件</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生产流程的高效化和产品的优质化。我们将采用先进的生产工艺和技术，提高生产效率，降低生产成本。同时，我们还将加强产品研发和创新，不断推出具有竞争力的新产品，满足建筑用木料及加工木材组件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695E8B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建筑用木料及加工木材组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00CCE2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综上所述，本期建筑用木料及加工木材组件项目具备技术和经济的可行性，具有良好的市场前景和发展空间。我们将充分发挥自身优势，抓住市场机遇，为投资者创造丰厚的投资回报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64C9D2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436DBB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7977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95A9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38C8F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279421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0E88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45DFE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(一)目标</w:t>
      </w:r>
    </w:p>
    <w:p w:rsidR="009D1637" w:rsidRPr="00913CD1" w:rsidP="00457322" w14:paraId="74FBC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97FB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31E5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E328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29AE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B279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8B63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2AD4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C9A8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06D8BE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59D1B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0747E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建筑用木料及加工木材组件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BB11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建筑用木料及加工木材组件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41352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建筑用木料及加工木材组件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443E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D49A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CFE3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FB15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0657D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建筑用木料及加工木材组件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080A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285428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D573A2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65E81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项目的顺利进行和迗成目标。</w:t>
      </w:r>
    </w:p>
    <w:p w:rsidR="009D1637" w:rsidRPr="00913CD1" w:rsidP="00457322" w14:paraId="52912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55D5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A337A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4018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A7A0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6270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1A6E5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资源进行统一规划和配置。</w:t>
      </w:r>
    </w:p>
    <w:p w:rsidR="009D1637" w:rsidRPr="00913CD1" w:rsidP="00457322" w14:paraId="4AAD3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1ED4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6F5F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4BB82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87FD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C5DE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94E6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10A6E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8375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D8A23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77CB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761C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D95C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6A466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6BEC7D0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A847F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8203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785F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97E6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1BC0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5CA3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8E122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FFE0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E9513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813B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67EB4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5EADB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DED5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5D41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4D1C2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E12B9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F56A6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A47DE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22DE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5D005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8708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11B2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AD17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1684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8CDF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1D84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1CBC2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1022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A18D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525FF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DB8B2D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1B1712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建筑用木料及加工木材组件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F4F45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F2FF8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E704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545832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建筑用木料及加工木材组件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6C59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5479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7472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0EE4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F304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602D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7126AB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893FC4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042839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2C00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C721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0D205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437F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1FF53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B39A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CBCE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504D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4B8D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2B23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9B731F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建筑用木料及加工木材组件</w:t>
      </w:r>
      <w:r w:rsidRPr="00913CD1">
        <w:rPr>
          <w:rFonts w:ascii="仿宋" w:eastAsia="仿宋" w:hAnsi="仿宋"/>
        </w:rPr>
        <w:t>项目技术工艺分析</w:t>
      </w:r>
      <w:bookmarkEnd w:id="28"/>
    </w:p>
    <w:p w:rsidR="009D1637" w:rsidRPr="00913CD1" w:rsidP="00457322" w14:paraId="5405A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93DA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D758C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194C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4DEA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CFAE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0EC9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0934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E680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75AE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5FD784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建筑用木料及加工木材组件项目</w:t>
      </w:r>
      <w:r w:rsidRPr="00913CD1">
        <w:rPr>
          <w:rFonts w:ascii="仿宋" w:eastAsia="仿宋" w:hAnsi="仿宋"/>
        </w:rPr>
        <w:t>质量管理</w:t>
      </w:r>
      <w:bookmarkEnd w:id="29"/>
    </w:p>
    <w:p w:rsidR="009D1637" w:rsidRPr="00913CD1" w:rsidP="00457322" w14:paraId="37FC7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CABC3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46B5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5D7F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8FB3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93DE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5CB2E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ED1EA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6160B7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建筑用木料及加工木材组件项目</w:t>
      </w:r>
      <w:r w:rsidRPr="00913CD1">
        <w:rPr>
          <w:rFonts w:ascii="仿宋" w:eastAsia="仿宋" w:hAnsi="仿宋"/>
        </w:rPr>
        <w:t>设备选型方案</w:t>
      </w:r>
      <w:bookmarkEnd w:id="30"/>
    </w:p>
    <w:p w:rsidR="009D1637" w:rsidRPr="00913CD1" w:rsidP="00457322" w14:paraId="76C20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D0E3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515E4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3E06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2C42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B5CC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286C1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6B49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7A52B4C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1EE627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144C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754A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59D3E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C825B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FF8C5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5B9A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EE6D9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92537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3C3D3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A8781E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B8EC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F695D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82F1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建筑用木料及加工木材组件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0EB3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建筑用木料及加工木材组件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A044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https://d.book118.com/397003152025006040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37EB9BF" w14:textId="77777777">
    <w:pPr>
      <w:pStyle w:val="Footer"/>
      <w:jc w:val="center"/>
    </w:pPr>
  </w:p>
  <w:p w:rsidR="008D6901" w14:paraId="2FA8913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6440DF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6BD987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7981438"/>
      <w:docPartObj>
        <w:docPartGallery w:val="Page Numbers (Bottom of Page)"/>
        <w:docPartUnique/>
      </w:docPartObj>
    </w:sdtPr>
    <w:sdtContent>
      <w:sdt>
        <w:sdtPr>
          <w:id w:val="9887730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5783906"/>
      <w:docPartObj>
        <w:docPartGallery w:val="Page Numbers (Bottom of Page)"/>
        <w:docPartUnique/>
      </w:docPartObj>
    </w:sdtPr>
    <w:sdtContent>
      <w:sdt>
        <w:sdtPr>
          <w:id w:val="1207485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7903783"/>
      <w:docPartObj>
        <w:docPartGallery w:val="Page Numbers (Bottom of Page)"/>
        <w:docPartUnique/>
      </w:docPartObj>
    </w:sdtPr>
    <w:sdtContent>
      <w:sdt>
        <w:sdtPr>
          <w:id w:val="9508340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487935"/>
      <w:docPartObj>
        <w:docPartGallery w:val="Page Numbers (Bottom of Page)"/>
        <w:docPartUnique/>
      </w:docPartObj>
    </w:sdtPr>
    <w:sdtContent>
      <w:sdt>
        <w:sdtPr>
          <w:id w:val="20116703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8374351"/>
      <w:docPartObj>
        <w:docPartGallery w:val="Page Numbers (Bottom of Page)"/>
        <w:docPartUnique/>
      </w:docPartObj>
    </w:sdtPr>
    <w:sdtContent>
      <w:sdt>
        <w:sdtPr>
          <w:id w:val="1938357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7154793"/>
      <w:docPartObj>
        <w:docPartGallery w:val="Page Numbers (Bottom of Page)"/>
        <w:docPartUnique/>
      </w:docPartObj>
    </w:sdtPr>
    <w:sdtContent>
      <w:sdt>
        <w:sdtPr>
          <w:id w:val="457392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105248"/>
      <w:docPartObj>
        <w:docPartGallery w:val="Page Numbers (Bottom of Page)"/>
        <w:docPartUnique/>
      </w:docPartObj>
    </w:sdtPr>
    <w:sdtContent>
      <w:sdt>
        <w:sdtPr>
          <w:id w:val="17397760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9306601"/>
      <w:docPartObj>
        <w:docPartGallery w:val="Page Numbers (Bottom of Page)"/>
        <w:docPartUnique/>
      </w:docPartObj>
    </w:sdtPr>
    <w:sdtContent>
      <w:sdt>
        <w:sdtPr>
          <w:id w:val="8513579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592454"/>
      <w:docPartObj>
        <w:docPartGallery w:val="Page Numbers (Bottom of Page)"/>
        <w:docPartUnique/>
      </w:docPartObj>
    </w:sdtPr>
    <w:sdtContent>
      <w:sdt>
        <w:sdtPr>
          <w:id w:val="4799022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2371357"/>
      <w:docPartObj>
        <w:docPartGallery w:val="Page Numbers (Bottom of Page)"/>
        <w:docPartUnique/>
      </w:docPartObj>
    </w:sdtPr>
    <w:sdtContent>
      <w:sdt>
        <w:sdtPr>
          <w:id w:val="1842974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45422"/>
      <w:docPartObj>
        <w:docPartGallery w:val="Page Numbers (Bottom of Page)"/>
        <w:docPartUnique/>
      </w:docPartObj>
    </w:sdtPr>
    <w:sdtContent>
      <w:sdt>
        <w:sdtPr>
          <w:id w:val="3402282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0816060"/>
      <w:docPartObj>
        <w:docPartGallery w:val="Page Numbers (Bottom of Page)"/>
        <w:docPartUnique/>
      </w:docPartObj>
    </w:sdtPr>
    <w:sdtContent>
      <w:sdt>
        <w:sdtPr>
          <w:id w:val="9587381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6573342"/>
      <w:docPartObj>
        <w:docPartGallery w:val="Page Numbers (Bottom of Page)"/>
        <w:docPartUnique/>
      </w:docPartObj>
    </w:sdtPr>
    <w:sdtContent>
      <w:sdt>
        <w:sdtPr>
          <w:id w:val="350248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9722413"/>
      <w:docPartObj>
        <w:docPartGallery w:val="Page Numbers (Bottom of Page)"/>
        <w:docPartUnique/>
      </w:docPartObj>
    </w:sdtPr>
    <w:sdtContent>
      <w:sdt>
        <w:sdtPr>
          <w:id w:val="5104391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7466863"/>
      <w:docPartObj>
        <w:docPartGallery w:val="Page Numbers (Bottom of Page)"/>
        <w:docPartUnique/>
      </w:docPartObj>
    </w:sdtPr>
    <w:sdtContent>
      <w:sdt>
        <w:sdtPr>
          <w:id w:val="140692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513952"/>
      <w:docPartObj>
        <w:docPartGallery w:val="Page Numbers (Bottom of Page)"/>
        <w:docPartUnique/>
      </w:docPartObj>
    </w:sdtPr>
    <w:sdtContent>
      <w:sdt>
        <w:sdtPr>
          <w:id w:val="122492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2222165"/>
      <w:docPartObj>
        <w:docPartGallery w:val="Page Numbers (Bottom of Page)"/>
        <w:docPartUnique/>
      </w:docPartObj>
    </w:sdtPr>
    <w:sdtContent>
      <w:sdt>
        <w:sdtPr>
          <w:id w:val="976828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0784143"/>
      <w:docPartObj>
        <w:docPartGallery w:val="Page Numbers (Bottom of Page)"/>
        <w:docPartUnique/>
      </w:docPartObj>
    </w:sdtPr>
    <w:sdtContent>
      <w:sdt>
        <w:sdtPr>
          <w:id w:val="4236062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2405707"/>
      <w:docPartObj>
        <w:docPartGallery w:val="Page Numbers (Bottom of Page)"/>
        <w:docPartUnique/>
      </w:docPartObj>
    </w:sdtPr>
    <w:sdtContent>
      <w:sdt>
        <w:sdtPr>
          <w:id w:val="15500305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6987237"/>
      <w:docPartObj>
        <w:docPartGallery w:val="Page Numbers (Bottom of Page)"/>
        <w:docPartUnique/>
      </w:docPartObj>
    </w:sdtPr>
    <w:sdtContent>
      <w:sdt>
        <w:sdtPr>
          <w:id w:val="3867063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7548235"/>
      <w:docPartObj>
        <w:docPartGallery w:val="Page Numbers (Bottom of Page)"/>
        <w:docPartUnique/>
      </w:docPartObj>
    </w:sdtPr>
    <w:sdtContent>
      <w:sdt>
        <w:sdtPr>
          <w:id w:val="6110217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0430560"/>
      <w:docPartObj>
        <w:docPartGallery w:val="Page Numbers (Bottom of Page)"/>
        <w:docPartUnique/>
      </w:docPartObj>
    </w:sdtPr>
    <w:sdtContent>
      <w:sdt>
        <w:sdtPr>
          <w:id w:val="9484836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071571"/>
      <w:docPartObj>
        <w:docPartGallery w:val="Page Numbers (Bottom of Page)"/>
        <w:docPartUnique/>
      </w:docPartObj>
    </w:sdtPr>
    <w:sdtContent>
      <w:sdt>
        <w:sdtPr>
          <w:id w:val="339105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0514780"/>
      <w:docPartObj>
        <w:docPartGallery w:val="Page Numbers (Bottom of Page)"/>
        <w:docPartUnique/>
      </w:docPartObj>
    </w:sdtPr>
    <w:sdtContent>
      <w:sdt>
        <w:sdtPr>
          <w:id w:val="1636486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7617407"/>
      <w:docPartObj>
        <w:docPartGallery w:val="Page Numbers (Bottom of Page)"/>
        <w:docPartUnique/>
      </w:docPartObj>
    </w:sdtPr>
    <w:sdtContent>
      <w:sdt>
        <w:sdtPr>
          <w:id w:val="668371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8709973"/>
      <w:docPartObj>
        <w:docPartGallery w:val="Page Numbers (Bottom of Page)"/>
        <w:docPartUnique/>
      </w:docPartObj>
    </w:sdtPr>
    <w:sdtContent>
      <w:sdt>
        <w:sdtPr>
          <w:id w:val="17162524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5000436"/>
      <w:docPartObj>
        <w:docPartGallery w:val="Page Numbers (Bottom of Page)"/>
        <w:docPartUnique/>
      </w:docPartObj>
    </w:sdtPr>
    <w:sdtContent>
      <w:sdt>
        <w:sdtPr>
          <w:id w:val="12701435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6391925"/>
      <w:docPartObj>
        <w:docPartGallery w:val="Page Numbers (Bottom of Page)"/>
        <w:docPartUnique/>
      </w:docPartObj>
    </w:sdtPr>
    <w:sdtContent>
      <w:sdt>
        <w:sdtPr>
          <w:id w:val="3060449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9118293"/>
      <w:docPartObj>
        <w:docPartGallery w:val="Page Numbers (Bottom of Page)"/>
        <w:docPartUnique/>
      </w:docPartObj>
    </w:sdtPr>
    <w:sdtContent>
      <w:sdt>
        <w:sdtPr>
          <w:id w:val="890654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1833945"/>
      <w:docPartObj>
        <w:docPartGallery w:val="Page Numbers (Bottom of Page)"/>
        <w:docPartUnique/>
      </w:docPartObj>
    </w:sdtPr>
    <w:sdtContent>
      <w:sdt>
        <w:sdtPr>
          <w:id w:val="8316175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43A9640" w14:textId="77777777">
    <w:pPr>
      <w:pStyle w:val="Header"/>
      <w:pBdr>
        <w:bottom w:val="single" w:sz="4" w:space="1" w:color="auto"/>
      </w:pBdr>
      <w:jc w:val="right"/>
    </w:pPr>
    <w:r>
      <w:t>2024年建筑用木料及加工木材组件项目可行性分析报告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2024年建筑用木料及加工木材组件项目可行性分析报告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2024年建筑用木料及加工木材组件项目可行性分析报告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2024年建筑用木料及加工木材组件项目可行性分析报告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2024年建筑用木料及加工木材组件项目可行性分析报告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4BA16BA" w14:textId="77777777">
    <w:pPr>
      <w:pStyle w:val="Header"/>
      <w:pBdr>
        <w:bottom w:val="single" w:sz="4" w:space="1" w:color="auto"/>
      </w:pBdr>
      <w:jc w:val="right"/>
      <w:rPr>
        <w:sz w:val="24"/>
        <w:szCs w:val="24"/>
      </w:rPr>
    </w:pPr>
    <w:r>
      <w:t>2024年建筑用木料及加工木材组件项目可行性分析报告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2024年建筑用木料及加工木材组件项目可行性分析报告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64BCA"/>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B2721"/>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4E8C8A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97003152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7533</Words>
  <Characters>42941</Characters>
  <Application>Microsoft Office Word</Application>
  <DocSecurity>0</DocSecurity>
  <Lines>357</Lines>
  <Paragraphs>100</Paragraphs>
  <ScaleCrop>false</ScaleCrop>
  <Company/>
  <LinksUpToDate>false</LinksUpToDate>
  <CharactersWithSpaces>50374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2024-02-02T02:21:00Z</dcterms:modified>
</cp:coreProperties>
</file>