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墨汁及类似品行业相关公司筹备报告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(七)、墨汁及类似品项目建设必要性分析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" w:history="1">
        <w:r>
          <w:rPr>
            <w:rFonts w:ascii="仿宋" w:eastAsia="仿宋" w:hAnsi="仿宋" w:cs="仿宋" w:hint="eastAsia"/>
            <w:lang w:eastAsia="zh-CN"/>
          </w:rPr>
          <w:t>(一)、墨汁及类似品项目背景分析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(二)、墨汁及类似品项目建设必要性分析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七、墨汁及类似品项目经济效益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(三)、墨汁及类似品项目盈利能力分析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58" w:history="1">
        <w:r>
          <w:rPr>
            <w:rFonts w:ascii="仿宋" w:eastAsia="仿宋" w:hAnsi="仿宋" w:cs="仿宋" w:hint="eastAsia"/>
            <w:lang w:eastAsia="zh-CN"/>
          </w:rPr>
          <w:t>八、墨汁及类似品项目风险分析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(一)、墨汁及类似品项目风险分析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(二)、墨汁及类似品项目风险对策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(五)、墨汁及类似品项目总投资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9" w:history="1">
        <w:r>
          <w:rPr>
            <w:rFonts w:ascii="仿宋" w:eastAsia="仿宋" w:hAnsi="仿宋" w:cs="仿宋" w:hint="eastAsia"/>
            <w:lang w:eastAsia="zh-CN"/>
          </w:rPr>
          <w:t>(一)、社会责任墨汁及类似品项目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(二)、合作墨汁及类似品项目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8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2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https://d.book118.com/397035020160006032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墨汁及类似品行业相关公司筹备报告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墨汁及类似品行业相关公司筹备报告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墨汁及类似品行业相关公司筹备报告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墨汁及类似品行业相关公司筹备报告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墨汁及类似品行业相关公司筹备报告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703502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2024-01-09T14:03:00Z</dcterms:created>
  <dcterms:modified xsi:type="dcterms:W3CDTF">2024-01-09T14:03:19Z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83A90F7216F04983BE80ED38E2D911E2_11</vt:lpwstr>
  </property>
  <property fmtid="{D5CDD505-2E9C-101B-9397-08002B2CF9AE}" pid="3" name="KSOProductBuildVer">
    <vt:lpwstr>2052-12.1.0.16120</vt:lpwstr>
  </property>
</Properties>
</file>