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4"/>
          <w:pgSz w:w="11907" w:h="16839"/>
          <w:pgMar w:top="400" w:right="1" w:bottom="0" w:left="0" w:header="0" w:footer="0" w:gutter="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17" w:line="222" w:lineRule="auto"/>
        <w:ind w:left="689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color w:val="FFFFFF"/>
          <w:spacing w:val="-2"/>
          <w:sz w:val="36"/>
          <w:szCs w:val="36"/>
        </w:rPr>
        <w:t>金融工程丨深度报告</w:t>
      </w:r>
    </w:p>
    <w:p>
      <w:pPr>
        <w:spacing w:before="307" w:line="222" w:lineRule="auto"/>
        <w:ind w:left="694"/>
        <w:outlineLvl w:val="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color w:val="FFFFFF"/>
          <w:spacing w:val="-38"/>
          <w:sz w:val="52"/>
          <w:szCs w:val="52"/>
        </w:rPr>
        <w:t>行业轮动（九</w:t>
      </w:r>
      <w:r>
        <w:rPr>
          <w:rFonts w:ascii="SimHei" w:eastAsia="SimHei" w:hAnsi="SimHei" w:cs="SimHei"/>
          <w:color w:val="FFFFFF"/>
          <w:spacing w:val="-52"/>
          <w:sz w:val="52"/>
          <w:szCs w:val="52"/>
        </w:rPr>
        <w:t>）：</w:t>
      </w:r>
    </w:p>
    <w:p>
      <w:pPr>
        <w:spacing w:before="151" w:line="213" w:lineRule="auto"/>
        <w:ind w:left="70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color w:val="FFFFFF"/>
          <w:spacing w:val="-2"/>
          <w:sz w:val="52"/>
          <w:szCs w:val="52"/>
        </w:rPr>
        <w:t>幽径寻芳兰，低拥挤度行业基本面优选</w:t>
      </w:r>
    </w:p>
    <w:p>
      <w:pPr>
        <w:spacing w:line="213" w:lineRule="auto"/>
        <w:rPr>
          <w:rFonts w:ascii="SimHei" w:eastAsia="SimHei" w:hAnsi="SimHei" w:cs="SimHei"/>
          <w:sz w:val="52"/>
          <w:szCs w:val="52"/>
        </w:rPr>
        <w:sectPr>
          <w:headerReference w:type="default" r:id="rId5"/>
          <w:type w:val="nextPage"/>
          <w:pgSz w:w="11907" w:h="16839"/>
          <w:pgMar w:top="400" w:right="1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32" w:lineRule="auto"/>
      </w:pPr>
      <w:r>
        <w:pict>
          <v:shape id="_x0000_s1025" style="width:509.9pt;height:0.5pt;margin-top:793.92pt;margin-left:42.48pt;mso-position-horizontal-relative:page;mso-position-vertical-relative:page;position:absolute;z-index:251659264" coordorigin="0,0" coordsize="10197,10" o:allowincell="f" path="m,9l5098,9l5098,l,l,9xem5098,9l5108,9l5108,l5098,l5098,9xem5108,9l10197,9l10197,l5108,l5108,9xe" filled="t" fillcolor="#e10000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5523229</wp:posOffset>
            </wp:positionH>
            <wp:positionV relativeFrom="page">
              <wp:posOffset>540385</wp:posOffset>
            </wp:positionV>
            <wp:extent cx="1466469" cy="3810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6469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33" w:lineRule="auto"/>
      </w:pPr>
    </w:p>
    <w:p>
      <w:pPr>
        <w:spacing w:before="62" w:line="231" w:lineRule="auto"/>
        <w:ind w:left="945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2"/>
          <w:sz w:val="19"/>
          <w:szCs w:val="19"/>
        </w:rPr>
        <w:t>丨证券研究报告丨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91" w:line="223" w:lineRule="auto"/>
        <w:ind w:left="96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FFFFFF"/>
          <w:spacing w:val="-2"/>
          <w:sz w:val="28"/>
          <w:szCs w:val="28"/>
        </w:rPr>
        <w:t>报告要点</w:t>
      </w:r>
    </w:p>
    <w:p>
      <w:pPr>
        <w:spacing w:before="192" w:line="312" w:lineRule="exact"/>
        <w:ind w:left="96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position w:val="9"/>
          <w:sz w:val="18"/>
          <w:szCs w:val="18"/>
        </w:rPr>
        <w:t>从涨幅较大、交易热度高、基金持仓重这三方面来设计定量指</w:t>
      </w:r>
      <w:r>
        <w:rPr>
          <w:rFonts w:ascii="SimHei" w:eastAsia="SimHei" w:hAnsi="SimHei" w:cs="SimHei"/>
          <w:color w:val="FFFFFF"/>
          <w:spacing w:val="-1"/>
          <w:position w:val="9"/>
          <w:sz w:val="18"/>
          <w:szCs w:val="18"/>
        </w:rPr>
        <w:t>标区分热门与低拥挤度行业。风</w:t>
      </w:r>
    </w:p>
    <w:p>
      <w:pPr>
        <w:spacing w:line="212" w:lineRule="auto"/>
        <w:ind w:left="96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4"/>
          <w:sz w:val="18"/>
          <w:szCs w:val="18"/>
        </w:rPr>
        <w:t>格切换之后，</w:t>
      </w:r>
      <w:r>
        <w:rPr>
          <w:rFonts w:ascii="SimHei" w:eastAsia="SimHei" w:hAnsi="SimHei" w:cs="SimHei"/>
          <w:color w:val="FFFFFF"/>
          <w:spacing w:val="60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4"/>
          <w:sz w:val="18"/>
          <w:szCs w:val="18"/>
        </w:rPr>
        <w:t>低拥挤度行业与热门行业、基金指数最终殊途同归，低拥挤行业与热门行业并无</w:t>
      </w:r>
    </w:p>
    <w:p>
      <w:pPr>
        <w:spacing w:before="104" w:line="213" w:lineRule="auto"/>
        <w:ind w:left="96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4"/>
          <w:sz w:val="18"/>
          <w:szCs w:val="18"/>
        </w:rPr>
        <w:t>孰优孰劣之分。通过历史复盘，</w:t>
      </w:r>
      <w:r>
        <w:rPr>
          <w:rFonts w:ascii="SimHei" w:eastAsia="SimHei" w:hAnsi="SimHei" w:cs="SimHei"/>
          <w:color w:val="FFFFFF"/>
          <w:spacing w:val="58"/>
          <w:sz w:val="18"/>
          <w:szCs w:val="18"/>
        </w:rPr>
        <w:t xml:space="preserve"> </w:t>
      </w:r>
      <w:r>
        <w:rPr>
          <w:rFonts w:ascii="SimHei" w:eastAsia="SimHei" w:hAnsi="SimHei" w:cs="SimHei"/>
          <w:color w:val="FFFFFF"/>
          <w:spacing w:val="-4"/>
          <w:sz w:val="18"/>
          <w:szCs w:val="18"/>
        </w:rPr>
        <w:t>在低拥挤度行业中需重点关注行业的当季营收增速、盈利能力</w:t>
      </w:r>
    </w:p>
    <w:p>
      <w:pPr>
        <w:pStyle w:val="BodyText"/>
        <w:spacing w:before="105" w:line="213" w:lineRule="auto"/>
        <w:ind w:left="966"/>
        <w:rPr>
          <w:sz w:val="18"/>
          <w:szCs w:val="18"/>
        </w:rPr>
      </w:pPr>
      <w:r>
        <w:rPr>
          <w:rFonts w:ascii="SimHei" w:eastAsia="SimHei" w:hAnsi="SimHei" w:cs="SimHei"/>
          <w:color w:val="FFFFFF"/>
          <w:spacing w:val="-6"/>
          <w:sz w:val="18"/>
          <w:szCs w:val="18"/>
        </w:rPr>
        <w:t>边际变化和现金流情况。由此构建的低拥挤度行业精选组合，</w:t>
      </w:r>
      <w:r>
        <w:rPr>
          <w:rFonts w:ascii="SimHei" w:eastAsia="SimHei" w:hAnsi="SimHei" w:cs="SimHei"/>
          <w:color w:val="FFFFFF"/>
          <w:spacing w:val="-22"/>
          <w:sz w:val="18"/>
          <w:szCs w:val="18"/>
        </w:rPr>
        <w:t xml:space="preserve"> </w:t>
      </w:r>
      <w:r>
        <w:rPr>
          <w:color w:val="FFFFFF"/>
          <w:spacing w:val="-6"/>
          <w:sz w:val="18"/>
          <w:szCs w:val="18"/>
        </w:rPr>
        <w:t xml:space="preserve">2023 </w:t>
      </w:r>
      <w:r>
        <w:rPr>
          <w:rFonts w:ascii="SimHei" w:eastAsia="SimHei" w:hAnsi="SimHei" w:cs="SimHei"/>
          <w:color w:val="FFFFFF"/>
          <w:spacing w:val="-6"/>
          <w:sz w:val="18"/>
          <w:szCs w:val="18"/>
        </w:rPr>
        <w:t>年收益率</w:t>
      </w:r>
      <w:r>
        <w:rPr>
          <w:rFonts w:ascii="SimHei" w:eastAsia="SimHei" w:hAnsi="SimHei" w:cs="SimHei"/>
          <w:color w:val="FFFFFF"/>
          <w:spacing w:val="-39"/>
          <w:sz w:val="18"/>
          <w:szCs w:val="18"/>
        </w:rPr>
        <w:t xml:space="preserve"> </w:t>
      </w:r>
      <w:r>
        <w:rPr>
          <w:color w:val="FFFFFF"/>
          <w:spacing w:val="-6"/>
          <w:sz w:val="18"/>
          <w:szCs w:val="18"/>
        </w:rPr>
        <w:t>7.80%</w:t>
      </w:r>
      <w:r>
        <w:rPr>
          <w:rFonts w:ascii="SimHei" w:eastAsia="SimHei" w:hAnsi="SimHei" w:cs="SimHei"/>
          <w:color w:val="FFFFFF"/>
          <w:spacing w:val="-6"/>
          <w:sz w:val="18"/>
          <w:szCs w:val="18"/>
        </w:rPr>
        <w:t>，相对</w:t>
      </w:r>
      <w:r>
        <w:rPr>
          <w:rFonts w:ascii="SimHei" w:eastAsia="SimHei" w:hAnsi="SimHei" w:cs="SimHei"/>
          <w:color w:val="FFFFFF"/>
          <w:spacing w:val="-42"/>
          <w:sz w:val="18"/>
          <w:szCs w:val="18"/>
        </w:rPr>
        <w:t xml:space="preserve"> </w:t>
      </w:r>
      <w:r>
        <w:rPr>
          <w:color w:val="FFFFFF"/>
          <w:spacing w:val="-6"/>
          <w:sz w:val="18"/>
          <w:szCs w:val="18"/>
        </w:rPr>
        <w:t>Wind</w:t>
      </w:r>
    </w:p>
    <w:p>
      <w:pPr>
        <w:pStyle w:val="BodyText"/>
        <w:spacing w:before="105" w:line="213" w:lineRule="auto"/>
        <w:ind w:left="966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2"/>
          <w:sz w:val="18"/>
          <w:szCs w:val="18"/>
        </w:rPr>
        <w:t>偏股混合型基金指数超额收益</w:t>
      </w:r>
      <w:r>
        <w:rPr>
          <w:rFonts w:ascii="SimHei" w:eastAsia="SimHei" w:hAnsi="SimHei" w:cs="SimHei"/>
          <w:color w:val="FFFFFF"/>
          <w:spacing w:val="-39"/>
          <w:sz w:val="18"/>
          <w:szCs w:val="18"/>
        </w:rPr>
        <w:t xml:space="preserve"> </w:t>
      </w:r>
      <w:r>
        <w:rPr>
          <w:color w:val="FFFFFF"/>
          <w:spacing w:val="-2"/>
          <w:sz w:val="18"/>
          <w:szCs w:val="18"/>
        </w:rPr>
        <w:t>21.32%</w:t>
      </w:r>
      <w:r>
        <w:rPr>
          <w:rFonts w:ascii="SimHei" w:eastAsia="SimHei" w:hAnsi="SimHei" w:cs="SimHei"/>
          <w:color w:val="FFFFFF"/>
          <w:spacing w:val="-2"/>
          <w:sz w:val="18"/>
          <w:szCs w:val="18"/>
        </w:rPr>
        <w:t>，</w:t>
      </w:r>
      <w:r>
        <w:rPr>
          <w:color w:val="FFFFFF"/>
          <w:spacing w:val="-2"/>
          <w:sz w:val="18"/>
          <w:szCs w:val="18"/>
        </w:rPr>
        <w:t xml:space="preserve">2024 </w:t>
      </w:r>
      <w:r>
        <w:rPr>
          <w:rFonts w:ascii="SimHei" w:eastAsia="SimHei" w:hAnsi="SimHei" w:cs="SimHei"/>
          <w:color w:val="FFFFFF"/>
          <w:spacing w:val="-2"/>
          <w:sz w:val="18"/>
          <w:szCs w:val="18"/>
        </w:rPr>
        <w:t>年（截至</w:t>
      </w:r>
      <w:r>
        <w:rPr>
          <w:rFonts w:ascii="SimHei" w:eastAsia="SimHei" w:hAnsi="SimHei" w:cs="SimHei"/>
          <w:color w:val="FFFFFF"/>
          <w:spacing w:val="-2"/>
          <w:sz w:val="18"/>
          <w:szCs w:val="18"/>
        </w:rPr>
        <w:t xml:space="preserve"> </w:t>
      </w:r>
      <w:r>
        <w:rPr>
          <w:color w:val="FFFFFF"/>
          <w:spacing w:val="-2"/>
          <w:sz w:val="18"/>
          <w:szCs w:val="18"/>
        </w:rPr>
        <w:t>1.12</w:t>
      </w:r>
      <w:r>
        <w:rPr>
          <w:rFonts w:ascii="SimHei" w:eastAsia="SimHei" w:hAnsi="SimHei" w:cs="SimHei"/>
          <w:color w:val="FFFFFF"/>
          <w:spacing w:val="-2"/>
          <w:sz w:val="18"/>
          <w:szCs w:val="18"/>
        </w:rPr>
        <w:t>）收益率</w:t>
      </w:r>
      <w:r>
        <w:rPr>
          <w:rFonts w:ascii="SimHei" w:eastAsia="SimHei" w:hAnsi="SimHei" w:cs="SimHei"/>
          <w:color w:val="FFFFFF"/>
          <w:spacing w:val="-36"/>
          <w:sz w:val="18"/>
          <w:szCs w:val="18"/>
        </w:rPr>
        <w:t xml:space="preserve"> </w:t>
      </w:r>
      <w:r>
        <w:rPr>
          <w:color w:val="FFFFFF"/>
          <w:spacing w:val="-2"/>
          <w:sz w:val="18"/>
          <w:szCs w:val="18"/>
        </w:rPr>
        <w:t>0.02%</w:t>
      </w:r>
      <w:r>
        <w:rPr>
          <w:rFonts w:ascii="SimHei" w:eastAsia="SimHei" w:hAnsi="SimHei" w:cs="SimHei"/>
          <w:color w:val="FFFFFF"/>
          <w:spacing w:val="-2"/>
          <w:sz w:val="18"/>
          <w:szCs w:val="18"/>
        </w:rPr>
        <w:t>，相对</w:t>
      </w:r>
      <w:r>
        <w:rPr>
          <w:rFonts w:ascii="SimHei" w:eastAsia="SimHei" w:hAnsi="SimHei" w:cs="SimHei"/>
          <w:color w:val="FFFFFF"/>
          <w:spacing w:val="-43"/>
          <w:sz w:val="18"/>
          <w:szCs w:val="18"/>
        </w:rPr>
        <w:t xml:space="preserve"> </w:t>
      </w:r>
      <w:r>
        <w:rPr>
          <w:color w:val="FFFFFF"/>
          <w:spacing w:val="-2"/>
          <w:sz w:val="18"/>
          <w:szCs w:val="18"/>
        </w:rPr>
        <w:t>W</w:t>
      </w:r>
      <w:r>
        <w:rPr>
          <w:color w:val="FFFFFF"/>
          <w:spacing w:val="-3"/>
          <w:sz w:val="18"/>
          <w:szCs w:val="18"/>
        </w:rPr>
        <w:t xml:space="preserve">ind </w:t>
      </w:r>
      <w:r>
        <w:rPr>
          <w:rFonts w:ascii="SimHei" w:eastAsia="SimHei" w:hAnsi="SimHei" w:cs="SimHei"/>
          <w:color w:val="FFFFFF"/>
          <w:spacing w:val="-3"/>
          <w:sz w:val="18"/>
          <w:szCs w:val="18"/>
        </w:rPr>
        <w:t>偏股</w:t>
      </w:r>
    </w:p>
    <w:p>
      <w:pPr>
        <w:pStyle w:val="BodyText"/>
        <w:spacing w:before="104" w:line="222" w:lineRule="auto"/>
        <w:ind w:left="965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color w:val="FFFFFF"/>
          <w:spacing w:val="-1"/>
          <w:sz w:val="18"/>
          <w:szCs w:val="18"/>
        </w:rPr>
        <w:t>混合型基金指数超额收益</w:t>
      </w:r>
      <w:r>
        <w:rPr>
          <w:rFonts w:ascii="SimHei" w:eastAsia="SimHei" w:hAnsi="SimHei" w:cs="SimHei"/>
          <w:color w:val="FFFFFF"/>
          <w:spacing w:val="-34"/>
          <w:sz w:val="18"/>
          <w:szCs w:val="18"/>
        </w:rPr>
        <w:t xml:space="preserve"> </w:t>
      </w:r>
      <w:r>
        <w:rPr>
          <w:color w:val="FFFFFF"/>
          <w:spacing w:val="-1"/>
          <w:sz w:val="18"/>
          <w:szCs w:val="18"/>
        </w:rPr>
        <w:t>4.79%</w:t>
      </w:r>
      <w:r>
        <w:rPr>
          <w:rFonts w:ascii="SimHei" w:eastAsia="SimHei" w:hAnsi="SimHei" w:cs="SimHei"/>
          <w:color w:val="FFFFFF"/>
          <w:spacing w:val="-1"/>
          <w:sz w:val="18"/>
          <w:szCs w:val="18"/>
        </w:rPr>
        <w:t>。</w:t>
      </w:r>
    </w:p>
    <w:p>
      <w:pPr>
        <w:spacing w:before="24"/>
      </w:pPr>
    </w:p>
    <w:p>
      <w:pPr>
        <w:spacing w:before="23"/>
      </w:pPr>
    </w:p>
    <w:p>
      <w:pPr>
        <w:spacing w:before="23"/>
      </w:pPr>
    </w:p>
    <w:p>
      <w:pPr>
        <w:spacing w:before="23"/>
      </w:pPr>
    </w:p>
    <w:p>
      <w:pPr>
        <w:sectPr>
          <w:headerReference w:type="default" r:id="rId7"/>
          <w:pgSz w:w="11907" w:h="16839"/>
          <w:pgMar w:top="400" w:right="1" w:bottom="0" w:left="0" w:header="0" w:footer="0" w:gutter="0"/>
          <w:pgNumType w:start="3"/>
          <w:cols w:num="1" w:space="708" w:equalWidth="0">
            <w:col w:w="11905" w:space="0"/>
          </w:cols>
        </w:sectPr>
      </w:pPr>
    </w:p>
    <w:p>
      <w:pPr>
        <w:spacing w:before="48" w:line="227" w:lineRule="auto"/>
        <w:ind w:left="1275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6"/>
          <w:sz w:val="31"/>
          <w:szCs w:val="31"/>
        </w:rPr>
        <w:t>分析师及联系人</w:t>
      </w: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4" w:line="1133" w:lineRule="exact"/>
        <w:ind w:firstLine="583"/>
      </w:pPr>
      <w:r>
        <w:rPr>
          <w:position w:val="-22"/>
        </w:rPr>
        <w:drawing>
          <wp:inline distT="0" distB="0" distL="0" distR="0">
            <wp:extent cx="719455" cy="71945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3" w:line="224" w:lineRule="auto"/>
        <w:ind w:left="95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邓越</w:t>
      </w:r>
    </w:p>
    <w:p>
      <w:pPr>
        <w:pStyle w:val="BodyText"/>
        <w:spacing w:before="96" w:line="190" w:lineRule="auto"/>
        <w:ind w:left="367"/>
        <w:rPr>
          <w:sz w:val="16"/>
          <w:szCs w:val="16"/>
        </w:rPr>
      </w:pPr>
      <w:r>
        <w:rPr>
          <w:spacing w:val="-1"/>
          <w:sz w:val="16"/>
          <w:szCs w:val="16"/>
        </w:rPr>
        <w:t>SAC</w:t>
      </w:r>
      <w:r>
        <w:rPr>
          <w:rFonts w:ascii="STXihei" w:eastAsia="STXihei" w:hAnsi="STXihei" w:cs="STXihei"/>
          <w:spacing w:val="-1"/>
          <w:sz w:val="16"/>
          <w:szCs w:val="16"/>
        </w:rPr>
        <w:t>：</w:t>
      </w:r>
      <w:r>
        <w:rPr>
          <w:spacing w:val="-1"/>
          <w:sz w:val="16"/>
          <w:szCs w:val="16"/>
        </w:rPr>
        <w:t>S0490517070010</w:t>
      </w:r>
    </w:p>
    <w:p>
      <w:pPr>
        <w:spacing w:line="190" w:lineRule="auto"/>
        <w:rPr>
          <w:sz w:val="16"/>
          <w:szCs w:val="16"/>
        </w:rPr>
        <w:sectPr>
          <w:headerReference w:type="default" r:id="rId9"/>
          <w:type w:val="continuous"/>
          <w:pgSz w:w="11907" w:h="16839"/>
          <w:pgMar w:top="400" w:right="1" w:bottom="0" w:left="0" w:header="0" w:footer="0" w:gutter="0"/>
          <w:pgNumType w:start="4"/>
          <w:cols w:num="2" w:sep="1" w:space="708" w:equalWidth="0">
            <w:col w:w="3861" w:space="100"/>
            <w:col w:w="7945" w:space="0"/>
          </w:cols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10"/>
          <w:type w:val="continuous"/>
          <w:pgSz w:w="11907" w:h="16839"/>
          <w:pgMar w:top="400" w:right="1" w:bottom="0" w:left="0" w:header="0" w:footer="0" w:gutter="0"/>
          <w:pgNumType w:start="5"/>
          <w:cols w:num="1" w:space="708" w:equalWidth="0">
            <w:col w:w="11905" w:space="0"/>
          </w:cols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52" w:line="188" w:lineRule="auto"/>
        <w:ind w:left="856"/>
        <w:rPr>
          <w:rFonts w:ascii="SimHei" w:eastAsia="SimHei" w:hAnsi="SimHei" w:cs="SimHei"/>
          <w:sz w:val="16"/>
          <w:szCs w:val="1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25.6pt;height:9.65pt;margin-top:2.57pt;margin-left:527.78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9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pacing w:val="-2"/>
                      <w:sz w:val="16"/>
                      <w:szCs w:val="16"/>
                    </w:rPr>
                    <w:t>2</w:t>
                  </w:r>
                  <w:r>
                    <w:rPr>
                      <w:b/>
                      <w:bCs/>
                      <w:spacing w:val="38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b/>
                      <w:bCs/>
                      <w:spacing w:val="-2"/>
                      <w:sz w:val="16"/>
                      <w:szCs w:val="16"/>
                    </w:rPr>
                    <w:t>/</w:t>
                  </w:r>
                  <w:r>
                    <w:rPr>
                      <w:b/>
                      <w:bCs/>
                      <w:spacing w:val="41"/>
                      <w:w w:val="102"/>
                      <w:sz w:val="16"/>
                      <w:szCs w:val="16"/>
                    </w:rPr>
                    <w:t xml:space="preserve"> </w:t>
                  </w:r>
                  <w:r>
                    <w:rPr>
                      <w:b/>
                      <w:bCs/>
                      <w:spacing w:val="-2"/>
                      <w:sz w:val="16"/>
                      <w:szCs w:val="16"/>
                    </w:rPr>
                    <w:t>21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1"/>
          <w:sz w:val="16"/>
          <w:szCs w:val="16"/>
        </w:rPr>
        <w:t>请阅读最后评级说明和重要声明</w:t>
      </w:r>
    </w:p>
    <w:p>
      <w:pPr>
        <w:spacing w:line="188" w:lineRule="auto"/>
        <w:rPr>
          <w:rFonts w:ascii="SimHei" w:eastAsia="SimHei" w:hAnsi="SimHei" w:cs="SimHei"/>
          <w:sz w:val="16"/>
          <w:szCs w:val="16"/>
        </w:rPr>
        <w:sectPr>
          <w:headerReference w:type="default" r:id="rId11"/>
          <w:type w:val="nextPage"/>
          <w:pgSz w:w="11907" w:h="16839"/>
          <w:pgMar w:top="400" w:right="1" w:bottom="0" w:left="0" w:header="0" w:footer="0" w:gutter="0"/>
          <w:pgNumType w:start="6"/>
          <w:cols w:num="1" w:space="708" w:equalWidth="0">
            <w:col w:w="11905" w:space="0"/>
          </w:cols>
          <w:titlePg w:val="0"/>
        </w:sectPr>
      </w:pPr>
    </w:p>
    <w:p>
      <w:pPr>
        <w:pStyle w:val="BodyText"/>
        <w:spacing w:line="277" w:lineRule="auto"/>
      </w:pPr>
      <w:r>
        <w:pict>
          <v:rect id="_x0000_s1027" style="width:367.9pt;height:1.45pt;margin-top:65.16pt;margin-left:42.6pt;mso-position-horizontal-relative:page;mso-position-vertical-relative:page;position:absolute;z-index:251661312" o:allowincell="f" filled="t" fillcolor="#e10000" stroked="f"/>
        </w:pict>
      </w: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line="402" w:lineRule="exact"/>
      </w:pPr>
      <w:r>
        <w:rPr>
          <w:position w:val="-8"/>
        </w:rPr>
        <w:drawing>
          <wp:inline distT="0" distB="0" distL="0" distR="0">
            <wp:extent cx="977937" cy="25526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77937" cy="25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5"/>
      </w:pPr>
    </w:p>
    <w:p>
      <w:pPr>
        <w:spacing w:before="45"/>
      </w:pPr>
    </w:p>
    <w:tbl>
      <w:tblPr>
        <w:tblStyle w:val="TableNormal0"/>
        <w:tblW w:w="7357" w:type="dxa"/>
        <w:tblInd w:w="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57"/>
      </w:tblGrid>
      <w:tr>
        <w:tblPrEx>
          <w:tblW w:w="7357" w:type="dxa"/>
          <w:tblInd w:w="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17"/>
        </w:trPr>
        <w:tc>
          <w:tcPr>
            <w:tcW w:w="7357" w:type="dxa"/>
            <w:tcBorders>
              <w:top w:val="single" w:sz="6" w:space="0" w:color="E10000"/>
              <w:bottom w:val="single" w:sz="6" w:space="0" w:color="E10000"/>
            </w:tcBorders>
            <w:vAlign w:val="top"/>
          </w:tcPr>
          <w:p>
            <w:pPr>
              <w:spacing w:before="154" w:line="222" w:lineRule="auto"/>
              <w:ind w:left="14"/>
              <w:rPr>
                <w:rFonts w:ascii="SimHei" w:eastAsia="SimHei" w:hAnsi="SimHei" w:cs="SimHei"/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E10000"/>
                <w:spacing w:val="-33"/>
                <w:sz w:val="36"/>
                <w:szCs w:val="36"/>
              </w:rPr>
              <w:t>行业轮动（九</w:t>
            </w:r>
            <w:r>
              <w:rPr>
                <w:rFonts w:ascii="SimHei" w:eastAsia="SimHei" w:hAnsi="SimHei" w:cs="SimHei"/>
                <w:color w:val="E10000"/>
                <w:spacing w:val="-17"/>
                <w:sz w:val="36"/>
                <w:szCs w:val="36"/>
              </w:rPr>
              <w:t>）：</w:t>
            </w:r>
          </w:p>
          <w:p>
            <w:pPr>
              <w:spacing w:before="35" w:line="213" w:lineRule="auto"/>
              <w:ind w:left="19"/>
              <w:rPr>
                <w:rFonts w:ascii="SimHei" w:eastAsia="SimHei" w:hAnsi="SimHei" w:cs="SimHei"/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36"/>
                <w:szCs w:val="36"/>
              </w:rPr>
              <w:t>幽径寻芳兰，低拥挤度行业基本面优选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2928"/>
        </w:trPr>
        <w:tc>
          <w:tcPr>
            <w:tcW w:w="7357" w:type="dxa"/>
            <w:tcBorders>
              <w:top w:val="single" w:sz="6" w:space="0" w:color="E10000"/>
              <w:bottom w:val="single" w:sz="2" w:space="0" w:color="E10000"/>
            </w:tcBorders>
            <w:vAlign w:val="top"/>
          </w:tcPr>
          <w:p>
            <w:pPr>
              <w:spacing w:before="291" w:line="214" w:lineRule="auto"/>
              <w:ind w:left="6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E10000"/>
                <w:spacing w:val="-2"/>
                <w:sz w:val="21"/>
                <w:szCs w:val="21"/>
              </w:rPr>
              <w:t xml:space="preserve">2023 </w:t>
            </w: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年收益率</w:t>
            </w:r>
            <w:r>
              <w:rPr>
                <w:rFonts w:ascii="SimHei" w:eastAsia="SimHei" w:hAnsi="SimHei" w:cs="SimHei"/>
                <w:color w:val="E10000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E10000"/>
                <w:spacing w:val="-2"/>
                <w:sz w:val="21"/>
                <w:szCs w:val="21"/>
              </w:rPr>
              <w:t>7.80%</w:t>
            </w:r>
            <w:r>
              <w:rPr>
                <w:rFonts w:ascii="Arial" w:eastAsia="Arial" w:hAnsi="Arial" w:cs="Arial"/>
                <w:color w:val="E10000"/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，</w:t>
            </w:r>
            <w:r>
              <w:rPr>
                <w:rFonts w:ascii="Arial" w:eastAsia="Arial" w:hAnsi="Arial" w:cs="Arial"/>
                <w:color w:val="E10000"/>
                <w:spacing w:val="-2"/>
                <w:sz w:val="21"/>
                <w:szCs w:val="21"/>
              </w:rPr>
              <w:t xml:space="preserve">2024 </w:t>
            </w: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年（截至</w:t>
            </w:r>
            <w:r>
              <w:rPr>
                <w:rFonts w:ascii="SimHei" w:eastAsia="SimHei" w:hAnsi="SimHei" w:cs="SimHei"/>
                <w:color w:val="E10000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E10000"/>
                <w:spacing w:val="-2"/>
                <w:sz w:val="21"/>
                <w:szCs w:val="21"/>
              </w:rPr>
              <w:t>1.12</w:t>
            </w:r>
            <w:r>
              <w:rPr>
                <w:rFonts w:ascii="SimHei" w:eastAsia="SimHei" w:hAnsi="SimHei" w:cs="SimHei"/>
                <w:color w:val="E10000"/>
                <w:spacing w:val="-3"/>
                <w:sz w:val="21"/>
                <w:szCs w:val="21"/>
              </w:rPr>
              <w:t>）收益率</w:t>
            </w:r>
            <w:r>
              <w:rPr>
                <w:rFonts w:ascii="SimHei" w:eastAsia="SimHei" w:hAnsi="SimHei" w:cs="SimHei"/>
                <w:color w:val="E10000"/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E10000"/>
                <w:spacing w:val="-3"/>
                <w:sz w:val="21"/>
                <w:szCs w:val="21"/>
              </w:rPr>
              <w:t>0.02%</w:t>
            </w:r>
          </w:p>
          <w:p>
            <w:pPr>
              <w:pStyle w:val="TableText"/>
              <w:spacing w:before="194" w:line="263" w:lineRule="auto"/>
              <w:ind w:left="2" w:firstLine="2"/>
              <w:jc w:val="both"/>
            </w:pPr>
            <w:r>
              <w:rPr>
                <w:spacing w:val="-2"/>
              </w:rPr>
              <w:t>低拥挤度行业精选组合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2023</w:t>
            </w:r>
            <w:r>
              <w:rPr>
                <w:rFonts w:ascii="Arial" w:eastAsia="Arial" w:hAnsi="Arial" w:cs="Arial"/>
                <w:spacing w:val="20"/>
                <w:w w:val="101"/>
              </w:rPr>
              <w:t xml:space="preserve"> </w:t>
            </w:r>
            <w:r>
              <w:rPr>
                <w:spacing w:val="-2"/>
              </w:rPr>
              <w:t>年收益率</w:t>
            </w:r>
            <w:r>
              <w:rPr>
                <w:spacing w:val="2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7.80%</w:t>
            </w:r>
            <w:r>
              <w:rPr>
                <w:spacing w:val="-2"/>
              </w:rPr>
              <w:t>，同期</w:t>
            </w:r>
            <w:r>
              <w:rPr>
                <w:spacing w:val="3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Wind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spacing w:val="-2"/>
              </w:rPr>
              <w:t>偏股混基</w:t>
            </w:r>
            <w:r>
              <w:rPr>
                <w:spacing w:val="-3"/>
              </w:rPr>
              <w:t>指数收益率</w:t>
            </w:r>
            <w:r>
              <w:rPr>
                <w:rFonts w:ascii="Arial" w:eastAsia="Arial" w:hAnsi="Arial" w:cs="Arial"/>
                <w:spacing w:val="-3"/>
              </w:rPr>
              <w:t>-13.52%</w:t>
            </w:r>
            <w:r>
              <w:rPr>
                <w:spacing w:val="-3"/>
              </w:rPr>
              <w:t>，相</w:t>
            </w:r>
            <w:r>
              <w:t xml:space="preserve">   </w:t>
            </w:r>
            <w:r>
              <w:rPr>
                <w:spacing w:val="-5"/>
              </w:rPr>
              <w:t xml:space="preserve">对收益 </w:t>
            </w:r>
            <w:r>
              <w:rPr>
                <w:rFonts w:ascii="Arial" w:eastAsia="Arial" w:hAnsi="Arial" w:cs="Arial"/>
                <w:spacing w:val="-5"/>
              </w:rPr>
              <w:t>21.32%</w:t>
            </w:r>
            <w:r>
              <w:rPr>
                <w:spacing w:val="-5"/>
              </w:rPr>
              <w:t>；</w:t>
            </w:r>
            <w:r>
              <w:rPr>
                <w:rFonts w:ascii="Arial" w:eastAsia="Arial" w:hAnsi="Arial" w:cs="Arial"/>
                <w:spacing w:val="-5"/>
              </w:rPr>
              <w:t xml:space="preserve">2024 </w:t>
            </w:r>
            <w:r>
              <w:rPr>
                <w:spacing w:val="-5"/>
              </w:rPr>
              <w:t>年（截至</w:t>
            </w:r>
            <w:r>
              <w:rPr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1.12</w:t>
            </w:r>
            <w:r>
              <w:rPr>
                <w:spacing w:val="-5"/>
              </w:rPr>
              <w:t xml:space="preserve">）收益率 </w:t>
            </w:r>
            <w:r>
              <w:rPr>
                <w:rFonts w:ascii="Arial" w:eastAsia="Arial" w:hAnsi="Arial" w:cs="Arial"/>
                <w:spacing w:val="-5"/>
              </w:rPr>
              <w:t>0.02%</w:t>
            </w:r>
            <w:r>
              <w:rPr>
                <w:spacing w:val="-5"/>
              </w:rPr>
              <w:t xml:space="preserve">，同期 </w:t>
            </w:r>
            <w:r>
              <w:rPr>
                <w:rFonts w:ascii="Arial" w:eastAsia="Arial" w:hAnsi="Arial" w:cs="Arial"/>
                <w:spacing w:val="-5"/>
              </w:rPr>
              <w:t xml:space="preserve">Wind </w:t>
            </w:r>
            <w:r>
              <w:rPr>
                <w:spacing w:val="-5"/>
              </w:rPr>
              <w:t>偏股混基指数收益率</w:t>
            </w:r>
            <w:r>
              <w:rPr>
                <w:rFonts w:ascii="Arial" w:eastAsia="Arial" w:hAnsi="Arial" w:cs="Arial"/>
                <w:spacing w:val="-5"/>
              </w:rPr>
              <w:t>-4.</w:t>
            </w:r>
            <w:r>
              <w:rPr>
                <w:rFonts w:ascii="Arial" w:eastAsia="Arial" w:hAnsi="Arial" w:cs="Arial"/>
                <w:spacing w:val="-6"/>
              </w:rPr>
              <w:t>78%</w:t>
            </w:r>
            <w:r>
              <w:rPr>
                <w:spacing w:val="-6"/>
              </w:rPr>
              <w:t>，</w:t>
            </w:r>
            <w:r>
              <w:t xml:space="preserve"> </w:t>
            </w:r>
            <w:r>
              <w:rPr>
                <w:spacing w:val="-1"/>
              </w:rPr>
              <w:t xml:space="preserve">相对收益 </w:t>
            </w:r>
            <w:r>
              <w:rPr>
                <w:rFonts w:ascii="Arial" w:eastAsia="Arial" w:hAnsi="Arial" w:cs="Arial"/>
                <w:spacing w:val="-1"/>
              </w:rPr>
              <w:t>4.79%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23" w:line="264" w:lineRule="auto"/>
              <w:ind w:left="7" w:right="9" w:firstLine="2"/>
              <w:jc w:val="both"/>
            </w:pP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最近一期选出的行业为公用事业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、社会服务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、家电制造</w:t>
            </w:r>
            <w:r>
              <w:rPr>
                <w:spacing w:val="-1"/>
              </w:rPr>
              <w:t>。公用事业入选</w:t>
            </w:r>
            <w:r>
              <w:rPr>
                <w:spacing w:val="-2"/>
              </w:rPr>
              <w:t>加分项主要是</w:t>
            </w:r>
            <w:r>
              <w:rPr>
                <w:spacing w:val="2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ROE </w:t>
            </w:r>
            <w:r>
              <w:rPr>
                <w:spacing w:val="-2"/>
              </w:rPr>
              <w:t>和</w:t>
            </w:r>
            <w:r>
              <w:t xml:space="preserve"> </w:t>
            </w:r>
            <w:r>
              <w:rPr>
                <w:spacing w:val="-7"/>
              </w:rPr>
              <w:t>毛利率边际变化，  社会服务加分项是</w:t>
            </w:r>
            <w:r>
              <w:rPr>
                <w:spacing w:val="16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>R</w:t>
            </w:r>
            <w:r>
              <w:rPr>
                <w:rFonts w:ascii="Arial" w:eastAsia="Arial" w:hAnsi="Arial" w:cs="Arial"/>
                <w:spacing w:val="-8"/>
              </w:rPr>
              <w:t>OE</w:t>
            </w:r>
            <w:r>
              <w:rPr>
                <w:spacing w:val="-8"/>
              </w:rPr>
              <w:t>、毛利率边际变化，以及较好的现金流情况，   家电制</w:t>
            </w:r>
            <w:r>
              <w:t xml:space="preserve"> </w:t>
            </w:r>
            <w:r>
              <w:rPr>
                <w:spacing w:val="-1"/>
              </w:rPr>
              <w:t>造加分项是现金流情况较好和营收增速较好。</w:t>
            </w:r>
          </w:p>
          <w:p>
            <w:pPr>
              <w:spacing w:before="179" w:line="214" w:lineRule="auto"/>
              <w:ind w:left="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3"/>
                <w:sz w:val="21"/>
                <w:szCs w:val="21"/>
              </w:rPr>
              <w:t>风格切换之后，</w:t>
            </w:r>
            <w:r>
              <w:rPr>
                <w:rFonts w:ascii="SimHei" w:eastAsia="SimHei" w:hAnsi="SimHei" w:cs="SimHei"/>
                <w:color w:val="E10000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color w:val="E10000"/>
                <w:spacing w:val="-3"/>
                <w:sz w:val="21"/>
                <w:szCs w:val="21"/>
              </w:rPr>
              <w:t>低拥挤度行业与热门行业、基金指数最终殊途同归</w:t>
            </w:r>
          </w:p>
          <w:p>
            <w:pPr>
              <w:pStyle w:val="TableText"/>
              <w:spacing w:before="193" w:line="277" w:lineRule="auto"/>
              <w:ind w:left="6" w:right="9" w:firstLine="4"/>
              <w:jc w:val="both"/>
            </w:pPr>
            <w:r>
              <w:rPr>
                <w:spacing w:val="-1"/>
              </w:rPr>
              <w:t>我们从涨幅较大、交易热度高、基金持仓重这三方面来设计定量指标区分热门行业与</w:t>
            </w:r>
            <w:r>
              <w:rPr>
                <w:spacing w:val="-2"/>
              </w:rPr>
              <w:t>低拥挤度</w:t>
            </w:r>
            <w:r>
              <w:t xml:space="preserve"> </w:t>
            </w:r>
            <w:r>
              <w:rPr>
                <w:spacing w:val="-4"/>
              </w:rPr>
              <w:t>行业。</w:t>
            </w:r>
            <w:r>
              <w:rPr>
                <w:rFonts w:ascii="Arial" w:eastAsia="Arial" w:hAnsi="Arial" w:cs="Arial"/>
                <w:spacing w:val="-4"/>
              </w:rPr>
              <w:t>2013</w:t>
            </w:r>
            <w:r>
              <w:rPr>
                <w:rFonts w:ascii="Arial" w:eastAsia="Arial" w:hAnsi="Arial" w:cs="Arial"/>
                <w:spacing w:val="59"/>
              </w:rPr>
              <w:t xml:space="preserve"> </w:t>
            </w:r>
            <w:r>
              <w:rPr>
                <w:spacing w:val="-4"/>
              </w:rPr>
              <w:t>年至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</w:rPr>
              <w:t>2016</w:t>
            </w:r>
            <w:r>
              <w:rPr>
                <w:rFonts w:ascii="Arial" w:eastAsia="Arial" w:hAnsi="Arial" w:cs="Arial"/>
                <w:spacing w:val="42"/>
                <w:w w:val="101"/>
              </w:rPr>
              <w:t xml:space="preserve"> </w:t>
            </w:r>
            <w:r>
              <w:rPr>
                <w:spacing w:val="-4"/>
              </w:rPr>
              <w:t>年底，低拥挤度行业累积收益强于热门行业和基金指数；   之后风格切</w:t>
            </w:r>
            <w:r>
              <w:t xml:space="preserve"> </w:t>
            </w:r>
            <w:r>
              <w:rPr>
                <w:spacing w:val="-2"/>
              </w:rPr>
              <w:t>换，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2017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spacing w:val="-2"/>
              </w:rPr>
              <w:t>年的“漂亮</w:t>
            </w:r>
            <w:r>
              <w:rPr>
                <w:spacing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50</w:t>
            </w:r>
            <w:r>
              <w:rPr>
                <w:spacing w:val="-2"/>
              </w:rPr>
              <w:t>”及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2019</w:t>
            </w:r>
            <w:r>
              <w:rPr>
                <w:rFonts w:ascii="Arial" w:eastAsia="Arial" w:hAnsi="Arial" w:cs="Arial"/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年之后的赛道行情，热</w:t>
            </w:r>
            <w:r>
              <w:rPr>
                <w:spacing w:val="-3"/>
              </w:rPr>
              <w:t>门行业和基金指数大幅领先低拥挤</w:t>
            </w:r>
            <w:r>
              <w:t xml:space="preserve"> </w:t>
            </w:r>
            <w:r>
              <w:rPr>
                <w:spacing w:val="-11"/>
              </w:rPr>
              <w:t>行业；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11"/>
              </w:rPr>
              <w:t xml:space="preserve">2022 </w:t>
            </w:r>
            <w:r>
              <w:rPr>
                <w:spacing w:val="-11"/>
              </w:rPr>
              <w:t xml:space="preserve">年至今，  随着市场整体转弱，“抱团”赛道瓦解，   低拥挤行业凭借抗跌属性，   </w:t>
            </w:r>
            <w:r>
              <w:rPr>
                <w:spacing w:val="-12"/>
              </w:rPr>
              <w:t>收益</w:t>
            </w:r>
            <w:r>
              <w:t xml:space="preserve"> </w:t>
            </w:r>
            <w:r>
              <w:rPr>
                <w:spacing w:val="-1"/>
              </w:rPr>
              <w:t>率大幅领先热门行业。</w:t>
            </w:r>
          </w:p>
          <w:p>
            <w:pPr>
              <w:pStyle w:val="TableText"/>
              <w:spacing w:before="226" w:line="263" w:lineRule="auto"/>
              <w:ind w:left="10" w:right="9" w:firstLine="13"/>
              <w:jc w:val="both"/>
            </w:pPr>
            <w:r>
              <w:rPr>
                <w:spacing w:val="-6"/>
              </w:rPr>
              <w:t>因此，</w:t>
            </w:r>
            <w:r>
              <w:rPr>
                <w:spacing w:val="25"/>
                <w:w w:val="102"/>
              </w:rPr>
              <w:t xml:space="preserve"> </w:t>
            </w:r>
            <w:r>
              <w:rPr>
                <w:spacing w:val="-6"/>
              </w:rPr>
              <w:t>从长期年化收益率来说，</w:t>
            </w:r>
            <w:r>
              <w:rPr>
                <w:spacing w:val="14"/>
              </w:rPr>
              <w:t xml:space="preserve">  </w:t>
            </w:r>
            <w:r>
              <w:rPr>
                <w:spacing w:val="-6"/>
              </w:rPr>
              <w:t>低拥挤行业与热门行业并无孰优孰劣之分。热门赛道</w:t>
            </w:r>
            <w:r>
              <w:rPr>
                <w:spacing w:val="-7"/>
              </w:rPr>
              <w:t>由于关注</w:t>
            </w:r>
            <w:r>
              <w:t xml:space="preserve"> </w:t>
            </w:r>
            <w:r>
              <w:rPr>
                <w:spacing w:val="-1"/>
              </w:rPr>
              <w:t>度高，行情的波动较大，更多的需要去博取</w:t>
            </w:r>
            <w:r>
              <w:rPr>
                <w:spacing w:val="5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beta</w:t>
            </w:r>
            <w:r>
              <w:rPr>
                <w:rFonts w:ascii="Arial" w:eastAsia="Arial" w:hAnsi="Arial" w:cs="Arial"/>
                <w:spacing w:val="40"/>
              </w:rPr>
              <w:t xml:space="preserve"> </w:t>
            </w:r>
            <w:r>
              <w:rPr>
                <w:spacing w:val="-1"/>
              </w:rPr>
              <w:t>收益，低拥挤行业中财务基本面有边际变化</w:t>
            </w:r>
            <w:r>
              <w:t xml:space="preserve"> </w:t>
            </w:r>
            <w:r>
              <w:rPr>
                <w:spacing w:val="-1"/>
              </w:rPr>
              <w:t xml:space="preserve">的行业或许更有可能带来不错 </w:t>
            </w:r>
            <w:r>
              <w:rPr>
                <w:rFonts w:ascii="Arial" w:eastAsia="Arial" w:hAnsi="Arial" w:cs="Arial"/>
                <w:spacing w:val="-1"/>
              </w:rPr>
              <w:t xml:space="preserve">alpha </w:t>
            </w:r>
            <w:r>
              <w:rPr>
                <w:spacing w:val="-1"/>
              </w:rPr>
              <w:t>收益。</w:t>
            </w:r>
          </w:p>
          <w:p>
            <w:pPr>
              <w:spacing w:before="180" w:line="222" w:lineRule="auto"/>
              <w:ind w:left="14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需重点关注行业的当季营收增速、盈利能力边</w:t>
            </w: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际变化和现金流情况</w:t>
            </w:r>
          </w:p>
          <w:p>
            <w:pPr>
              <w:pStyle w:val="TableText"/>
              <w:spacing w:before="183" w:line="247" w:lineRule="auto"/>
              <w:ind w:left="7" w:right="9" w:hanging="1"/>
            </w:pPr>
            <w:r>
              <w:rPr>
                <w:spacing w:val="-4"/>
              </w:rPr>
              <w:t>从行业的成长性、盈利能力、现金流情况等维度，</w:t>
            </w:r>
            <w:r>
              <w:rPr>
                <w:spacing w:val="17"/>
              </w:rPr>
              <w:t xml:space="preserve">  </w:t>
            </w:r>
            <w:r>
              <w:rPr>
                <w:spacing w:val="-4"/>
              </w:rPr>
              <w:t>通过历史复盘的方式筛选在低拥挤度行业中</w:t>
            </w:r>
            <w:r>
              <w:t xml:space="preserve"> </w:t>
            </w:r>
            <w:r>
              <w:rPr>
                <w:spacing w:val="-4"/>
              </w:rPr>
              <w:t>较适用的指标。</w:t>
            </w:r>
          </w:p>
          <w:p>
            <w:pPr>
              <w:pStyle w:val="TableText"/>
              <w:spacing w:before="224" w:line="264" w:lineRule="auto"/>
              <w:ind w:left="9" w:right="9"/>
              <w:jc w:val="both"/>
            </w:pPr>
            <w:r>
              <w:rPr>
                <w:spacing w:val="-7"/>
              </w:rPr>
              <w:t>成长性方面，</w:t>
            </w:r>
            <w:r>
              <w:rPr>
                <w:spacing w:val="16"/>
                <w:w w:val="101"/>
              </w:rPr>
              <w:t xml:space="preserve">  </w:t>
            </w:r>
            <w:r>
              <w:rPr>
                <w:spacing w:val="-7"/>
              </w:rPr>
              <w:t>直接看历史成长性是有效的。也就是说业绩动量，</w:t>
            </w:r>
            <w:r>
              <w:rPr>
                <w:spacing w:val="17"/>
              </w:rPr>
              <w:t xml:space="preserve">  </w:t>
            </w:r>
            <w:r>
              <w:rPr>
                <w:spacing w:val="-7"/>
              </w:rPr>
              <w:t>或者至少历史业</w:t>
            </w:r>
            <w:r>
              <w:rPr>
                <w:spacing w:val="-8"/>
              </w:rPr>
              <w:t>绩带来的股价</w:t>
            </w:r>
            <w:r>
              <w:t xml:space="preserve"> </w:t>
            </w:r>
            <w:r>
              <w:rPr>
                <w:spacing w:val="-4"/>
              </w:rPr>
              <w:t>动量是存在的。具体来说，   单季度同比增速的效果普遍好于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</w:rPr>
              <w:t>TTM</w:t>
            </w:r>
            <w:r>
              <w:rPr>
                <w:rFonts w:ascii="Arial" w:eastAsia="Arial" w:hAnsi="Arial" w:cs="Arial"/>
                <w:spacing w:val="39"/>
                <w:w w:val="101"/>
              </w:rPr>
              <w:t xml:space="preserve"> </w:t>
            </w:r>
            <w:r>
              <w:rPr>
                <w:spacing w:val="-4"/>
              </w:rPr>
              <w:t>同比增速，其中又以单季度</w:t>
            </w:r>
            <w:r>
              <w:t xml:space="preserve"> </w:t>
            </w:r>
            <w:r>
              <w:rPr>
                <w:spacing w:val="-3"/>
              </w:rPr>
              <w:t>营收同比增速最为有效。</w:t>
            </w:r>
          </w:p>
          <w:p>
            <w:pPr>
              <w:pStyle w:val="TableText"/>
              <w:spacing w:before="222" w:line="264" w:lineRule="auto"/>
              <w:ind w:left="8" w:right="9" w:firstLine="1"/>
              <w:jc w:val="both"/>
            </w:pPr>
            <w:r>
              <w:rPr>
                <w:spacing w:val="-9"/>
              </w:rPr>
              <w:t>盈利能力方面，  或因行业</w:t>
            </w:r>
            <w:r>
              <w:rPr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</w:rPr>
              <w:t xml:space="preserve">ROE </w:t>
            </w:r>
            <w:r>
              <w:rPr>
                <w:spacing w:val="-9"/>
              </w:rPr>
              <w:t>是一个慢变量，   高</w:t>
            </w:r>
            <w:r>
              <w:rPr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</w:rPr>
              <w:t>R</w:t>
            </w:r>
            <w:r>
              <w:rPr>
                <w:rFonts w:ascii="Arial" w:eastAsia="Arial" w:hAnsi="Arial" w:cs="Arial"/>
                <w:spacing w:val="-10"/>
              </w:rPr>
              <w:t>OE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spacing w:val="-10"/>
              </w:rPr>
              <w:t>的行业早已被重点关注或持有，  不再是</w:t>
            </w:r>
            <w:r>
              <w:t xml:space="preserve"> </w:t>
            </w:r>
            <w:r>
              <w:rPr>
                <w:spacing w:val="-8"/>
              </w:rPr>
              <w:t>一个边际增量信息，</w:t>
            </w:r>
            <w:r>
              <w:rPr>
                <w:spacing w:val="17"/>
                <w:w w:val="101"/>
              </w:rPr>
              <w:t xml:space="preserve">  </w:t>
            </w:r>
            <w:r>
              <w:rPr>
                <w:spacing w:val="-8"/>
              </w:rPr>
              <w:t>但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</w:rPr>
              <w:t>ROE</w:t>
            </w:r>
            <w:r>
              <w:rPr>
                <w:rFonts w:ascii="Arial" w:eastAsia="Arial" w:hAnsi="Arial" w:cs="Arial"/>
                <w:spacing w:val="11"/>
              </w:rPr>
              <w:t xml:space="preserve"> </w:t>
            </w:r>
            <w:r>
              <w:rPr>
                <w:spacing w:val="-8"/>
              </w:rPr>
              <w:t>的边际变化（</w:t>
            </w:r>
            <w:r>
              <w:rPr>
                <w:rFonts w:ascii="Arial" w:eastAsia="Arial" w:hAnsi="Arial" w:cs="Arial"/>
                <w:spacing w:val="-8"/>
              </w:rPr>
              <w:t>TTM</w:t>
            </w:r>
            <w:r>
              <w:rPr>
                <w:rFonts w:ascii="Arial" w:eastAsia="Arial" w:hAnsi="Arial" w:cs="Arial"/>
                <w:spacing w:val="18"/>
                <w:w w:val="101"/>
              </w:rPr>
              <w:t xml:space="preserve"> </w:t>
            </w:r>
            <w:r>
              <w:rPr>
                <w:spacing w:val="-8"/>
              </w:rPr>
              <w:t>同比变化或单季度同比变化）</w:t>
            </w:r>
            <w:r>
              <w:rPr>
                <w:spacing w:val="14"/>
                <w:w w:val="101"/>
              </w:rPr>
              <w:t xml:space="preserve">  </w:t>
            </w:r>
            <w:r>
              <w:rPr>
                <w:spacing w:val="-8"/>
              </w:rPr>
              <w:t>依旧有效。毛利</w:t>
            </w:r>
            <w:r>
              <w:t xml:space="preserve"> </w:t>
            </w:r>
            <w:r>
              <w:rPr>
                <w:spacing w:val="-1"/>
              </w:rPr>
              <w:t>率、净利率较低的行业收益率更差，有负向</w:t>
            </w:r>
            <w:r>
              <w:rPr>
                <w:spacing w:val="-2"/>
              </w:rPr>
              <w:t>剔除的作用。</w:t>
            </w:r>
          </w:p>
          <w:p>
            <w:pPr>
              <w:pStyle w:val="TableText"/>
              <w:spacing w:before="225" w:line="247" w:lineRule="auto"/>
              <w:ind w:left="13" w:right="13" w:hanging="5"/>
            </w:pPr>
            <w:r>
              <w:rPr>
                <w:spacing w:val="-9"/>
              </w:rPr>
              <w:t>现金流情况方面，   当期值较好的行业有一定的超额收益，</w:t>
            </w:r>
            <w:r>
              <w:rPr>
                <w:spacing w:val="14"/>
              </w:rPr>
              <w:t xml:space="preserve">  </w:t>
            </w:r>
            <w:r>
              <w:rPr>
                <w:spacing w:val="-9"/>
              </w:rPr>
              <w:t>但是看边际变化作</w:t>
            </w:r>
            <w:r>
              <w:rPr>
                <w:spacing w:val="-10"/>
              </w:rPr>
              <w:t>用不大，   这一点与</w:t>
            </w:r>
            <w: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 xml:space="preserve">ROE </w:t>
            </w:r>
            <w:r>
              <w:rPr>
                <w:spacing w:val="-6"/>
              </w:rPr>
              <w:t>差别较大。</w:t>
            </w:r>
            <w:r>
              <w:rPr>
                <w:spacing w:val="21"/>
              </w:rPr>
              <w:t xml:space="preserve">  </w:t>
            </w:r>
            <w:r>
              <w:rPr>
                <w:rFonts w:ascii="Arial" w:eastAsia="Arial" w:hAnsi="Arial" w:cs="Arial"/>
                <w:spacing w:val="-6"/>
              </w:rPr>
              <w:t>OCF/</w:t>
            </w:r>
            <w:r>
              <w:rPr>
                <w:spacing w:val="-6"/>
              </w:rPr>
              <w:t>净资产边际变差的行业可负向剔除。</w:t>
            </w:r>
          </w:p>
          <w:p>
            <w:pPr>
              <w:pStyle w:val="TableText"/>
              <w:spacing w:before="224" w:line="272" w:lineRule="auto"/>
              <w:ind w:left="8" w:right="9" w:hanging="3"/>
              <w:jc w:val="both"/>
            </w:pPr>
            <w:r>
              <w:rPr>
                <w:spacing w:val="-7"/>
              </w:rPr>
              <w:t>在筛选出有效的单指标之后，</w:t>
            </w:r>
            <w:r>
              <w:rPr>
                <w:spacing w:val="20"/>
              </w:rPr>
              <w:t xml:space="preserve">  </w:t>
            </w:r>
            <w:r>
              <w:rPr>
                <w:spacing w:val="-7"/>
              </w:rPr>
              <w:t>通过打分表的方式计算各行业在基本面上的综合得分，</w:t>
            </w:r>
            <w:r>
              <w:rPr>
                <w:spacing w:val="13"/>
                <w:w w:val="101"/>
              </w:rPr>
              <w:t xml:space="preserve">  </w:t>
            </w:r>
            <w:r>
              <w:rPr>
                <w:spacing w:val="-7"/>
              </w:rPr>
              <w:t>然后排序</w:t>
            </w:r>
            <w:r>
              <w:t xml:space="preserve"> </w:t>
            </w:r>
            <w:r>
              <w:rPr>
                <w:spacing w:val="-2"/>
              </w:rPr>
              <w:t xml:space="preserve">选出基本面得分最高的三个行业。复盘 </w:t>
            </w:r>
            <w:r>
              <w:rPr>
                <w:rFonts w:ascii="Arial" w:eastAsia="Arial" w:hAnsi="Arial" w:cs="Arial"/>
                <w:spacing w:val="-2"/>
              </w:rPr>
              <w:t xml:space="preserve">2012 </w:t>
            </w:r>
            <w:r>
              <w:rPr>
                <w:spacing w:val="-2"/>
              </w:rPr>
              <w:t>年</w:t>
            </w:r>
            <w:r>
              <w:rPr>
                <w:rFonts w:ascii="Arial" w:eastAsia="Arial" w:hAnsi="Arial" w:cs="Arial"/>
                <w:spacing w:val="-2"/>
              </w:rPr>
              <w:t xml:space="preserve">~2022 </w:t>
            </w:r>
            <w:r>
              <w:rPr>
                <w:spacing w:val="-2"/>
              </w:rPr>
              <w:t>年，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 xml:space="preserve">综合得分 </w:t>
            </w:r>
            <w:r>
              <w:rPr>
                <w:rFonts w:ascii="Arial" w:eastAsia="Arial" w:hAnsi="Arial" w:cs="Arial"/>
                <w:spacing w:val="-2"/>
              </w:rPr>
              <w:t xml:space="preserve">TOP3 </w:t>
            </w:r>
            <w:r>
              <w:rPr>
                <w:spacing w:val="-2"/>
              </w:rPr>
              <w:t>行业年化收益率高</w:t>
            </w:r>
            <w:r>
              <w:t xml:space="preserve"> </w:t>
            </w:r>
            <w:r>
              <w:rPr>
                <w:spacing w:val="-3"/>
              </w:rPr>
              <w:t xml:space="preserve">于 </w:t>
            </w:r>
            <w:r>
              <w:rPr>
                <w:rFonts w:ascii="Arial" w:eastAsia="Arial" w:hAnsi="Arial" w:cs="Arial"/>
                <w:spacing w:val="-3"/>
              </w:rPr>
              <w:t xml:space="preserve">Wind </w:t>
            </w:r>
            <w:r>
              <w:rPr>
                <w:spacing w:val="-3"/>
              </w:rPr>
              <w:t>偏股混基指数，</w:t>
            </w:r>
            <w:r>
              <w:rPr>
                <w:spacing w:val="16"/>
              </w:rPr>
              <w:t xml:space="preserve">  </w:t>
            </w:r>
            <w:r>
              <w:rPr>
                <w:spacing w:val="-3"/>
              </w:rPr>
              <w:t>且得分高越高的组收益</w:t>
            </w:r>
            <w:r>
              <w:rPr>
                <w:spacing w:val="-4"/>
              </w:rPr>
              <w:t>率也越高；</w:t>
            </w:r>
            <w:r>
              <w:rPr>
                <w:rFonts w:ascii="Arial" w:eastAsia="Arial" w:hAnsi="Arial" w:cs="Arial"/>
                <w:spacing w:val="-4"/>
              </w:rPr>
              <w:t xml:space="preserve">2023 </w:t>
            </w:r>
            <w:r>
              <w:rPr>
                <w:spacing w:val="-4"/>
              </w:rPr>
              <w:t xml:space="preserve">年及 </w:t>
            </w:r>
            <w:r>
              <w:rPr>
                <w:rFonts w:ascii="Arial" w:eastAsia="Arial" w:hAnsi="Arial" w:cs="Arial"/>
                <w:spacing w:val="-4"/>
              </w:rPr>
              <w:t xml:space="preserve">2024 </w:t>
            </w:r>
            <w:r>
              <w:rPr>
                <w:spacing w:val="-4"/>
              </w:rPr>
              <w:t>年以来的模拟跟踪</w:t>
            </w:r>
            <w:r>
              <w:t xml:space="preserve"> </w:t>
            </w:r>
            <w:r>
              <w:rPr>
                <w:spacing w:val="-2"/>
              </w:rPr>
              <w:t>也呈现出相似规律。</w:t>
            </w:r>
          </w:p>
          <w:p>
            <w:pPr>
              <w:spacing w:before="205" w:line="223" w:lineRule="auto"/>
              <w:ind w:left="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风险提示</w:t>
            </w:r>
          </w:p>
          <w:p>
            <w:pPr>
              <w:pStyle w:val="TableText"/>
              <w:spacing w:before="183" w:line="197" w:lineRule="auto"/>
              <w:ind w:left="19"/>
            </w:pPr>
            <w:r>
              <w:rPr>
                <w:rFonts w:ascii="Arial" w:eastAsia="Arial" w:hAnsi="Arial" w:cs="Arial"/>
                <w:spacing w:val="-2"/>
              </w:rPr>
              <w:t>1</w:t>
            </w:r>
            <w:r>
              <w:rPr>
                <w:spacing w:val="-2"/>
              </w:rPr>
              <w:t>、量化模拟不代表真实收益，历史数据不保证未来</w:t>
            </w:r>
            <w:r>
              <w:rPr>
                <w:spacing w:val="-3"/>
              </w:rPr>
              <w:t>走势；</w:t>
            </w:r>
          </w:p>
          <w:p>
            <w:pPr>
              <w:pStyle w:val="TableText"/>
              <w:spacing w:before="225" w:line="247" w:lineRule="auto"/>
              <w:ind w:left="7" w:right="38" w:hanging="2"/>
            </w:pPr>
            <w:r>
              <w:rPr>
                <w:rFonts w:ascii="Arial" w:eastAsia="Arial" w:hAnsi="Arial" w:cs="Arial"/>
                <w:spacing w:val="-2"/>
              </w:rPr>
              <w:t>2</w:t>
            </w:r>
            <w:r>
              <w:rPr>
                <w:spacing w:val="-2"/>
              </w:rPr>
              <w:t>、模型风险：  热门行业和非热门行业的划分标准的变化、行业分类标准的不同、数据质量和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指标计算方法的差异等待因素或有可能影响最终结论。</w:t>
            </w:r>
          </w:p>
        </w:tc>
      </w:tr>
    </w:tbl>
    <w:p>
      <w:pPr>
        <w:spacing w:before="53" w:line="222" w:lineRule="auto"/>
        <w:ind w:left="1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1"/>
          <w:sz w:val="16"/>
          <w:szCs w:val="16"/>
        </w:rPr>
        <w:t>请阅读最后评级说明和重要声明</w:t>
      </w:r>
    </w:p>
    <w:p>
      <w:pPr>
        <w:pStyle w:val="BodyText"/>
        <w:spacing w:line="14" w:lineRule="auto"/>
        <w:rPr>
          <w:sz w:val="2"/>
        </w:rPr>
        <w:sectPr>
          <w:headerReference w:type="default" r:id="rId13"/>
          <w:footerReference w:type="default" r:id="rId14"/>
          <w:pgSz w:w="11907" w:h="16839"/>
          <w:pgMar w:top="1" w:right="0" w:bottom="1" w:left="850" w:header="0" w:footer="0" w:gutter="0"/>
          <w:pgNumType w:start="7"/>
          <w:cols w:num="2" w:space="708" w:equalWidth="0">
            <w:col w:w="7532" w:space="100"/>
            <w:col w:w="3424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77" w:lineRule="auto"/>
      </w:pPr>
      <w:r>
        <w:pict>
          <v:rect id="_x0000_s1028" style="width:367.9pt;height:1.45pt;margin-top:65.16pt;margin-left:42.6pt;mso-position-horizontal-relative:page;mso-position-vertical-relative:page;position:absolute;z-index:251662336" o:allowincell="f" filled="t" fillcolor="#e10000" stroked="f"/>
        </w:pict>
      </w: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line="402" w:lineRule="exact"/>
      </w:pPr>
      <w:r>
        <w:rPr>
          <w:position w:val="-8"/>
        </w:rPr>
        <w:drawing>
          <wp:inline distT="0" distB="0" distL="0" distR="0">
            <wp:extent cx="977937" cy="255269"/>
            <wp:effectExtent l="0" t="0" r="0" b="0"/>
            <wp:docPr id="1660818037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818037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77937" cy="25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5"/>
      </w:pPr>
    </w:p>
    <w:p>
      <w:pPr>
        <w:spacing w:before="45"/>
      </w:pPr>
    </w:p>
    <w:tbl>
      <w:tblPr>
        <w:tblStyle w:val="TableNormal1"/>
        <w:tblW w:w="7357" w:type="dxa"/>
        <w:tblInd w:w="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57"/>
      </w:tblGrid>
      <w:tr>
        <w:tblPrEx>
          <w:tblW w:w="7357" w:type="dxa"/>
          <w:tblInd w:w="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17"/>
        </w:trPr>
        <w:tc>
          <w:tcPr>
            <w:tcW w:w="7357" w:type="dxa"/>
            <w:tcBorders>
              <w:top w:val="single" w:sz="6" w:space="0" w:color="E10000"/>
              <w:bottom w:val="single" w:sz="6" w:space="0" w:color="E10000"/>
            </w:tcBorders>
            <w:vAlign w:val="top"/>
          </w:tcPr>
          <w:p>
            <w:pPr>
              <w:spacing w:before="154" w:line="222" w:lineRule="auto"/>
              <w:ind w:left="14"/>
              <w:rPr>
                <w:rFonts w:ascii="SimHei" w:eastAsia="SimHei" w:hAnsi="SimHei" w:cs="SimHei"/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E10000"/>
                <w:spacing w:val="-33"/>
                <w:sz w:val="36"/>
                <w:szCs w:val="36"/>
              </w:rPr>
              <w:t>行业轮动（九</w:t>
            </w:r>
            <w:r>
              <w:rPr>
                <w:rFonts w:ascii="SimHei" w:eastAsia="SimHei" w:hAnsi="SimHei" w:cs="SimHei"/>
                <w:color w:val="E10000"/>
                <w:spacing w:val="-17"/>
                <w:sz w:val="36"/>
                <w:szCs w:val="36"/>
              </w:rPr>
              <w:t>）：</w:t>
            </w:r>
          </w:p>
          <w:p>
            <w:pPr>
              <w:spacing w:before="35" w:line="213" w:lineRule="auto"/>
              <w:ind w:left="19"/>
              <w:rPr>
                <w:rFonts w:ascii="SimHei" w:eastAsia="SimHei" w:hAnsi="SimHei" w:cs="SimHei"/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36"/>
                <w:szCs w:val="36"/>
              </w:rPr>
              <w:t>幽径寻芳兰，低拥挤度行业基本面优选</w:t>
            </w:r>
          </w:p>
        </w:tc>
      </w:tr>
      <w:tr>
        <w:tblPrEx>
          <w:tblW w:w="7357" w:type="dxa"/>
          <w:tblInd w:w="1" w:type="dxa"/>
          <w:tblLayout w:type="fixed"/>
        </w:tblPrEx>
        <w:trPr>
          <w:trHeight w:val="12928"/>
        </w:trPr>
        <w:tc>
          <w:tcPr>
            <w:tcW w:w="7357" w:type="dxa"/>
            <w:tcBorders>
              <w:top w:val="single" w:sz="6" w:space="0" w:color="E10000"/>
              <w:bottom w:val="single" w:sz="2" w:space="0" w:color="E10000"/>
            </w:tcBorders>
            <w:vAlign w:val="top"/>
          </w:tcPr>
          <w:p>
            <w:pPr>
              <w:spacing w:before="291" w:line="214" w:lineRule="auto"/>
              <w:ind w:left="6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E10000"/>
                <w:spacing w:val="-2"/>
                <w:sz w:val="21"/>
                <w:szCs w:val="21"/>
              </w:rPr>
              <w:t xml:space="preserve">2023 </w:t>
            </w: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年收益率</w:t>
            </w:r>
            <w:r>
              <w:rPr>
                <w:rFonts w:ascii="SimHei" w:eastAsia="SimHei" w:hAnsi="SimHei" w:cs="SimHei"/>
                <w:color w:val="E10000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E10000"/>
                <w:spacing w:val="-2"/>
                <w:sz w:val="21"/>
                <w:szCs w:val="21"/>
              </w:rPr>
              <w:t>7.80%</w:t>
            </w:r>
            <w:r>
              <w:rPr>
                <w:rFonts w:ascii="Arial" w:eastAsia="Arial" w:hAnsi="Arial" w:cs="Arial"/>
                <w:color w:val="E10000"/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，</w:t>
            </w:r>
            <w:r>
              <w:rPr>
                <w:rFonts w:ascii="Arial" w:eastAsia="Arial" w:hAnsi="Arial" w:cs="Arial"/>
                <w:color w:val="E10000"/>
                <w:spacing w:val="-2"/>
                <w:sz w:val="21"/>
                <w:szCs w:val="21"/>
              </w:rPr>
              <w:t xml:space="preserve">2024 </w:t>
            </w: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年（截至</w:t>
            </w:r>
            <w:r>
              <w:rPr>
                <w:rFonts w:ascii="SimHei" w:eastAsia="SimHei" w:hAnsi="SimHei" w:cs="SimHei"/>
                <w:color w:val="E10000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E10000"/>
                <w:spacing w:val="-2"/>
                <w:sz w:val="21"/>
                <w:szCs w:val="21"/>
              </w:rPr>
              <w:t>1.12</w:t>
            </w:r>
            <w:r>
              <w:rPr>
                <w:rFonts w:ascii="SimHei" w:eastAsia="SimHei" w:hAnsi="SimHei" w:cs="SimHei"/>
                <w:color w:val="E10000"/>
                <w:spacing w:val="-3"/>
                <w:sz w:val="21"/>
                <w:szCs w:val="21"/>
              </w:rPr>
              <w:t>）收益率</w:t>
            </w:r>
            <w:r>
              <w:rPr>
                <w:rFonts w:ascii="SimHei" w:eastAsia="SimHei" w:hAnsi="SimHei" w:cs="SimHei"/>
                <w:color w:val="E10000"/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E10000"/>
                <w:spacing w:val="-3"/>
                <w:sz w:val="21"/>
                <w:szCs w:val="21"/>
              </w:rPr>
              <w:t>0.02%</w:t>
            </w:r>
          </w:p>
          <w:p>
            <w:pPr>
              <w:pStyle w:val="TableText"/>
              <w:spacing w:before="194" w:line="263" w:lineRule="auto"/>
              <w:ind w:left="2" w:firstLine="2"/>
              <w:jc w:val="both"/>
            </w:pPr>
            <w:r>
              <w:rPr>
                <w:spacing w:val="-2"/>
              </w:rPr>
              <w:t>低拥挤度行业精选组合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2023</w:t>
            </w:r>
            <w:r>
              <w:rPr>
                <w:rFonts w:ascii="Arial" w:eastAsia="Arial" w:hAnsi="Arial" w:cs="Arial"/>
                <w:spacing w:val="20"/>
                <w:w w:val="101"/>
              </w:rPr>
              <w:t xml:space="preserve"> </w:t>
            </w:r>
            <w:r>
              <w:rPr>
                <w:spacing w:val="-2"/>
              </w:rPr>
              <w:t>年收益率</w:t>
            </w:r>
            <w:r>
              <w:rPr>
                <w:spacing w:val="2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7.80%</w:t>
            </w:r>
            <w:r>
              <w:rPr>
                <w:spacing w:val="-2"/>
              </w:rPr>
              <w:t>，同期</w:t>
            </w:r>
            <w:r>
              <w:rPr>
                <w:spacing w:val="3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Wind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spacing w:val="-2"/>
              </w:rPr>
              <w:t>偏股混基</w:t>
            </w:r>
            <w:r>
              <w:rPr>
                <w:spacing w:val="-3"/>
              </w:rPr>
              <w:t>指数收益率</w:t>
            </w:r>
            <w:r>
              <w:rPr>
                <w:rFonts w:ascii="Arial" w:eastAsia="Arial" w:hAnsi="Arial" w:cs="Arial"/>
                <w:spacing w:val="-3"/>
              </w:rPr>
              <w:t>-13.52%</w:t>
            </w:r>
            <w:r>
              <w:rPr>
                <w:spacing w:val="-3"/>
              </w:rPr>
              <w:t>，相</w:t>
            </w:r>
            <w:r>
              <w:t xml:space="preserve">   </w:t>
            </w:r>
            <w:r>
              <w:rPr>
                <w:spacing w:val="-5"/>
              </w:rPr>
              <w:t xml:space="preserve">对收益 </w:t>
            </w:r>
            <w:r>
              <w:rPr>
                <w:rFonts w:ascii="Arial" w:eastAsia="Arial" w:hAnsi="Arial" w:cs="Arial"/>
                <w:spacing w:val="-5"/>
              </w:rPr>
              <w:t>21.32%</w:t>
            </w:r>
            <w:r>
              <w:rPr>
                <w:spacing w:val="-5"/>
              </w:rPr>
              <w:t>；</w:t>
            </w:r>
            <w:r>
              <w:rPr>
                <w:rFonts w:ascii="Arial" w:eastAsia="Arial" w:hAnsi="Arial" w:cs="Arial"/>
                <w:spacing w:val="-5"/>
              </w:rPr>
              <w:t xml:space="preserve">2024 </w:t>
            </w:r>
            <w:r>
              <w:rPr>
                <w:spacing w:val="-5"/>
              </w:rPr>
              <w:t>年（截至</w:t>
            </w:r>
            <w:r>
              <w:rPr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</w:rPr>
              <w:t>1.12</w:t>
            </w:r>
            <w:r>
              <w:rPr>
                <w:spacing w:val="-5"/>
              </w:rPr>
              <w:t xml:space="preserve">）收益率 </w:t>
            </w:r>
            <w:r>
              <w:rPr>
                <w:rFonts w:ascii="Arial" w:eastAsia="Arial" w:hAnsi="Arial" w:cs="Arial"/>
                <w:spacing w:val="-5"/>
              </w:rPr>
              <w:t>0.02%</w:t>
            </w:r>
            <w:r>
              <w:rPr>
                <w:spacing w:val="-5"/>
              </w:rPr>
              <w:t xml:space="preserve">，同期 </w:t>
            </w:r>
            <w:r>
              <w:rPr>
                <w:rFonts w:ascii="Arial" w:eastAsia="Arial" w:hAnsi="Arial" w:cs="Arial"/>
                <w:spacing w:val="-5"/>
              </w:rPr>
              <w:t xml:space="preserve">Wind </w:t>
            </w:r>
            <w:r>
              <w:rPr>
                <w:spacing w:val="-5"/>
              </w:rPr>
              <w:t>偏股混基指数收益率</w:t>
            </w:r>
            <w:r>
              <w:rPr>
                <w:rFonts w:ascii="Arial" w:eastAsia="Arial" w:hAnsi="Arial" w:cs="Arial"/>
                <w:spacing w:val="-5"/>
              </w:rPr>
              <w:t>-4.</w:t>
            </w:r>
            <w:r>
              <w:rPr>
                <w:rFonts w:ascii="Arial" w:eastAsia="Arial" w:hAnsi="Arial" w:cs="Arial"/>
                <w:spacing w:val="-6"/>
              </w:rPr>
              <w:t>78%</w:t>
            </w:r>
            <w:r>
              <w:rPr>
                <w:spacing w:val="-6"/>
              </w:rPr>
              <w:t>，</w:t>
            </w:r>
            <w:r>
              <w:t xml:space="preserve"> </w:t>
            </w:r>
            <w:r>
              <w:rPr>
                <w:spacing w:val="-1"/>
              </w:rPr>
              <w:t xml:space="preserve">相对收益 </w:t>
            </w:r>
            <w:r>
              <w:rPr>
                <w:rFonts w:ascii="Arial" w:eastAsia="Arial" w:hAnsi="Arial" w:cs="Arial"/>
                <w:spacing w:val="-1"/>
              </w:rPr>
              <w:t>4.79%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23" w:line="264" w:lineRule="auto"/>
              <w:ind w:left="7" w:right="9" w:firstLine="2"/>
              <w:jc w:val="both"/>
            </w:pP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最近一期选出的行业为公用事业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、社会服务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、家电制造</w:t>
            </w:r>
            <w:r>
              <w:rPr>
                <w:spacing w:val="-1"/>
              </w:rPr>
              <w:t>。公用事业入选</w:t>
            </w:r>
            <w:r>
              <w:rPr>
                <w:spacing w:val="-2"/>
              </w:rPr>
              <w:t>加分项主要是</w:t>
            </w:r>
            <w:r>
              <w:rPr>
                <w:spacing w:val="2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 xml:space="preserve">ROE </w:t>
            </w:r>
            <w:r>
              <w:rPr>
                <w:spacing w:val="-2"/>
              </w:rPr>
              <w:t>和</w:t>
            </w:r>
            <w:r>
              <w:t xml:space="preserve"> </w:t>
            </w:r>
            <w:r>
              <w:rPr>
                <w:spacing w:val="-7"/>
              </w:rPr>
              <w:t>毛利率边际变化，  社会服务加分项是</w:t>
            </w:r>
            <w:r>
              <w:rPr>
                <w:spacing w:val="16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</w:rPr>
              <w:t>R</w:t>
            </w:r>
            <w:r>
              <w:rPr>
                <w:rFonts w:ascii="Arial" w:eastAsia="Arial" w:hAnsi="Arial" w:cs="Arial"/>
                <w:spacing w:val="-8"/>
              </w:rPr>
              <w:t>OE</w:t>
            </w:r>
            <w:r>
              <w:rPr>
                <w:spacing w:val="-8"/>
              </w:rPr>
              <w:t>、毛利率边际变化，以及较好的现金流情况，   家电制</w:t>
            </w:r>
            <w:r>
              <w:t xml:space="preserve"> </w:t>
            </w:r>
            <w:r>
              <w:rPr>
                <w:spacing w:val="-1"/>
              </w:rPr>
              <w:t>造加分项是现金流情况较好和营收增速较好。</w:t>
            </w:r>
          </w:p>
          <w:p>
            <w:pPr>
              <w:spacing w:before="179" w:line="214" w:lineRule="auto"/>
              <w:ind w:left="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3"/>
                <w:sz w:val="21"/>
                <w:szCs w:val="21"/>
              </w:rPr>
              <w:t>风格切换之后，</w:t>
            </w:r>
            <w:r>
              <w:rPr>
                <w:rFonts w:ascii="SimHei" w:eastAsia="SimHei" w:hAnsi="SimHei" w:cs="SimHei"/>
                <w:color w:val="E10000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color w:val="E10000"/>
                <w:spacing w:val="-3"/>
                <w:sz w:val="21"/>
                <w:szCs w:val="21"/>
              </w:rPr>
              <w:t>低拥挤度行业与热门行业、基金指数最终殊途同归</w:t>
            </w:r>
          </w:p>
          <w:p>
            <w:pPr>
              <w:pStyle w:val="TableText"/>
              <w:spacing w:before="193" w:line="277" w:lineRule="auto"/>
              <w:ind w:left="6" w:right="9" w:firstLine="4"/>
              <w:jc w:val="both"/>
            </w:pPr>
            <w:r>
              <w:rPr>
                <w:spacing w:val="-1"/>
              </w:rPr>
              <w:t>我们从涨幅较大、交易热度高、基金持仓重这三方面来设计定量指标区分热门行业与</w:t>
            </w:r>
            <w:r>
              <w:rPr>
                <w:spacing w:val="-2"/>
              </w:rPr>
              <w:t>低拥挤度</w:t>
            </w:r>
            <w:r>
              <w:t xml:space="preserve"> </w:t>
            </w:r>
            <w:r>
              <w:rPr>
                <w:spacing w:val="-4"/>
              </w:rPr>
              <w:t>行业。</w:t>
            </w:r>
            <w:r>
              <w:rPr>
                <w:rFonts w:ascii="Arial" w:eastAsia="Arial" w:hAnsi="Arial" w:cs="Arial"/>
                <w:spacing w:val="-4"/>
              </w:rPr>
              <w:t>2013</w:t>
            </w:r>
            <w:r>
              <w:rPr>
                <w:rFonts w:ascii="Arial" w:eastAsia="Arial" w:hAnsi="Arial" w:cs="Arial"/>
                <w:spacing w:val="59"/>
              </w:rPr>
              <w:t xml:space="preserve"> </w:t>
            </w:r>
            <w:r>
              <w:rPr>
                <w:spacing w:val="-4"/>
              </w:rPr>
              <w:t>年至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</w:rPr>
              <w:t>2016</w:t>
            </w:r>
            <w:r>
              <w:rPr>
                <w:rFonts w:ascii="Arial" w:eastAsia="Arial" w:hAnsi="Arial" w:cs="Arial"/>
                <w:spacing w:val="42"/>
                <w:w w:val="101"/>
              </w:rPr>
              <w:t xml:space="preserve"> </w:t>
            </w:r>
            <w:r>
              <w:rPr>
                <w:spacing w:val="-4"/>
              </w:rPr>
              <w:t>年底，低拥挤度行业累积收益强于热门行业和基金指数；   之后风格切</w:t>
            </w:r>
            <w:r>
              <w:t xml:space="preserve"> </w:t>
            </w:r>
            <w:r>
              <w:rPr>
                <w:spacing w:val="-2"/>
              </w:rPr>
              <w:t>换，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2017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spacing w:val="-2"/>
              </w:rPr>
              <w:t>年的“漂亮</w:t>
            </w:r>
            <w:r>
              <w:rPr>
                <w:spacing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50</w:t>
            </w:r>
            <w:r>
              <w:rPr>
                <w:spacing w:val="-2"/>
              </w:rPr>
              <w:t>”及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2019</w:t>
            </w:r>
            <w:r>
              <w:rPr>
                <w:rFonts w:ascii="Arial" w:eastAsia="Arial" w:hAnsi="Arial" w:cs="Arial"/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年之后的赛道行情，热</w:t>
            </w:r>
            <w:r>
              <w:rPr>
                <w:spacing w:val="-3"/>
              </w:rPr>
              <w:t>门行业和基金指数大幅领先低拥挤</w:t>
            </w:r>
            <w:r>
              <w:t xml:space="preserve"> </w:t>
            </w:r>
            <w:r>
              <w:rPr>
                <w:spacing w:val="-11"/>
              </w:rPr>
              <w:t>行业；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11"/>
              </w:rPr>
              <w:t xml:space="preserve">2022 </w:t>
            </w:r>
            <w:r>
              <w:rPr>
                <w:spacing w:val="-11"/>
              </w:rPr>
              <w:t xml:space="preserve">年至今，  随着市场整体转弱，“抱团”赛道瓦解，   低拥挤行业凭借抗跌属性，   </w:t>
            </w:r>
            <w:r>
              <w:rPr>
                <w:spacing w:val="-12"/>
              </w:rPr>
              <w:t>收益</w:t>
            </w:r>
            <w:r>
              <w:t xml:space="preserve"> </w:t>
            </w:r>
            <w:r>
              <w:rPr>
                <w:spacing w:val="-1"/>
              </w:rPr>
              <w:t>率大幅领先热门行业。</w:t>
            </w:r>
          </w:p>
          <w:p>
            <w:pPr>
              <w:pStyle w:val="TableText"/>
              <w:spacing w:before="226" w:line="263" w:lineRule="auto"/>
              <w:ind w:left="10" w:right="9" w:firstLine="13"/>
              <w:jc w:val="both"/>
            </w:pPr>
            <w:r>
              <w:rPr>
                <w:spacing w:val="-6"/>
              </w:rPr>
              <w:t>因此，</w:t>
            </w:r>
            <w:r>
              <w:rPr>
                <w:spacing w:val="25"/>
                <w:w w:val="102"/>
              </w:rPr>
              <w:t xml:space="preserve"> </w:t>
            </w:r>
            <w:r>
              <w:rPr>
                <w:spacing w:val="-6"/>
              </w:rPr>
              <w:t>从长期年化收益率来说，</w:t>
            </w:r>
            <w:r>
              <w:rPr>
                <w:spacing w:val="14"/>
              </w:rPr>
              <w:t xml:space="preserve">  </w:t>
            </w:r>
            <w:r>
              <w:rPr>
                <w:spacing w:val="-6"/>
              </w:rPr>
              <w:t>低拥挤行业与热门行业并无孰优孰劣之分。热门赛道</w:t>
            </w:r>
            <w:r>
              <w:rPr>
                <w:spacing w:val="-7"/>
              </w:rPr>
              <w:t>由于关注</w:t>
            </w:r>
            <w:r>
              <w:t xml:space="preserve"> </w:t>
            </w:r>
            <w:r>
              <w:rPr>
                <w:spacing w:val="-1"/>
              </w:rPr>
              <w:t>度高，行情的波动较大，更多的需要去博取</w:t>
            </w:r>
            <w:r>
              <w:rPr>
                <w:spacing w:val="5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beta</w:t>
            </w:r>
            <w:r>
              <w:rPr>
                <w:rFonts w:ascii="Arial" w:eastAsia="Arial" w:hAnsi="Arial" w:cs="Arial"/>
                <w:spacing w:val="40"/>
              </w:rPr>
              <w:t xml:space="preserve"> </w:t>
            </w:r>
            <w:r>
              <w:rPr>
                <w:spacing w:val="-1"/>
              </w:rPr>
              <w:t>收益，低拥挤行业中财务基本面有边际变化</w:t>
            </w:r>
            <w:r>
              <w:t xml:space="preserve"> </w:t>
            </w:r>
            <w:r>
              <w:rPr>
                <w:spacing w:val="-1"/>
              </w:rPr>
              <w:t xml:space="preserve">的行业或许更有可能带来不错 </w:t>
            </w:r>
            <w:r>
              <w:rPr>
                <w:rFonts w:ascii="Arial" w:eastAsia="Arial" w:hAnsi="Arial" w:cs="Arial"/>
                <w:spacing w:val="-1"/>
              </w:rPr>
              <w:t xml:space="preserve">alpha </w:t>
            </w:r>
            <w:r>
              <w:rPr>
                <w:spacing w:val="-1"/>
              </w:rPr>
              <w:t>收益。</w:t>
            </w:r>
          </w:p>
          <w:p>
            <w:pPr>
              <w:spacing w:before="180" w:line="222" w:lineRule="auto"/>
              <w:ind w:left="14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z w:val="21"/>
                <w:szCs w:val="21"/>
              </w:rPr>
              <w:t>需重点关注行业的当季营收增速、盈利能力边</w:t>
            </w:r>
            <w:r>
              <w:rPr>
                <w:rFonts w:ascii="SimHei" w:eastAsia="SimHei" w:hAnsi="SimHei" w:cs="SimHei"/>
                <w:color w:val="E10000"/>
                <w:spacing w:val="-1"/>
                <w:sz w:val="21"/>
                <w:szCs w:val="21"/>
              </w:rPr>
              <w:t>际变化和现金流情况</w:t>
            </w:r>
          </w:p>
          <w:p>
            <w:pPr>
              <w:pStyle w:val="TableText"/>
              <w:spacing w:before="183" w:line="247" w:lineRule="auto"/>
              <w:ind w:left="7" w:right="9" w:hanging="1"/>
            </w:pPr>
            <w:r>
              <w:rPr>
                <w:spacing w:val="-4"/>
              </w:rPr>
              <w:t>从行业的成长性、盈利能力、现金流情况等维度，</w:t>
            </w:r>
            <w:r>
              <w:rPr>
                <w:spacing w:val="17"/>
              </w:rPr>
              <w:t xml:space="preserve">  </w:t>
            </w:r>
            <w:r>
              <w:rPr>
                <w:spacing w:val="-4"/>
              </w:rPr>
              <w:t>通过历史复盘的方式筛选在低拥挤度行业中</w:t>
            </w:r>
            <w:r>
              <w:t xml:space="preserve"> </w:t>
            </w:r>
            <w:r>
              <w:rPr>
                <w:spacing w:val="-4"/>
              </w:rPr>
              <w:t>较适用的指标。</w:t>
            </w:r>
          </w:p>
          <w:p>
            <w:pPr>
              <w:pStyle w:val="TableText"/>
              <w:spacing w:before="224" w:line="264" w:lineRule="auto"/>
              <w:ind w:left="9" w:right="9"/>
              <w:jc w:val="both"/>
            </w:pPr>
            <w:r>
              <w:rPr>
                <w:spacing w:val="-7"/>
              </w:rPr>
              <w:t>成长性方面，</w:t>
            </w:r>
            <w:r>
              <w:rPr>
                <w:spacing w:val="16"/>
                <w:w w:val="101"/>
              </w:rPr>
              <w:t xml:space="preserve">  </w:t>
            </w:r>
            <w:r>
              <w:rPr>
                <w:spacing w:val="-7"/>
              </w:rPr>
              <w:t>直接看历史成长性是有效的。也就是说业绩动量，</w:t>
            </w:r>
            <w:r>
              <w:rPr>
                <w:spacing w:val="17"/>
              </w:rPr>
              <w:t xml:space="preserve">  </w:t>
            </w:r>
            <w:r>
              <w:rPr>
                <w:spacing w:val="-7"/>
              </w:rPr>
              <w:t>或者至少历史业</w:t>
            </w:r>
            <w:r>
              <w:rPr>
                <w:spacing w:val="-8"/>
              </w:rPr>
              <w:t>绩带来的股价</w:t>
            </w:r>
            <w:r>
              <w:t xml:space="preserve"> </w:t>
            </w:r>
            <w:r>
              <w:rPr>
                <w:spacing w:val="-4"/>
              </w:rPr>
              <w:t>动量是存在的。具体来说，   单季度同比增速的效果普遍好于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</w:rPr>
              <w:t>TTM</w:t>
            </w:r>
            <w:r>
              <w:rPr>
                <w:rFonts w:ascii="Arial" w:eastAsia="Arial" w:hAnsi="Arial" w:cs="Arial"/>
                <w:spacing w:val="39"/>
                <w:w w:val="101"/>
              </w:rPr>
              <w:t xml:space="preserve"> </w:t>
            </w:r>
            <w:r>
              <w:rPr>
                <w:spacing w:val="-4"/>
              </w:rPr>
              <w:t>同比增速，其中又以单季度</w:t>
            </w:r>
            <w:r>
              <w:t xml:space="preserve"> </w:t>
            </w:r>
            <w:r>
              <w:rPr>
                <w:spacing w:val="-3"/>
              </w:rPr>
              <w:t>营收同比增速最为有效。</w:t>
            </w:r>
          </w:p>
          <w:p>
            <w:pPr>
              <w:pStyle w:val="TableText"/>
              <w:spacing w:before="222" w:line="264" w:lineRule="auto"/>
              <w:ind w:left="8" w:right="9" w:firstLine="1"/>
              <w:jc w:val="both"/>
            </w:pPr>
            <w:r>
              <w:rPr>
                <w:spacing w:val="-9"/>
              </w:rPr>
              <w:t>盈利能力方面，  或因行业</w:t>
            </w:r>
            <w:r>
              <w:rPr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</w:rPr>
              <w:t xml:space="preserve">ROE </w:t>
            </w:r>
            <w:r>
              <w:rPr>
                <w:spacing w:val="-9"/>
              </w:rPr>
              <w:t>是一个慢变量，   高</w:t>
            </w:r>
            <w:r>
              <w:rPr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</w:rPr>
              <w:t>R</w:t>
            </w:r>
            <w:r>
              <w:rPr>
                <w:rFonts w:ascii="Arial" w:eastAsia="Arial" w:hAnsi="Arial" w:cs="Arial"/>
                <w:spacing w:val="-10"/>
              </w:rPr>
              <w:t>OE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spacing w:val="-10"/>
              </w:rPr>
              <w:t>的行业早已被重点关注或持有，  不再是</w:t>
            </w:r>
            <w:r>
              <w:t xml:space="preserve"> </w:t>
            </w:r>
            <w:r>
              <w:rPr>
                <w:spacing w:val="-8"/>
              </w:rPr>
              <w:t>一个边际增量信息，</w:t>
            </w:r>
            <w:r>
              <w:rPr>
                <w:spacing w:val="17"/>
                <w:w w:val="101"/>
              </w:rPr>
              <w:t xml:space="preserve">  </w:t>
            </w:r>
            <w:r>
              <w:rPr>
                <w:spacing w:val="-8"/>
              </w:rPr>
              <w:t>但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</w:rPr>
              <w:t>ROE</w:t>
            </w:r>
            <w:r>
              <w:rPr>
                <w:rFonts w:ascii="Arial" w:eastAsia="Arial" w:hAnsi="Arial" w:cs="Arial"/>
                <w:spacing w:val="11"/>
              </w:rPr>
              <w:t xml:space="preserve"> </w:t>
            </w:r>
            <w:r>
              <w:rPr>
                <w:spacing w:val="-8"/>
              </w:rPr>
              <w:t>的边际变化（</w:t>
            </w:r>
            <w:r>
              <w:rPr>
                <w:rFonts w:ascii="Arial" w:eastAsia="Arial" w:hAnsi="Arial" w:cs="Arial"/>
                <w:spacing w:val="-8"/>
              </w:rPr>
              <w:t>TTM</w:t>
            </w:r>
            <w:r>
              <w:rPr>
                <w:rFonts w:ascii="Arial" w:eastAsia="Arial" w:hAnsi="Arial" w:cs="Arial"/>
                <w:spacing w:val="18"/>
                <w:w w:val="101"/>
              </w:rPr>
              <w:t xml:space="preserve"> </w:t>
            </w:r>
            <w:r>
              <w:rPr>
                <w:spacing w:val="-8"/>
              </w:rPr>
              <w:t>同比变化或单季度同比变化）</w:t>
            </w:r>
            <w:r>
              <w:rPr>
                <w:spacing w:val="14"/>
                <w:w w:val="101"/>
              </w:rPr>
              <w:t xml:space="preserve">  </w:t>
            </w:r>
            <w:r>
              <w:rPr>
                <w:spacing w:val="-8"/>
              </w:rPr>
              <w:t>依旧有效。毛利</w:t>
            </w:r>
            <w:r>
              <w:t xml:space="preserve"> </w:t>
            </w:r>
            <w:r>
              <w:rPr>
                <w:spacing w:val="-1"/>
              </w:rPr>
              <w:t>率、净利率较低的行业收益率更差，有负向</w:t>
            </w:r>
            <w:r>
              <w:rPr>
                <w:spacing w:val="-2"/>
              </w:rPr>
              <w:t>剔除的作用。</w:t>
            </w:r>
          </w:p>
          <w:p>
            <w:pPr>
              <w:pStyle w:val="TableText"/>
              <w:spacing w:before="225" w:line="247" w:lineRule="auto"/>
              <w:ind w:left="13" w:right="13" w:hanging="5"/>
            </w:pPr>
            <w:r>
              <w:rPr>
                <w:spacing w:val="-9"/>
              </w:rPr>
              <w:t>现金流情况方面，   当期值较好的行业有一定的超额收益，</w:t>
            </w:r>
            <w:r>
              <w:rPr>
                <w:spacing w:val="14"/>
              </w:rPr>
              <w:t xml:space="preserve">  </w:t>
            </w:r>
            <w:r>
              <w:rPr>
                <w:spacing w:val="-9"/>
              </w:rPr>
              <w:t>但是看边际变化作</w:t>
            </w:r>
            <w:r>
              <w:rPr>
                <w:spacing w:val="-10"/>
              </w:rPr>
              <w:t>用不大，   这一点与</w:t>
            </w:r>
            <w:r>
              <w:t xml:space="preserve"> </w:t>
            </w:r>
            <w:r>
              <w:rPr>
                <w:rFonts w:ascii="Arial" w:eastAsia="Arial" w:hAnsi="Arial" w:cs="Arial"/>
                <w:spacing w:val="-6"/>
              </w:rPr>
              <w:t xml:space="preserve">ROE </w:t>
            </w:r>
            <w:r>
              <w:rPr>
                <w:spacing w:val="-6"/>
              </w:rPr>
              <w:t>差别较大。</w:t>
            </w:r>
            <w:r>
              <w:rPr>
                <w:spacing w:val="21"/>
              </w:rPr>
              <w:t xml:space="preserve">  </w:t>
            </w:r>
            <w:r>
              <w:rPr>
                <w:rFonts w:ascii="Arial" w:eastAsia="Arial" w:hAnsi="Arial" w:cs="Arial"/>
                <w:spacing w:val="-6"/>
              </w:rPr>
              <w:t>OCF/</w:t>
            </w:r>
            <w:r>
              <w:rPr>
                <w:spacing w:val="-6"/>
              </w:rPr>
              <w:t>净资产边际变差的行业可负向剔除。</w:t>
            </w:r>
          </w:p>
          <w:p>
            <w:pPr>
              <w:pStyle w:val="TableText"/>
              <w:spacing w:before="224" w:line="272" w:lineRule="auto"/>
              <w:ind w:left="8" w:right="9" w:hanging="3"/>
              <w:jc w:val="both"/>
            </w:pPr>
            <w:r>
              <w:rPr>
                <w:spacing w:val="-7"/>
              </w:rPr>
              <w:t>在筛选出有效的单指标之后，</w:t>
            </w:r>
            <w:r>
              <w:rPr>
                <w:spacing w:val="20"/>
              </w:rPr>
              <w:t xml:space="preserve">  </w:t>
            </w:r>
            <w:r>
              <w:rPr>
                <w:spacing w:val="-7"/>
              </w:rPr>
              <w:t>通过打分表的方式计算各行业在基本面上的综合得分，</w:t>
            </w:r>
            <w:r>
              <w:rPr>
                <w:spacing w:val="13"/>
                <w:w w:val="101"/>
              </w:rPr>
              <w:t xml:space="preserve">  </w:t>
            </w:r>
            <w:r>
              <w:rPr>
                <w:spacing w:val="-7"/>
              </w:rPr>
              <w:t>然后排序</w:t>
            </w:r>
            <w:r>
              <w:t xml:space="preserve"> </w:t>
            </w:r>
            <w:r>
              <w:rPr>
                <w:spacing w:val="-2"/>
              </w:rPr>
              <w:t xml:space="preserve">选出基本面得分最高的三个行业。复盘 </w:t>
            </w:r>
            <w:r>
              <w:rPr>
                <w:rFonts w:ascii="Arial" w:eastAsia="Arial" w:hAnsi="Arial" w:cs="Arial"/>
                <w:spacing w:val="-2"/>
              </w:rPr>
              <w:t xml:space="preserve">2012 </w:t>
            </w:r>
            <w:r>
              <w:rPr>
                <w:spacing w:val="-2"/>
              </w:rPr>
              <w:t>年</w:t>
            </w:r>
            <w:r>
              <w:rPr>
                <w:rFonts w:ascii="Arial" w:eastAsia="Arial" w:hAnsi="Arial" w:cs="Arial"/>
                <w:spacing w:val="-2"/>
              </w:rPr>
              <w:t xml:space="preserve">~2022 </w:t>
            </w:r>
            <w:r>
              <w:rPr>
                <w:spacing w:val="-2"/>
              </w:rPr>
              <w:t>年，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 xml:space="preserve">综合得分 </w:t>
            </w:r>
            <w:r>
              <w:rPr>
                <w:rFonts w:ascii="Arial" w:eastAsia="Arial" w:hAnsi="Arial" w:cs="Arial"/>
                <w:spacing w:val="-2"/>
              </w:rPr>
              <w:t xml:space="preserve">TOP3 </w:t>
            </w:r>
            <w:r>
              <w:rPr>
                <w:spacing w:val="-2"/>
              </w:rPr>
              <w:t>行业年化收益率高</w:t>
            </w:r>
            <w:r>
              <w:t xml:space="preserve"> </w:t>
            </w:r>
            <w:r>
              <w:rPr>
                <w:spacing w:val="-3"/>
              </w:rPr>
              <w:t xml:space="preserve">于 </w:t>
            </w:r>
            <w:r>
              <w:rPr>
                <w:rFonts w:ascii="Arial" w:eastAsia="Arial" w:hAnsi="Arial" w:cs="Arial"/>
                <w:spacing w:val="-3"/>
              </w:rPr>
              <w:t xml:space="preserve">Wind </w:t>
            </w:r>
            <w:r>
              <w:rPr>
                <w:spacing w:val="-3"/>
              </w:rPr>
              <w:t>偏股混基指数，</w:t>
            </w:r>
            <w:r>
              <w:rPr>
                <w:spacing w:val="16"/>
              </w:rPr>
              <w:t xml:space="preserve">  </w:t>
            </w:r>
            <w:r>
              <w:rPr>
                <w:spacing w:val="-3"/>
              </w:rPr>
              <w:t>且得分高越高的组收益</w:t>
            </w:r>
            <w:r>
              <w:rPr>
                <w:spacing w:val="-4"/>
              </w:rPr>
              <w:t>率也越高；</w:t>
            </w:r>
            <w:r>
              <w:rPr>
                <w:rFonts w:ascii="Arial" w:eastAsia="Arial" w:hAnsi="Arial" w:cs="Arial"/>
                <w:spacing w:val="-4"/>
              </w:rPr>
              <w:t xml:space="preserve">2023 </w:t>
            </w:r>
            <w:r>
              <w:rPr>
                <w:spacing w:val="-4"/>
              </w:rPr>
              <w:t xml:space="preserve">年及 </w:t>
            </w:r>
            <w:r>
              <w:rPr>
                <w:rFonts w:ascii="Arial" w:eastAsia="Arial" w:hAnsi="Arial" w:cs="Arial"/>
                <w:spacing w:val="-4"/>
              </w:rPr>
              <w:t xml:space="preserve">2024 </w:t>
            </w:r>
            <w:r>
              <w:rPr>
                <w:spacing w:val="-4"/>
              </w:rPr>
              <w:t>年以来的模拟跟踪</w:t>
            </w:r>
            <w:r>
              <w:t xml:space="preserve"> </w:t>
            </w:r>
            <w:r>
              <w:rPr>
                <w:spacing w:val="-2"/>
              </w:rPr>
              <w:t>也呈现出相似规律。</w:t>
            </w:r>
          </w:p>
          <w:p>
            <w:pPr>
              <w:spacing w:before="205" w:line="223" w:lineRule="auto"/>
              <w:ind w:left="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color w:val="E10000"/>
                <w:spacing w:val="-2"/>
                <w:sz w:val="21"/>
                <w:szCs w:val="21"/>
              </w:rPr>
              <w:t>风险提示</w:t>
            </w:r>
          </w:p>
          <w:p>
            <w:pPr>
              <w:pStyle w:val="TableText"/>
              <w:spacing w:before="183" w:line="197" w:lineRule="auto"/>
              <w:ind w:left="19"/>
            </w:pPr>
            <w:r>
              <w:rPr>
                <w:rFonts w:ascii="Arial" w:eastAsia="Arial" w:hAnsi="Arial" w:cs="Arial"/>
                <w:spacing w:val="-2"/>
              </w:rPr>
              <w:t>1</w:t>
            </w:r>
            <w:r>
              <w:rPr>
                <w:spacing w:val="-2"/>
              </w:rPr>
              <w:t>、量化模拟不代表真实收益，历史数据不保证未来</w:t>
            </w:r>
            <w:r>
              <w:rPr>
                <w:spacing w:val="-3"/>
              </w:rPr>
              <w:t>走势；</w:t>
            </w:r>
          </w:p>
          <w:p>
            <w:pPr>
              <w:pStyle w:val="TableText"/>
              <w:spacing w:before="225" w:line="247" w:lineRule="auto"/>
              <w:ind w:left="7" w:right="38" w:hanging="2"/>
            </w:pPr>
            <w:r>
              <w:rPr>
                <w:rFonts w:ascii="Arial" w:eastAsia="Arial" w:hAnsi="Arial" w:cs="Arial"/>
                <w:spacing w:val="-2"/>
              </w:rPr>
              <w:t>2</w:t>
            </w:r>
            <w:r>
              <w:rPr>
                <w:spacing w:val="-2"/>
              </w:rPr>
              <w:t>、模型风险：  热门行业和非热门行业的划分标准的变化、行业分类标准的不同、数据质量和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指标计算方法的差异等待因素或有可能影响最终结论。</w:t>
            </w:r>
          </w:p>
        </w:tc>
      </w:tr>
    </w:tbl>
    <w:p>
      <w:pPr>
        <w:spacing w:before="53" w:line="222" w:lineRule="auto"/>
        <w:ind w:left="1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1"/>
          <w:sz w:val="16"/>
          <w:szCs w:val="16"/>
        </w:rPr>
        <w:t>请阅读最后评级说明和重要声明</w:t>
      </w:r>
    </w:p>
    <w:p>
      <w:pPr>
        <w:pStyle w:val="BodyText"/>
        <w:spacing w:line="14" w:lineRule="auto"/>
        <w:rPr>
          <w:sz w:val="2"/>
        </w:rPr>
        <w:sectPr>
          <w:headerReference w:type="default" r:id="rId15"/>
          <w:footerReference w:type="default" r:id="rId16"/>
          <w:pgSz w:w="11907" w:h="16839"/>
          <w:pgMar w:top="1" w:right="0" w:bottom="1" w:left="850" w:header="0" w:footer="0" w:gutter="0"/>
          <w:pgNumType w:start="7"/>
          <w:cols w:num="2" w:space="708" w:equalWidth="0">
            <w:col w:w="7532" w:space="100"/>
            <w:col w:w="3424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16824" w:lineRule="exact"/>
      </w:pPr>
      <w:r>
        <w:rPr>
          <w:position w:val="-337"/>
        </w:rPr>
        <w:pict>
          <v:group id="_x0000_i1029" style="width:171.2pt;height:841.9pt;mso-position-horizontal-relative:char;mso-position-vertical-relative:line" coordorigin="0,0" coordsize="3423,16838" filled="f" stroked="f">
            <v:rect id="_x0000_s1030" style="width:3423;height:16836;position:absolute" filled="t" fillcolor="#f2f2f2" stroked="f"/>
            <v:shape id="_x0000_s1031" type="#_x0000_t202" style="width:2861;height:12433;left:278;position:absolute;top:3301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23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color w:val="0D0D0D"/>
                        <w:spacing w:val="-1"/>
                        <w:sz w:val="15"/>
                        <w:szCs w:val="15"/>
                        <w14:textOutline w14:w="2743">
                          <w14:solidFill>
                            <w14:srgbClr w14:val="0D0D0D"/>
                          </w14:solidFill>
                          <w14:prstDash w14:val="solid"/>
                          <w14:miter w14:lim="10"/>
                        </w14:textOutline>
                      </w:rPr>
                      <w:t>相关研究</w:t>
                    </w:r>
                  </w:p>
                  <w:p>
                    <w:pPr>
                      <w:spacing w:before="218" w:line="329" w:lineRule="exact"/>
                      <w:ind w:left="23"/>
                      <w:rPr>
                        <w:rFonts w:ascii="SimHei" w:eastAsia="SimHei" w:hAnsi="SimHei" w:cs="SimHei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1"/>
                        <w:position w:val="15"/>
                        <w:sz w:val="12"/>
                        <w:szCs w:val="12"/>
                      </w:rPr>
                      <w:t>•</w:t>
                    </w:r>
                    <w:r>
                      <w:rPr>
                        <w:rFonts w:ascii="Arial" w:eastAsia="Arial" w:hAnsi="Arial" w:cs="Arial"/>
                        <w:spacing w:val="-14"/>
                        <w:position w:val="1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1"/>
                        <w:position w:val="15"/>
                        <w:sz w:val="12"/>
                        <w:szCs w:val="12"/>
                      </w:rPr>
                      <w:t>《高频因子（十四</w:t>
                    </w:r>
                    <w:r>
                      <w:rPr>
                        <w:rFonts w:ascii="SimHei" w:eastAsia="SimHei" w:hAnsi="SimHei" w:cs="SimHei"/>
                        <w:spacing w:val="-14"/>
                        <w:position w:val="15"/>
                        <w:sz w:val="12"/>
                        <w:szCs w:val="12"/>
                      </w:rPr>
                      <w:t>）：</w:t>
                    </w:r>
                    <w:r>
                      <w:rPr>
                        <w:rFonts w:ascii="SimHei" w:eastAsia="SimHei" w:hAnsi="SimHei" w:cs="SimHei"/>
                        <w:spacing w:val="1"/>
                        <w:position w:val="15"/>
                        <w:sz w:val="12"/>
                        <w:szCs w:val="12"/>
                      </w:rPr>
                      <w:t>交易行情高频因子收益来源》</w:t>
                    </w:r>
                  </w:p>
                  <w:p>
                    <w:pPr>
                      <w:spacing w:line="208" w:lineRule="auto"/>
                      <w:ind w:left="20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4"/>
                        <w:sz w:val="12"/>
                        <w:szCs w:val="12"/>
                      </w:rPr>
                      <w:t>2024-01-01</w:t>
                    </w:r>
                  </w:p>
                  <w:p>
                    <w:pPr>
                      <w:spacing w:before="175" w:line="312" w:lineRule="exact"/>
                      <w:ind w:left="23"/>
                      <w:rPr>
                        <w:rFonts w:ascii="SimHei" w:eastAsia="SimHei" w:hAnsi="SimHei" w:cs="SimHei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5"/>
                        <w:position w:val="14"/>
                        <w:sz w:val="12"/>
                        <w:szCs w:val="12"/>
                      </w:rPr>
                      <w:t>•</w:t>
                    </w:r>
                    <w:r>
                      <w:rPr>
                        <w:rFonts w:ascii="Arial" w:eastAsia="Arial" w:hAnsi="Arial" w:cs="Arial"/>
                        <w:spacing w:val="39"/>
                        <w:position w:val="14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5"/>
                        <w:position w:val="14"/>
                        <w:sz w:val="12"/>
                        <w:szCs w:val="12"/>
                      </w:rPr>
                      <w:t>《风格切换需要什么条件</w:t>
                    </w:r>
                    <w:r>
                      <w:rPr>
                        <w:rFonts w:ascii="Arial" w:eastAsia="Arial" w:hAnsi="Arial" w:cs="Arial"/>
                        <w:spacing w:val="5"/>
                        <w:position w:val="14"/>
                        <w:sz w:val="12"/>
                        <w:szCs w:val="12"/>
                      </w:rPr>
                      <w:t>——</w:t>
                    </w:r>
                    <w:r>
                      <w:rPr>
                        <w:rFonts w:ascii="SimHei" w:eastAsia="SimHei" w:hAnsi="SimHei" w:cs="SimHei"/>
                        <w:spacing w:val="5"/>
                        <w:position w:val="14"/>
                        <w:sz w:val="12"/>
                        <w:szCs w:val="12"/>
                      </w:rPr>
                      <w:t>金融工程</w:t>
                    </w:r>
                    <w:r>
                      <w:rPr>
                        <w:rFonts w:ascii="SimHei" w:eastAsia="SimHei" w:hAnsi="SimHei" w:cs="SimHei"/>
                        <w:spacing w:val="-11"/>
                        <w:position w:val="14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5"/>
                        <w:position w:val="14"/>
                        <w:sz w:val="12"/>
                        <w:szCs w:val="12"/>
                      </w:rPr>
                      <w:t>2024</w:t>
                    </w:r>
                    <w:r>
                      <w:rPr>
                        <w:rFonts w:ascii="Arial" w:eastAsia="Arial" w:hAnsi="Arial" w:cs="Arial"/>
                        <w:spacing w:val="18"/>
                        <w:w w:val="102"/>
                        <w:position w:val="14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5"/>
                        <w:position w:val="14"/>
                        <w:sz w:val="12"/>
                        <w:szCs w:val="12"/>
                      </w:rPr>
                      <w:t>年</w:t>
                    </w:r>
                  </w:p>
                  <w:p>
                    <w:pPr>
                      <w:spacing w:line="236" w:lineRule="auto"/>
                      <w:ind w:left="21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SimHei" w:eastAsia="SimHei" w:hAnsi="SimHei" w:cs="SimHei"/>
                        <w:spacing w:val="6"/>
                        <w:sz w:val="12"/>
                        <w:szCs w:val="12"/>
                      </w:rPr>
                      <w:t>度投资策略》</w:t>
                    </w:r>
                    <w:r>
                      <w:rPr>
                        <w:rFonts w:ascii="Arial" w:eastAsia="Arial" w:hAnsi="Arial" w:cs="Arial"/>
                        <w:spacing w:val="6"/>
                        <w:sz w:val="12"/>
                        <w:szCs w:val="12"/>
                      </w:rPr>
                      <w:t>2023-12-25</w:t>
                    </w:r>
                  </w:p>
                  <w:p>
                    <w:pPr>
                      <w:spacing w:before="158" w:line="312" w:lineRule="exact"/>
                      <w:ind w:left="23"/>
                      <w:rPr>
                        <w:rFonts w:ascii="SimHei" w:eastAsia="SimHei" w:hAnsi="SimHei" w:cs="SimHei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spacing w:val="2"/>
                        <w:position w:val="14"/>
                        <w:sz w:val="12"/>
                        <w:szCs w:val="12"/>
                      </w:rPr>
                      <w:t xml:space="preserve">• </w:t>
                    </w:r>
                    <w:r>
                      <w:rPr>
                        <w:rFonts w:ascii="SimHei" w:eastAsia="SimHei" w:hAnsi="SimHei" w:cs="SimHei"/>
                        <w:spacing w:val="2"/>
                        <w:position w:val="14"/>
                        <w:sz w:val="12"/>
                        <w:szCs w:val="12"/>
                      </w:rPr>
                      <w:t>《量化角度看可转债（七</w:t>
                    </w:r>
                    <w:r>
                      <w:rPr>
                        <w:rFonts w:ascii="SimHei" w:eastAsia="SimHei" w:hAnsi="SimHei" w:cs="SimHei"/>
                        <w:spacing w:val="-4"/>
                        <w:position w:val="14"/>
                        <w:sz w:val="12"/>
                        <w:szCs w:val="12"/>
                      </w:rPr>
                      <w:t>）：</w:t>
                    </w:r>
                    <w:r>
                      <w:rPr>
                        <w:rFonts w:ascii="SimHei" w:eastAsia="SimHei" w:hAnsi="SimHei" w:cs="SimHei"/>
                        <w:spacing w:val="2"/>
                        <w:position w:val="14"/>
                        <w:sz w:val="12"/>
                        <w:szCs w:val="12"/>
                      </w:rPr>
                      <w:t>转债冲击成本与高频</w:t>
                    </w:r>
                  </w:p>
                  <w:p>
                    <w:pPr>
                      <w:spacing w:line="236" w:lineRule="auto"/>
                      <w:ind w:left="29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SimHei" w:eastAsia="SimHei" w:hAnsi="SimHei" w:cs="SimHei"/>
                        <w:spacing w:val="5"/>
                        <w:sz w:val="12"/>
                        <w:szCs w:val="12"/>
                      </w:rPr>
                      <w:t>因子》</w:t>
                    </w:r>
                    <w:r>
                      <w:rPr>
                        <w:rFonts w:ascii="Arial" w:eastAsia="Arial" w:hAnsi="Arial" w:cs="Arial"/>
                        <w:spacing w:val="5"/>
                        <w:sz w:val="12"/>
                        <w:szCs w:val="12"/>
                      </w:rPr>
                      <w:t>2023-12-13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" w:line="1499" w:lineRule="exact"/>
                      <w:ind w:firstLine="641"/>
                    </w:pPr>
                    <w:r>
                      <w:rPr>
                        <w:position w:val="-29"/>
                      </w:rPr>
                      <w:drawing>
                        <wp:inline distT="0" distB="0" distL="0" distR="0">
                          <wp:extent cx="952385" cy="951863"/>
                          <wp:effectExtent l="0" t="0" r="0" b="0"/>
                          <wp:docPr id="12" name="IM 1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" name="IM 1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52385" cy="95186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67" w:line="241" w:lineRule="auto"/>
                      <w:ind w:left="772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18"/>
                        <w:szCs w:val="18"/>
                      </w:rPr>
                      <w:t>更多研报请访问</w:t>
                    </w:r>
                  </w:p>
                  <w:p>
                    <w:pPr>
                      <w:spacing w:line="221" w:lineRule="auto"/>
                      <w:ind w:left="773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18"/>
                        <w:szCs w:val="18"/>
                      </w:rPr>
                      <w:t>长江研究小程序</w:t>
                    </w:r>
                  </w:p>
                </w:txbxContent>
              </v:textbox>
            </v:shape>
            <v:rect id="_x0000_s1032" style="width:3417;height:2948;left:4;position:absolute" filled="t" fillcolor="#e10000" stroked="f"/>
            <v:shape id="_x0000_s1033" type="#_x0000_t202" style="width:1828;height:765;left:1259;position:absolute;top:1468" filled="f" stroked="f">
              <o:lock v:ext="edit" aspectratio="f"/>
              <v:textbox inset="0,0,0,0">
                <w:txbxContent>
                  <w:p>
                    <w:pPr>
                      <w:spacing w:before="20" w:line="522" w:lineRule="exact"/>
                      <w:ind w:right="24"/>
                      <w:jc w:val="right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1"/>
                        <w:position w:val="27"/>
                        <w:sz w:val="20"/>
                        <w:szCs w:val="20"/>
                      </w:rPr>
                      <w:t>2024-01-20</w:t>
                    </w:r>
                  </w:p>
                  <w:p>
                    <w:pPr>
                      <w:spacing w:line="230" w:lineRule="auto"/>
                      <w:ind w:left="20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8"/>
                        <w:sz w:val="19"/>
                        <w:szCs w:val="19"/>
                      </w:rPr>
                      <w:t>金融工程丨深度报告</w:t>
                    </w:r>
                  </w:p>
                </w:txbxContent>
              </v:textbox>
            </v:shape>
            <v:shape id="_x0000_s1034" type="#_x0000_t202" style="width:1400;height:222;left:1751;position:absolute;top:977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SimHei" w:eastAsia="SimHei" w:hAnsi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9"/>
                        <w:sz w:val="18"/>
                        <w:szCs w:val="18"/>
                      </w:rPr>
                      <w:t>丨证券研究报告丨</w:t>
                    </w:r>
                  </w:p>
                </w:txbxContent>
              </v:textbox>
            </v:shape>
            <v:rect id="_x0000_s1035" style="width:2777;height:20;left:294;position:absolute;top:1303" filled="t" fillcolor="white" stroked="f"/>
            <v:shape id="_x0000_s1036" style="width:2775;height:10;left:294;position:absolute;top:3597" coordorigin="0,0" coordsize="2775,10" path="m,9l2774,9l2774,l,l,9xe" filled="t" fillcolor="#595959" stroked="f"/>
            <w10:wrap type="none"/>
          </v:group>
        </w:pict>
      </w:r>
    </w:p>
    <w:p>
      <w:pPr>
        <w:spacing w:line="16824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https://d.book118.com/398013001017006031</w:t>
        </w:r>
      </w:hyperlink>
    </w:p>
    <w:p>
      <w:pPr>
        <w:spacing w:line="16824" w:lineRule="exact"/>
      </w:pPr>
    </w:p>
    <w:sectPr>
      <w:headerReference w:type="default" r:id="rId19"/>
      <w:footerReference w:type="default" r:id="rId20"/>
      <w:type w:val="nextPage"/>
      <w:pgSz w:w="11907" w:h="16839"/>
      <w:pgMar w:top="1" w:right="0" w:bottom="1" w:left="850" w:header="0" w:footer="0" w:gutter="0"/>
      <w:pgNumType w:start="8"/>
      <w:cols w:num="2" w:space="708" w:equalWidth="0">
        <w:col w:w="7532" w:space="100"/>
        <w:col w:w="3424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109315831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315831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502807630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2807630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1541876650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1876650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1494"/>
          <wp:effectExtent l="0" t="0" r="0" b="0"/>
          <wp:wrapNone/>
          <wp:docPr id="18042513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42513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14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TXihei" w:eastAsia="STXihei" w:hAnsi="STXihei" w:cs="STXi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image" Target="media/image5.png" /><Relationship Id="rId13" Type="http://schemas.openxmlformats.org/officeDocument/2006/relationships/header" Target="header7.xml" /><Relationship Id="rId14" Type="http://schemas.openxmlformats.org/officeDocument/2006/relationships/footer" Target="footer1.xml" /><Relationship Id="rId15" Type="http://schemas.openxmlformats.org/officeDocument/2006/relationships/header" Target="header8.xml" /><Relationship Id="rId16" Type="http://schemas.openxmlformats.org/officeDocument/2006/relationships/footer" Target="footer2.xml" /><Relationship Id="rId17" Type="http://schemas.openxmlformats.org/officeDocument/2006/relationships/image" Target="media/image6.png" /><Relationship Id="rId18" Type="http://schemas.openxmlformats.org/officeDocument/2006/relationships/hyperlink" Target="https://d.book118.com/398013001017006031" TargetMode="Externa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header" Target="header3.xml" /><Relationship Id="rId8" Type="http://schemas.openxmlformats.org/officeDocument/2006/relationships/image" Target="media/image4.png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长江证券-行业轮动(九)：幽径寻芳兰，低拥挤度行业基本面优选-240120.pdf</dc:title>
  <cp:revision>0</cp:revision>
  <dcterms:created xsi:type="dcterms:W3CDTF">2024-01-25T09:19:41Z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2024-01-25T09:29:20Z</vt:filetime>
  </property>
  <property fmtid="{D5CDD505-2E9C-101B-9397-08002B2CF9AE}" pid="3" name="CRO">
    <vt:lpwstr>wqlLaW5nc29mdCBQREYgdG8gV1BTIDkw</vt:lpwstr>
  </property>
</Properties>
</file>