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312" w:lineRule="exact"/>
        <w:ind w:left="13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65.0</w:t>
      </w:r>
      <w:r>
        <w:rPr>
          <w:rFonts w:ascii="SimHei" w:eastAsia="SimHei" w:hAnsi="SimHei" w:cs="SimHei"/>
          <w:position w:val="10"/>
          <w:sz w:val="21"/>
          <w:szCs w:val="21"/>
        </w:rPr>
        <w:t>20.99</w:t>
      </w:r>
    </w:p>
    <w:p>
      <w:pPr>
        <w:spacing w:line="185" w:lineRule="auto"/>
        <w:ind w:left="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B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</w:p>
    <w:p>
      <w:pPr>
        <w:spacing w:before="69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备案号：37412</w:t>
      </w:r>
      <w:r>
        <w:rPr>
          <w:rFonts w:ascii="SimHei" w:eastAsia="SimHei" w:hAnsi="SimHei" w:cs="SimHei"/>
          <w:sz w:val="21"/>
          <w:szCs w:val="21"/>
        </w:rPr>
        <w:t>-2013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276" w:line="186" w:lineRule="auto"/>
        <w:ind w:left="203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4"/>
          <w:sz w:val="96"/>
          <w:szCs w:val="96"/>
        </w:rPr>
        <w:t>63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20" w:line="194" w:lineRule="auto"/>
        <w:ind w:left="48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1202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sz w:val="27"/>
          <w:szCs w:val="27"/>
        </w:rPr>
        <w:t>2013</w:t>
      </w:r>
    </w:p>
    <w:p>
      <w:pPr>
        <w:sectPr>
          <w:pgSz w:w="11905" w:h="16840"/>
          <w:pgMar w:top="516" w:right="768" w:bottom="0" w:left="1409" w:header="0" w:footer="0" w:gutter="0"/>
          <w:cols w:num="3" w:space="708" w:equalWidth="0">
            <w:col w:w="4549" w:space="100"/>
            <w:col w:w="1448" w:space="100"/>
            <w:col w:w="3531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5" w:line="224" w:lineRule="auto"/>
        <w:ind w:left="685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0"/>
          <w:sz w:val="51"/>
          <w:szCs w:val="51"/>
        </w:rPr>
        <w:t>明</w:t>
      </w:r>
      <w:r>
        <w:rPr>
          <w:rFonts w:ascii="SimHei" w:eastAsia="SimHei" w:hAnsi="SimHei" w:cs="SimHei"/>
          <w:spacing w:val="7"/>
          <w:sz w:val="51"/>
          <w:szCs w:val="51"/>
        </w:rPr>
        <w:t>亮长脚金龟子综合防治技术规程</w:t>
      </w:r>
    </w:p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6" w:right="768" w:bottom="0" w:left="1409" w:header="0" w:footer="0" w:gutter="0"/>
          <w:pgNumType w:start="2"/>
          <w:cols w:num="1" w:space="708" w:equalWidth="0">
            <w:col w:w="9727" w:space="0"/>
          </w:cols>
        </w:sectPr>
      </w:pPr>
    </w:p>
    <w:p/>
    <w:p/>
    <w:p/>
    <w:p/>
    <w:p/>
    <w:p/>
    <w:p/>
    <w:p/>
    <w:p/>
    <w:p/>
    <w:p/>
    <w:p>
      <w:pPr>
        <w:spacing w:line="14" w:lineRule="exact"/>
      </w:pPr>
    </w:p>
    <w:p>
      <w:pPr>
        <w:sectPr>
          <w:type w:val="nextPage"/>
          <w:pgSz w:w="11905" w:h="16840"/>
          <w:pgMar w:top="516" w:right="768" w:bottom="0" w:left="1409" w:header="0" w:footer="0" w:gutter="0"/>
          <w:pgNumType w:start="3"/>
          <w:cols w:num="1" w:space="708" w:equalWidth="0">
            <w:col w:w="9727" w:space="0"/>
          </w:cols>
          <w:titlePg w:val="0"/>
        </w:sectPr>
      </w:pPr>
    </w:p>
    <w:p>
      <w:pPr>
        <w:spacing w:before="57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6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04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6" w:right="768" w:bottom="0" w:left="1409" w:header="0" w:footer="0" w:gutter="0"/>
          <w:pgNumType w:start="4"/>
          <w:cols w:num="2" w:space="708" w:equalWidth="0">
            <w:col w:w="7275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9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6" w:right="768" w:bottom="0" w:left="1409" w:header="0" w:footer="0" w:gutter="0"/>
          <w:pgNumType w:start="5"/>
          <w:cols w:num="1" w:space="708" w:equalWidth="0">
            <w:col w:w="9727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1202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403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本规程的编写符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合GB/T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1.1—2009给出的规则。</w:t>
      </w:r>
    </w:p>
    <w:p>
      <w:pPr>
        <w:spacing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本规程</w:t>
      </w:r>
      <w:r>
        <w:rPr>
          <w:rFonts w:ascii="SimSun" w:eastAsia="SimSun" w:hAnsi="SimSun" w:cs="SimSun"/>
          <w:spacing w:val="-3"/>
          <w:sz w:val="21"/>
          <w:szCs w:val="21"/>
        </w:rPr>
        <w:t>由</w:t>
      </w:r>
      <w:r>
        <w:rPr>
          <w:rFonts w:ascii="SimSun" w:eastAsia="SimSun" w:hAnsi="SimSun" w:cs="SimSun"/>
          <w:spacing w:val="-2"/>
          <w:sz w:val="21"/>
          <w:szCs w:val="21"/>
        </w:rPr>
        <w:t>青海省林业厅归口管理。</w:t>
      </w:r>
    </w:p>
    <w:p>
      <w:pPr>
        <w:spacing w:before="62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本规程由青海省森林病虫害防治检疫</w:t>
      </w:r>
      <w:r>
        <w:rPr>
          <w:rFonts w:ascii="SimSun" w:eastAsia="SimSun" w:hAnsi="SimSun" w:cs="SimSun"/>
          <w:spacing w:val="-1"/>
          <w:sz w:val="21"/>
          <w:szCs w:val="21"/>
        </w:rPr>
        <w:t>总站提出。</w:t>
      </w:r>
    </w:p>
    <w:p>
      <w:pPr>
        <w:spacing w:before="61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本规程起草单位：青海省森林病</w:t>
      </w:r>
      <w:r>
        <w:rPr>
          <w:rFonts w:ascii="SimSun" w:eastAsia="SimSun" w:hAnsi="SimSun" w:cs="SimSun"/>
          <w:spacing w:val="-1"/>
          <w:sz w:val="21"/>
          <w:szCs w:val="21"/>
        </w:rPr>
        <w:t>虫害防治检疫总站。</w:t>
      </w:r>
    </w:p>
    <w:p>
      <w:pPr>
        <w:spacing w:before="63" w:line="287" w:lineRule="auto"/>
        <w:ind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本规程主要起草人</w:t>
      </w:r>
      <w:r>
        <w:rPr>
          <w:rFonts w:ascii="SimSun" w:eastAsia="SimSun" w:hAnsi="SimSun" w:cs="SimSun"/>
          <w:spacing w:val="-7"/>
          <w:sz w:val="21"/>
          <w:szCs w:val="21"/>
        </w:rPr>
        <w:t>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杨启青、才让旦周、李萍、周卫芬、马建海、王晓婷、孙万桂、才让端智、李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积</w:t>
      </w:r>
      <w:r>
        <w:rPr>
          <w:rFonts w:ascii="SimSun" w:eastAsia="SimSun" w:hAnsi="SimSun" w:cs="SimSun"/>
          <w:spacing w:val="-5"/>
          <w:sz w:val="21"/>
          <w:szCs w:val="21"/>
        </w:rPr>
        <w:t>闰</w:t>
      </w:r>
      <w:r>
        <w:rPr>
          <w:rFonts w:ascii="SimSun" w:eastAsia="SimSun" w:hAnsi="SimSun" w:cs="SimSun"/>
          <w:spacing w:val="-3"/>
          <w:sz w:val="21"/>
          <w:szCs w:val="21"/>
        </w:rPr>
        <w:t>、马万军、王锐。</w:t>
      </w:r>
    </w:p>
    <w:p>
      <w:pPr>
        <w:sectPr>
          <w:pgSz w:w="11905" w:h="16840"/>
          <w:pgMar w:top="1406" w:right="1132" w:bottom="0" w:left="1426" w:header="0" w:footer="0" w:gutter="0"/>
          <w:pgNumType w:start="6"/>
          <w:cols w:space="708"/>
        </w:sectPr>
      </w:pPr>
    </w:p>
    <w:p>
      <w:pPr>
        <w:spacing w:before="42" w:line="236" w:lineRule="auto"/>
        <w:ind w:right="7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1202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2297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2"/>
          <w:sz w:val="32"/>
          <w:szCs w:val="32"/>
        </w:rPr>
        <w:t>明亮长脚金龟子综合</w:t>
      </w:r>
      <w:r>
        <w:rPr>
          <w:rFonts w:ascii="SimHei" w:eastAsia="SimHei" w:hAnsi="SimHei" w:cs="SimHei"/>
          <w:spacing w:val="-1"/>
          <w:sz w:val="32"/>
          <w:szCs w:val="32"/>
        </w:rPr>
        <w:t>防治技术规程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74" w:lineRule="auto"/>
        <w:ind w:left="14" w:right="1" w:firstLine="40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</w:t>
      </w:r>
      <w:r>
        <w:rPr>
          <w:rFonts w:ascii="SimSun" w:eastAsia="SimSun" w:hAnsi="SimSun" w:cs="SimSun"/>
          <w:spacing w:val="-3"/>
          <w:sz w:val="21"/>
          <w:szCs w:val="21"/>
        </w:rPr>
        <w:t>规程规定了明亮长脚金龟子虫情监测调查、预测预报、发生(危害)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程度和成灾标准、防控对策、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防</w:t>
      </w:r>
      <w:r>
        <w:rPr>
          <w:rFonts w:ascii="SimSun" w:eastAsia="SimSun" w:hAnsi="SimSun" w:cs="SimSun"/>
          <w:spacing w:val="-2"/>
          <w:sz w:val="21"/>
          <w:szCs w:val="21"/>
        </w:rPr>
        <w:t>治技术措施、防治效果检查等综合防治技术和方法。</w:t>
      </w:r>
    </w:p>
    <w:p>
      <w:pPr>
        <w:spacing w:line="219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本规程适用于对明亮长脚金龟子</w:t>
      </w:r>
      <w:r>
        <w:rPr>
          <w:rFonts w:ascii="SimSun" w:eastAsia="SimSun" w:hAnsi="SimSun" w:cs="SimSun"/>
          <w:spacing w:val="-1"/>
          <w:sz w:val="21"/>
          <w:szCs w:val="21"/>
        </w:rPr>
        <w:t>的监测和综合防治。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术语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68" w:line="18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.1</w:t>
      </w:r>
    </w:p>
    <w:p>
      <w:pPr>
        <w:spacing w:before="223" w:line="221" w:lineRule="auto"/>
        <w:ind w:left="43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明</w:t>
      </w:r>
      <w:r>
        <w:rPr>
          <w:rFonts w:ascii="SimHei" w:eastAsia="SimHei" w:hAnsi="SimHei" w:cs="SimHei"/>
          <w:spacing w:val="-2"/>
          <w:sz w:val="21"/>
          <w:szCs w:val="21"/>
        </w:rPr>
        <w:t>亮长脚金龟子</w:t>
      </w:r>
    </w:p>
    <w:p>
      <w:pPr>
        <w:spacing w:before="215" w:line="412" w:lineRule="auto"/>
        <w:ind w:firstLine="423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主</w:t>
      </w:r>
      <w:r>
        <w:rPr>
          <w:rFonts w:ascii="SimSun" w:eastAsia="SimSun" w:hAnsi="SimSun" w:cs="SimSun"/>
          <w:spacing w:val="-5"/>
          <w:sz w:val="21"/>
          <w:szCs w:val="21"/>
        </w:rPr>
        <w:t>要</w:t>
      </w:r>
      <w:r>
        <w:rPr>
          <w:rFonts w:ascii="SimSun" w:eastAsia="SimSun" w:hAnsi="SimSun" w:cs="SimSun"/>
          <w:spacing w:val="-3"/>
          <w:sz w:val="21"/>
          <w:szCs w:val="21"/>
        </w:rPr>
        <w:t>发生在青海湖流域荒漠灌木林内的一种地下害虫。其生物学特性、生活史及形态特征见附录A。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.2</w:t>
      </w:r>
    </w:p>
    <w:p>
      <w:pPr>
        <w:spacing w:before="1" w:line="223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监测</w:t>
      </w:r>
    </w:p>
    <w:p>
      <w:pPr>
        <w:spacing w:before="213" w:line="412" w:lineRule="auto"/>
        <w:ind w:firstLine="420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在生物</w:t>
      </w:r>
      <w:r>
        <w:rPr>
          <w:rFonts w:ascii="SimSun" w:eastAsia="SimSun" w:hAnsi="SimSun" w:cs="SimSun"/>
          <w:spacing w:val="-17"/>
          <w:sz w:val="21"/>
          <w:szCs w:val="21"/>
        </w:rPr>
        <w:t>学</w:t>
      </w:r>
      <w:r>
        <w:rPr>
          <w:rFonts w:ascii="SimSun" w:eastAsia="SimSun" w:hAnsi="SimSun" w:cs="SimSun"/>
          <w:spacing w:val="-9"/>
          <w:sz w:val="21"/>
          <w:szCs w:val="21"/>
        </w:rPr>
        <w:t>、生态学基础上，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运用先进技术手段和科学调查方法，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观察明亮长脚金龟子种群动态规律。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.3</w:t>
      </w:r>
    </w:p>
    <w:p>
      <w:pPr>
        <w:spacing w:line="221" w:lineRule="auto"/>
        <w:ind w:left="4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诱</w:t>
      </w:r>
      <w:r>
        <w:rPr>
          <w:rFonts w:ascii="SimHei" w:eastAsia="SimHei" w:hAnsi="SimHei" w:cs="SimHei"/>
          <w:spacing w:val="-2"/>
          <w:sz w:val="21"/>
          <w:szCs w:val="21"/>
        </w:rPr>
        <w:t>捕器</w:t>
      </w:r>
    </w:p>
    <w:p>
      <w:pPr>
        <w:spacing w:before="217" w:line="498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用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来引诱和捕获昆虫的黑色漏斗形器具。</w:t>
      </w:r>
    </w:p>
    <w:p>
      <w:pPr>
        <w:spacing w:before="1" w:line="188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.4</w:t>
      </w:r>
    </w:p>
    <w:p>
      <w:pPr>
        <w:spacing w:before="222" w:line="222" w:lineRule="auto"/>
        <w:ind w:left="43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阻</w:t>
      </w:r>
      <w:r>
        <w:rPr>
          <w:rFonts w:ascii="SimHei" w:eastAsia="SimHei" w:hAnsi="SimHei" w:cs="SimHei"/>
          <w:spacing w:val="-2"/>
          <w:sz w:val="21"/>
          <w:szCs w:val="21"/>
        </w:rPr>
        <w:t>隔式色诱技术</w:t>
      </w:r>
    </w:p>
    <w:p>
      <w:pPr>
        <w:spacing w:before="217" w:line="282" w:lineRule="auto"/>
        <w:ind w:right="74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利</w:t>
      </w:r>
      <w:r>
        <w:rPr>
          <w:rFonts w:ascii="SimSun" w:eastAsia="SimSun" w:hAnsi="SimSun" w:cs="SimSun"/>
          <w:spacing w:val="-7"/>
          <w:sz w:val="21"/>
          <w:szCs w:val="21"/>
        </w:rPr>
        <w:t>用明亮长脚金龟子的繁殖、生活习性和活动规律，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在该害虫的活动范围内设置黄色诱捕器，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当害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虫活动</w:t>
      </w:r>
      <w:r>
        <w:rPr>
          <w:rFonts w:ascii="SimSun" w:eastAsia="SimSun" w:hAnsi="SimSun" w:cs="SimSun"/>
          <w:spacing w:val="-14"/>
          <w:sz w:val="21"/>
          <w:szCs w:val="21"/>
        </w:rPr>
        <w:t>时</w:t>
      </w:r>
      <w:r>
        <w:rPr>
          <w:rFonts w:ascii="SimSun" w:eastAsia="SimSun" w:hAnsi="SimSun" w:cs="SimSun"/>
          <w:spacing w:val="-10"/>
          <w:sz w:val="21"/>
          <w:szCs w:val="21"/>
        </w:rPr>
        <w:t>，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受到黄色诱捕器引诱，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在接触诱捕器阻隔后，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沿着阻隔物边缘移动将其诱导入陷阱当中，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撞击支撑板后滑落到诱捕器下部的集虫袋内，起到阻隔其飞翔并杀死害虫的防治技</w:t>
      </w:r>
      <w:r>
        <w:rPr>
          <w:rFonts w:ascii="SimSun" w:eastAsia="SimSun" w:hAnsi="SimSun" w:cs="SimSun"/>
          <w:sz w:val="21"/>
          <w:szCs w:val="21"/>
        </w:rPr>
        <w:t>术。</w:t>
      </w:r>
    </w:p>
    <w:p>
      <w:pPr>
        <w:spacing w:before="160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.5</w:t>
      </w:r>
    </w:p>
    <w:p>
      <w:pPr>
        <w:spacing w:before="224" w:line="221" w:lineRule="auto"/>
        <w:ind w:left="423"/>
        <w:rPr>
          <w:rFonts w:ascii="SimHei" w:eastAsia="SimHei" w:hAnsi="SimHei" w:cs="SimHei"/>
          <w:sz w:val="21"/>
          <w:szCs w:val="21"/>
        </w:rPr>
        <w:sectPr>
          <w:footerReference w:type="default" r:id="rId4"/>
          <w:pgSz w:w="11905" w:h="16840"/>
          <w:pgMar w:top="1406" w:right="1057" w:bottom="1316" w:left="1424" w:header="0" w:footer="1134" w:gutter="0"/>
          <w:pgNumType w:start="7"/>
          <w:cols w:space="708"/>
        </w:sectPr>
      </w:pPr>
      <w:r>
        <w:rPr>
          <w:rFonts w:ascii="SimHei" w:eastAsia="SimHei" w:hAnsi="SimHei" w:cs="SimHei"/>
          <w:spacing w:val="-2"/>
          <w:sz w:val="21"/>
          <w:szCs w:val="21"/>
        </w:rPr>
        <w:t>虫口密度</w:t>
      </w:r>
    </w:p>
    <w:p>
      <w:pPr>
        <w:spacing w:before="217" w:line="499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每株林木上成虫的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数量；1平方米样方内幼虫、卵、蛹的数量。</w:t>
      </w:r>
    </w:p>
    <w:p>
      <w:pPr>
        <w:spacing w:before="1" w:line="186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.6</w:t>
      </w:r>
    </w:p>
    <w:p>
      <w:pPr>
        <w:spacing w:before="225" w:line="223" w:lineRule="auto"/>
        <w:ind w:left="4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有</w:t>
      </w:r>
      <w:r>
        <w:rPr>
          <w:rFonts w:ascii="SimHei" w:eastAsia="SimHei" w:hAnsi="SimHei" w:cs="SimHei"/>
          <w:spacing w:val="10"/>
          <w:sz w:val="21"/>
          <w:szCs w:val="21"/>
        </w:rPr>
        <w:t>虫株率(%)</w:t>
      </w:r>
    </w:p>
    <w:p>
      <w:pPr>
        <w:spacing w:before="215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有虫株</w:t>
      </w:r>
      <w:r>
        <w:rPr>
          <w:rFonts w:ascii="SimSun" w:eastAsia="SimSun" w:hAnsi="SimSun" w:cs="SimSun"/>
          <w:spacing w:val="-3"/>
          <w:sz w:val="21"/>
          <w:szCs w:val="21"/>
        </w:rPr>
        <w:t>数</w:t>
      </w:r>
      <w:r>
        <w:rPr>
          <w:rFonts w:ascii="SimSun" w:eastAsia="SimSun" w:hAnsi="SimSun" w:cs="SimSun"/>
          <w:spacing w:val="-2"/>
          <w:sz w:val="21"/>
          <w:szCs w:val="21"/>
        </w:rPr>
        <w:t>占调查总株数的百分率。</w:t>
      </w:r>
    </w:p>
    <w:p>
      <w:pPr>
        <w:sectPr>
          <w:footerReference w:type="default" r:id="rId5"/>
          <w:type w:val="nextPage"/>
          <w:pgSz w:w="11905" w:h="16840"/>
          <w:pgMar w:top="1406" w:right="1057" w:bottom="1316" w:left="1424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ind w:right="7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1202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before="273" w:line="189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.7</w:t>
      </w:r>
    </w:p>
    <w:p>
      <w:pPr>
        <w:spacing w:before="222" w:line="222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始盛期</w:t>
      </w:r>
    </w:p>
    <w:p>
      <w:pPr>
        <w:spacing w:before="216" w:line="287" w:lineRule="auto"/>
        <w:ind w:left="8" w:right="74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在统计上，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一</w:t>
      </w:r>
      <w:r>
        <w:rPr>
          <w:rFonts w:ascii="SimSun" w:eastAsia="SimSun" w:hAnsi="SimSun" w:cs="SimSun"/>
          <w:spacing w:val="-2"/>
          <w:sz w:val="21"/>
          <w:szCs w:val="21"/>
        </w:rPr>
        <w:t>般将害虫种群内所有个体进入某一虫态或虫龄期的发育进度达到16%，当作划分始盛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期的数量标准。</w:t>
      </w:r>
    </w:p>
    <w:p>
      <w:pPr>
        <w:spacing w:before="157" w:line="187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.8</w:t>
      </w:r>
    </w:p>
    <w:p>
      <w:pPr>
        <w:spacing w:before="224" w:line="221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盛发</w:t>
      </w:r>
      <w:r>
        <w:rPr>
          <w:rFonts w:ascii="SimHei" w:eastAsia="SimHei" w:hAnsi="SimHei" w:cs="SimHei"/>
          <w:spacing w:val="-1"/>
          <w:sz w:val="21"/>
          <w:szCs w:val="21"/>
        </w:rPr>
        <w:t>期</w:t>
      </w:r>
    </w:p>
    <w:p>
      <w:pPr>
        <w:spacing w:before="218" w:line="287" w:lineRule="auto"/>
        <w:ind w:left="22" w:right="74" w:firstLine="4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在统计上，一般</w:t>
      </w:r>
      <w:r>
        <w:rPr>
          <w:rFonts w:ascii="SimSun" w:eastAsia="SimSun" w:hAnsi="SimSun" w:cs="SimSun"/>
          <w:spacing w:val="-2"/>
          <w:sz w:val="21"/>
          <w:szCs w:val="21"/>
        </w:rPr>
        <w:t>将害虫种群内所有个体进入某一虫态或虫龄期的发育进度达50%，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当作划分盛发期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的</w:t>
      </w:r>
      <w:r>
        <w:rPr>
          <w:rFonts w:ascii="SimSun" w:eastAsia="SimSun" w:hAnsi="SimSun" w:cs="SimSun"/>
          <w:spacing w:val="-7"/>
          <w:sz w:val="21"/>
          <w:szCs w:val="21"/>
        </w:rPr>
        <w:t>数量标准。</w:t>
      </w:r>
    </w:p>
    <w:p>
      <w:pPr>
        <w:spacing w:before="283" w:line="222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虫情监测</w:t>
      </w:r>
      <w:r>
        <w:rPr>
          <w:rFonts w:ascii="SimHei" w:eastAsia="SimHei" w:hAnsi="SimHei" w:cs="SimHei"/>
          <w:sz w:val="21"/>
          <w:szCs w:val="21"/>
        </w:rPr>
        <w:t>调查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70" w:line="223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踏查</w:t>
      </w:r>
    </w:p>
    <w:p>
      <w:pPr>
        <w:spacing w:before="214" w:line="282" w:lineRule="auto"/>
        <w:ind w:left="6" w:right="74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在害虫盛发期进行，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每年一次。根据寄主树种分布情况设置踏查路线，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了解和掌握明亮长脚金龟子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的分布地点、危</w:t>
      </w:r>
      <w:r>
        <w:rPr>
          <w:rFonts w:ascii="SimSun" w:eastAsia="SimSun" w:hAnsi="SimSun" w:cs="SimSun"/>
          <w:spacing w:val="-3"/>
          <w:sz w:val="21"/>
          <w:szCs w:val="21"/>
        </w:rPr>
        <w:t>害</w:t>
      </w:r>
      <w:r>
        <w:rPr>
          <w:rFonts w:ascii="SimSun" w:eastAsia="SimSun" w:hAnsi="SimSun" w:cs="SimSun"/>
          <w:spacing w:val="-2"/>
          <w:sz w:val="21"/>
          <w:szCs w:val="21"/>
        </w:rPr>
        <w:t>寄主和发生危害面积。踏查时观察林木枝、叶、花上是否有取食造成的缺刻及有无活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动虫</w:t>
      </w:r>
      <w:r>
        <w:rPr>
          <w:rFonts w:ascii="SimSun" w:eastAsia="SimSun" w:hAnsi="SimSun" w:cs="SimSun"/>
          <w:spacing w:val="-1"/>
          <w:sz w:val="21"/>
          <w:szCs w:val="21"/>
        </w:rPr>
        <w:t>体来判断有无害虫。踏查结果填入明亮长脚金龟子踏查表，踏查表参见附录B。</w:t>
      </w:r>
    </w:p>
    <w:p>
      <w:pPr>
        <w:spacing w:before="129" w:line="222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详查</w:t>
      </w:r>
    </w:p>
    <w:p>
      <w:pPr>
        <w:spacing w:before="217" w:line="282" w:lineRule="auto"/>
        <w:ind w:left="7" w:right="74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踏查中发现有</w:t>
      </w:r>
      <w:r>
        <w:rPr>
          <w:rFonts w:ascii="SimSun" w:eastAsia="SimSun" w:hAnsi="SimSun" w:cs="SimSun"/>
          <w:spacing w:val="2"/>
          <w:sz w:val="21"/>
          <w:szCs w:val="21"/>
        </w:rPr>
        <w:t>害虫发生时，设置标准地进行详细调查，标准地面积0.07公顷至0.2公顷(根据寄主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数量而定</w:t>
      </w:r>
      <w:r>
        <w:rPr>
          <w:rFonts w:ascii="SimSun" w:eastAsia="SimSun" w:hAnsi="SimSun" w:cs="SimSun"/>
          <w:spacing w:val="-7"/>
          <w:sz w:val="21"/>
          <w:szCs w:val="21"/>
        </w:rPr>
        <w:t>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标准地内寄主数量不少于50株)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，调查内容主要有受害寄主、被害株率、虫口密度等。详查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结果填入明亮长脚金龟子详查表</w:t>
      </w:r>
      <w:r>
        <w:rPr>
          <w:rFonts w:ascii="SimSun" w:eastAsia="SimSun" w:hAnsi="SimSun" w:cs="SimSun"/>
          <w:spacing w:val="-1"/>
          <w:sz w:val="21"/>
          <w:szCs w:val="21"/>
        </w:rPr>
        <w:t>，详查表参见附录C。</w:t>
      </w:r>
    </w:p>
    <w:p>
      <w:pPr>
        <w:spacing w:before="129" w:line="221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系统调查</w:t>
      </w:r>
    </w:p>
    <w:p>
      <w:pPr>
        <w:spacing w:before="218" w:line="283" w:lineRule="auto"/>
        <w:ind w:left="7" w:right="7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调查时间从土壤解</w:t>
      </w:r>
      <w:r>
        <w:rPr>
          <w:rFonts w:ascii="SimSun" w:eastAsia="SimSun" w:hAnsi="SimSun" w:cs="SimSun"/>
          <w:spacing w:val="-4"/>
          <w:sz w:val="21"/>
          <w:szCs w:val="21"/>
        </w:rPr>
        <w:t>冻开始到越冬前结束。按不同海拔区域设置1个至3个固定监测点，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监测点上按照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不</w:t>
      </w:r>
      <w:r>
        <w:rPr>
          <w:rFonts w:ascii="SimSun" w:eastAsia="SimSun" w:hAnsi="SimSun" w:cs="SimSun"/>
          <w:sz w:val="21"/>
          <w:szCs w:val="21"/>
        </w:rPr>
        <w:t>同的调查内容和要求设置一定数量的标准地或标准样方，每种类型的寄主树种设标准地3块，每块标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准地面积0.07公顷至0</w:t>
      </w:r>
      <w:r>
        <w:rPr>
          <w:rFonts w:ascii="SimSun" w:eastAsia="SimSun" w:hAnsi="SimSun" w:cs="SimSun"/>
          <w:spacing w:val="-1"/>
          <w:sz w:val="21"/>
          <w:szCs w:val="21"/>
        </w:rPr>
        <w:t>.2公顷。</w:t>
      </w:r>
    </w:p>
    <w:p>
      <w:pPr>
        <w:spacing w:before="126" w:line="222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3.3.1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卵、幼虫、蛹调查</w:t>
      </w:r>
    </w:p>
    <w:p>
      <w:pPr>
        <w:spacing w:before="215" w:line="287" w:lineRule="auto"/>
        <w:ind w:left="5" w:right="73" w:firstLine="43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随机挖取3个至5个1平</w:t>
      </w:r>
      <w:r>
        <w:rPr>
          <w:rFonts w:ascii="SimSun" w:eastAsia="SimSun" w:hAnsi="SimSun" w:cs="SimSun"/>
          <w:spacing w:val="-3"/>
          <w:sz w:val="21"/>
          <w:szCs w:val="21"/>
        </w:rPr>
        <w:t>方</w:t>
      </w:r>
      <w:r>
        <w:rPr>
          <w:rFonts w:ascii="SimSun" w:eastAsia="SimSun" w:hAnsi="SimSun" w:cs="SimSun"/>
          <w:spacing w:val="-2"/>
          <w:sz w:val="21"/>
          <w:szCs w:val="21"/>
        </w:rPr>
        <w:t>米土壤样方，观察记录卵、幼虫、蛹的发育历期及习性，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土壤深度以40厘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米为宜。卵、幼虫、蛹期调查表内</w:t>
      </w:r>
      <w:r>
        <w:rPr>
          <w:rFonts w:ascii="SimSun" w:eastAsia="SimSun" w:hAnsi="SimSun" w:cs="SimSun"/>
          <w:spacing w:val="-1"/>
          <w:sz w:val="21"/>
          <w:szCs w:val="21"/>
        </w:rPr>
        <w:t>容参见附录D。</w:t>
      </w:r>
    </w:p>
    <w:p>
      <w:pPr>
        <w:spacing w:before="128" w:line="222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3.3.2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成虫调查</w:t>
      </w:r>
    </w:p>
    <w:p>
      <w:pPr>
        <w:spacing w:before="214" w:line="283" w:lineRule="auto"/>
        <w:ind w:left="7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成虫羽化后，随机抽取样树30株，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定期(3天—5天)进行监测调查，调查害虫发生量、危害程度、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发生</w:t>
      </w:r>
      <w:r>
        <w:rPr>
          <w:rFonts w:ascii="SimSun" w:eastAsia="SimSun" w:hAnsi="SimSun" w:cs="SimSun"/>
          <w:spacing w:val="-11"/>
          <w:sz w:val="21"/>
          <w:szCs w:val="21"/>
        </w:rPr>
        <w:t>规</w:t>
      </w:r>
      <w:r>
        <w:rPr>
          <w:rFonts w:ascii="SimSun" w:eastAsia="SimSun" w:hAnsi="SimSun" w:cs="SimSun"/>
          <w:spacing w:val="-7"/>
          <w:sz w:val="21"/>
          <w:szCs w:val="21"/>
        </w:rPr>
        <w:t>律、生活习性以及对林木造成的损失等基本情况，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掌握害虫生活史、生物学特性和生态学特性等。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成虫期调查</w:t>
      </w:r>
      <w:r>
        <w:rPr>
          <w:rFonts w:ascii="SimSun" w:eastAsia="SimSun" w:hAnsi="SimSun" w:cs="SimSun"/>
          <w:spacing w:val="-2"/>
          <w:sz w:val="21"/>
          <w:szCs w:val="21"/>
        </w:rPr>
        <w:t>记录表同附录C。</w:t>
      </w:r>
    </w:p>
    <w:p>
      <w:pPr>
        <w:spacing w:before="284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4"/>
          <w:sz w:val="21"/>
          <w:szCs w:val="21"/>
        </w:rPr>
        <w:t>4</w:t>
      </w:r>
      <w:r>
        <w:rPr>
          <w:rFonts w:ascii="SimHei" w:eastAsia="SimHei" w:hAnsi="SimHei" w:cs="SimHei"/>
          <w:spacing w:val="14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14"/>
          <w:sz w:val="21"/>
          <w:szCs w:val="21"/>
        </w:rPr>
        <w:t>发生(危害)程度分级标</w:t>
      </w:r>
      <w:r>
        <w:rPr>
          <w:rFonts w:ascii="SimHei" w:eastAsia="SimHei" w:hAnsi="SimHei" w:cs="SimHei"/>
          <w:spacing w:val="11"/>
          <w:sz w:val="21"/>
          <w:szCs w:val="21"/>
        </w:rPr>
        <w:t>准</w:t>
      </w:r>
    </w:p>
    <w:p>
      <w:pPr>
        <w:spacing w:line="301" w:lineRule="auto"/>
        <w:rPr>
          <w:rFonts w:ascii="Arial"/>
          <w:sz w:val="21"/>
        </w:rPr>
        <w:sectPr>
          <w:footerReference w:type="default" r:id="rId6"/>
          <w:pgSz w:w="11905" w:h="16840"/>
          <w:pgMar w:top="1406" w:right="1057" w:bottom="1315" w:left="1420" w:header="0" w:footer="1134" w:gutter="0"/>
          <w:pgNumType w:start="9"/>
          <w:cols w:space="708"/>
        </w:sectPr>
      </w:pPr>
    </w:p>
    <w:p>
      <w:pPr>
        <w:spacing w:before="69" w:line="288" w:lineRule="auto"/>
        <w:ind w:left="4" w:right="74" w:firstLine="4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以</w:t>
      </w:r>
      <w:r>
        <w:rPr>
          <w:rFonts w:ascii="SimSun" w:eastAsia="SimSun" w:hAnsi="SimSun" w:cs="SimSun"/>
          <w:spacing w:val="-5"/>
          <w:sz w:val="21"/>
          <w:szCs w:val="21"/>
        </w:rPr>
        <w:t>沙棘叶片受害率、单株虫口密度为统计单位，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将明亮长脚金龟子发生(危害)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程度分为四级，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表</w:t>
      </w:r>
      <w:r>
        <w:rPr>
          <w:rFonts w:ascii="SimSun" w:eastAsia="SimSun" w:hAnsi="SimSun" w:cs="SimSun"/>
          <w:spacing w:val="-7"/>
          <w:sz w:val="21"/>
          <w:szCs w:val="21"/>
        </w:rPr>
        <w:t>1。</w:t>
      </w:r>
    </w:p>
    <w:p>
      <w:pPr>
        <w:sectPr>
          <w:footerReference w:type="default" r:id="rId7"/>
          <w:type w:val="nextPage"/>
          <w:pgSz w:w="11905" w:h="16840"/>
          <w:pgMar w:top="1406" w:right="1057" w:bottom="1315" w:left="1420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94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1202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before="242" w:line="221" w:lineRule="auto"/>
        <w:ind w:left="244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6"/>
          <w:sz w:val="21"/>
          <w:szCs w:val="21"/>
        </w:rPr>
        <w:t>表</w:t>
      </w:r>
      <w:r>
        <w:rPr>
          <w:rFonts w:ascii="SimHei" w:eastAsia="SimHei" w:hAnsi="SimHei" w:cs="SimHei"/>
          <w:spacing w:val="15"/>
          <w:sz w:val="21"/>
          <w:szCs w:val="21"/>
        </w:rPr>
        <w:t>1</w:t>
      </w:r>
      <w:r>
        <w:rPr>
          <w:rFonts w:ascii="SimHei" w:eastAsia="SimHei" w:hAnsi="SimHei" w:cs="SimHei"/>
          <w:spacing w:val="8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8"/>
          <w:sz w:val="21"/>
          <w:szCs w:val="21"/>
        </w:rPr>
        <w:t>明亮长脚金龟子发生(危害)程度分级标准</w:t>
      </w:r>
    </w:p>
    <w:p>
      <w:pPr>
        <w:spacing w:line="166" w:lineRule="exact"/>
      </w:pPr>
    </w:p>
    <w:tbl>
      <w:tblPr>
        <w:tblStyle w:val="TableNormal0"/>
        <w:tblW w:w="946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00"/>
        <w:gridCol w:w="2020"/>
        <w:gridCol w:w="1998"/>
        <w:gridCol w:w="2095"/>
        <w:gridCol w:w="1550"/>
      </w:tblGrid>
      <w:tr>
        <w:tblPrEx>
          <w:tblW w:w="946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73"/>
        </w:trPr>
        <w:tc>
          <w:tcPr>
            <w:tcW w:w="1800" w:type="dxa"/>
            <w:tcBorders>
              <w:tl2br w:val="single" w:sz="6" w:space="0" w:color="000000"/>
            </w:tcBorders>
            <w:vAlign w:val="top"/>
          </w:tcPr>
          <w:p>
            <w:pPr>
              <w:spacing w:before="70" w:line="221" w:lineRule="auto"/>
              <w:ind w:left="7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危害程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度</w:t>
            </w:r>
          </w:p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调查项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目</w:t>
            </w:r>
          </w:p>
        </w:tc>
        <w:tc>
          <w:tcPr>
            <w:tcW w:w="2020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8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轻度</w:t>
            </w:r>
          </w:p>
        </w:tc>
        <w:tc>
          <w:tcPr>
            <w:tcW w:w="199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59" w:line="221" w:lineRule="auto"/>
              <w:ind w:left="8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中度</w:t>
            </w:r>
          </w:p>
        </w:tc>
        <w:tc>
          <w:tcPr>
            <w:tcW w:w="2095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59" w:line="221" w:lineRule="auto"/>
              <w:ind w:left="8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重度</w:t>
            </w:r>
          </w:p>
        </w:tc>
        <w:tc>
          <w:tcPr>
            <w:tcW w:w="1550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6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成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灾</w:t>
            </w:r>
          </w:p>
        </w:tc>
      </w:tr>
      <w:tr>
        <w:tblPrEx>
          <w:tblW w:w="9463" w:type="dxa"/>
          <w:tblInd w:w="2" w:type="dxa"/>
          <w:tblLayout w:type="fixed"/>
        </w:tblPrEx>
        <w:trPr>
          <w:trHeight w:val="604"/>
        </w:trPr>
        <w:tc>
          <w:tcPr>
            <w:tcW w:w="1800" w:type="dxa"/>
            <w:vAlign w:val="top"/>
          </w:tcPr>
          <w:p>
            <w:pPr>
              <w:spacing w:before="212" w:line="220" w:lineRule="auto"/>
              <w:ind w:left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树冠叶片受害率</w:t>
            </w:r>
          </w:p>
        </w:tc>
        <w:tc>
          <w:tcPr>
            <w:tcW w:w="2020" w:type="dxa"/>
            <w:vAlign w:val="top"/>
          </w:tcPr>
          <w:p>
            <w:pPr>
              <w:spacing w:before="212" w:line="222" w:lineRule="auto"/>
              <w:ind w:left="7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10%以下</w:t>
            </w:r>
          </w:p>
        </w:tc>
        <w:tc>
          <w:tcPr>
            <w:tcW w:w="1998" w:type="dxa"/>
            <w:vAlign w:val="top"/>
          </w:tcPr>
          <w:p>
            <w:pPr>
              <w:spacing w:before="240" w:line="185" w:lineRule="auto"/>
              <w:ind w:left="6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11%—25%</w:t>
            </w:r>
          </w:p>
        </w:tc>
        <w:tc>
          <w:tcPr>
            <w:tcW w:w="2095" w:type="dxa"/>
            <w:vAlign w:val="top"/>
          </w:tcPr>
          <w:p>
            <w:pPr>
              <w:spacing w:before="240" w:line="185" w:lineRule="auto"/>
              <w:ind w:left="6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26%—50</w:t>
            </w: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550" w:type="dxa"/>
            <w:vAlign w:val="top"/>
          </w:tcPr>
          <w:p>
            <w:pPr>
              <w:spacing w:before="212" w:line="223" w:lineRule="auto"/>
              <w:ind w:left="4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51%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以上</w:t>
            </w:r>
          </w:p>
        </w:tc>
      </w:tr>
      <w:tr>
        <w:tblPrEx>
          <w:tblW w:w="9463" w:type="dxa"/>
          <w:tblInd w:w="2" w:type="dxa"/>
          <w:tblLayout w:type="fixed"/>
        </w:tblPrEx>
        <w:trPr>
          <w:trHeight w:val="608"/>
        </w:trPr>
        <w:tc>
          <w:tcPr>
            <w:tcW w:w="1800" w:type="dxa"/>
            <w:vAlign w:val="top"/>
          </w:tcPr>
          <w:p>
            <w:pPr>
              <w:spacing w:before="214" w:line="221" w:lineRule="auto"/>
              <w:ind w:left="5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虫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口密度</w:t>
            </w:r>
          </w:p>
        </w:tc>
        <w:tc>
          <w:tcPr>
            <w:tcW w:w="2020" w:type="dxa"/>
            <w:vAlign w:val="top"/>
          </w:tcPr>
          <w:p>
            <w:pPr>
              <w:spacing w:before="214" w:line="217" w:lineRule="auto"/>
              <w:ind w:left="2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头/株—25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头/株</w:t>
            </w:r>
          </w:p>
        </w:tc>
        <w:tc>
          <w:tcPr>
            <w:tcW w:w="1998" w:type="dxa"/>
            <w:vAlign w:val="top"/>
          </w:tcPr>
          <w:p>
            <w:pPr>
              <w:spacing w:before="214" w:line="217" w:lineRule="auto"/>
              <w:ind w:left="2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头/株—35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头/株</w:t>
            </w:r>
          </w:p>
        </w:tc>
        <w:tc>
          <w:tcPr>
            <w:tcW w:w="2095" w:type="dxa"/>
            <w:vAlign w:val="top"/>
          </w:tcPr>
          <w:p>
            <w:pPr>
              <w:spacing w:before="214" w:line="217" w:lineRule="auto"/>
              <w:ind w:left="2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头/株—50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头/株</w:t>
            </w:r>
          </w:p>
        </w:tc>
        <w:tc>
          <w:tcPr>
            <w:tcW w:w="1550" w:type="dxa"/>
            <w:vAlign w:val="top"/>
          </w:tcPr>
          <w:p>
            <w:pPr>
              <w:spacing w:before="214" w:line="217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头/株以上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spacing w:before="68" w:line="222" w:lineRule="auto"/>
        <w:ind w:left="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预测预报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87" w:lineRule="auto"/>
        <w:ind w:left="31" w:right="28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在监测调查的基础上，采用常规人工地面调查和诱捕器诱捕方法对明亮长脚金龟子成虫</w:t>
      </w:r>
      <w:r>
        <w:rPr>
          <w:rFonts w:ascii="SimSun" w:eastAsia="SimSun" w:hAnsi="SimSun" w:cs="SimSun"/>
          <w:sz w:val="21"/>
          <w:szCs w:val="21"/>
        </w:rPr>
        <w:t>的发生期、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发生量和</w:t>
      </w:r>
      <w:r>
        <w:rPr>
          <w:rFonts w:ascii="SimSun" w:eastAsia="SimSun" w:hAnsi="SimSun" w:cs="SimSun"/>
          <w:spacing w:val="-3"/>
          <w:sz w:val="21"/>
          <w:szCs w:val="21"/>
        </w:rPr>
        <w:t>发</w:t>
      </w:r>
      <w:r>
        <w:rPr>
          <w:rFonts w:ascii="SimSun" w:eastAsia="SimSun" w:hAnsi="SimSun" w:cs="SimSun"/>
          <w:spacing w:val="-2"/>
          <w:sz w:val="21"/>
          <w:szCs w:val="21"/>
        </w:rPr>
        <w:t>生范围进行预测预报。</w:t>
      </w:r>
    </w:p>
    <w:p>
      <w:pPr>
        <w:spacing w:before="126" w:line="221" w:lineRule="auto"/>
        <w:ind w:left="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发生范围预报</w:t>
      </w:r>
    </w:p>
    <w:p>
      <w:pPr>
        <w:spacing w:before="218" w:line="274" w:lineRule="auto"/>
        <w:ind w:left="31" w:right="92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在灌木林区</w:t>
      </w:r>
      <w:r>
        <w:rPr>
          <w:rFonts w:ascii="SimSun" w:eastAsia="SimSun" w:hAnsi="SimSun" w:cs="SimSun"/>
          <w:spacing w:val="-3"/>
          <w:sz w:val="21"/>
          <w:szCs w:val="21"/>
        </w:rPr>
        <w:t>及</w:t>
      </w:r>
      <w:r>
        <w:rPr>
          <w:rFonts w:ascii="SimSun" w:eastAsia="SimSun" w:hAnsi="SimSun" w:cs="SimSun"/>
          <w:spacing w:val="-2"/>
          <w:sz w:val="21"/>
          <w:szCs w:val="21"/>
        </w:rPr>
        <w:t>毗邻地区的林、草交接处设置明亮长脚金龟子诱捕器，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每1000米设1个，观察能否诱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到明亮长</w:t>
      </w:r>
      <w:r>
        <w:rPr>
          <w:rFonts w:ascii="SimSun" w:eastAsia="SimSun" w:hAnsi="SimSun" w:cs="SimSun"/>
          <w:spacing w:val="-14"/>
          <w:sz w:val="21"/>
          <w:szCs w:val="21"/>
        </w:rPr>
        <w:t>脚</w:t>
      </w:r>
      <w:r>
        <w:rPr>
          <w:rFonts w:ascii="SimSun" w:eastAsia="SimSun" w:hAnsi="SimSun" w:cs="SimSun"/>
          <w:spacing w:val="-8"/>
          <w:sz w:val="21"/>
          <w:szCs w:val="21"/>
        </w:rPr>
        <w:t>金龟子成虫，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是否有害虫危害状，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根据监测数据、害虫发生危害现状及飞翔距离，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结合寄主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分布情况预测害虫发生范围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before="1" w:line="218" w:lineRule="auto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采</w:t>
      </w:r>
      <w:r>
        <w:rPr>
          <w:rFonts w:ascii="SimSun" w:eastAsia="SimSun" w:hAnsi="SimSun" w:cs="SimSun"/>
          <w:spacing w:val="6"/>
          <w:sz w:val="21"/>
          <w:szCs w:val="21"/>
        </w:rPr>
        <w:t>用标准地代表法预测发生面积。具体计算方法见公式(1)。</w:t>
      </w:r>
    </w:p>
    <w:p>
      <w:pPr>
        <w:spacing w:before="219" w:line="217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发生</w:t>
      </w:r>
      <w:r>
        <w:rPr>
          <w:rFonts w:ascii="SimSun" w:eastAsia="SimSun" w:hAnsi="SimSun" w:cs="SimSun"/>
          <w:spacing w:val="2"/>
          <w:sz w:val="21"/>
          <w:szCs w:val="21"/>
        </w:rPr>
        <w:t>面积=(预测或实测轻度发生标准地块数×标准地代表面积)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+(预测或实测中度发生标准地块</w:t>
      </w:r>
    </w:p>
    <w:p>
      <w:pPr>
        <w:spacing w:before="65" w:line="217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数</w:t>
      </w:r>
      <w:r>
        <w:rPr>
          <w:rFonts w:ascii="SimSun" w:eastAsia="SimSun" w:hAnsi="SimSun" w:cs="SimSun"/>
          <w:spacing w:val="9"/>
          <w:sz w:val="21"/>
          <w:szCs w:val="21"/>
        </w:rPr>
        <w:t>×</w:t>
      </w:r>
      <w:r>
        <w:rPr>
          <w:rFonts w:ascii="SimSun" w:eastAsia="SimSun" w:hAnsi="SimSun" w:cs="SimSun"/>
          <w:spacing w:val="6"/>
          <w:sz w:val="21"/>
          <w:szCs w:val="21"/>
        </w:rPr>
        <w:t>标准地代表面积)+(预测或实测重度发生标准地块数×标准地代表面积)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……………………(1)</w:t>
      </w:r>
    </w:p>
    <w:p>
      <w:pPr>
        <w:spacing w:before="222" w:line="221" w:lineRule="auto"/>
        <w:ind w:left="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成虫发生期预测</w:t>
      </w:r>
    </w:p>
    <w:p>
      <w:pPr>
        <w:spacing w:before="216" w:line="222" w:lineRule="auto"/>
        <w:ind w:left="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历期预测法</w:t>
      </w:r>
    </w:p>
    <w:p>
      <w:pPr>
        <w:spacing w:before="216" w:line="283" w:lineRule="auto"/>
        <w:ind w:left="31" w:right="93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根据明亮长脚金龟</w:t>
      </w:r>
      <w:r>
        <w:rPr>
          <w:rFonts w:ascii="SimSun" w:eastAsia="SimSun" w:hAnsi="SimSun" w:cs="SimSun"/>
          <w:spacing w:val="-6"/>
          <w:sz w:val="21"/>
          <w:szCs w:val="21"/>
        </w:rPr>
        <w:t>子</w:t>
      </w:r>
      <w:r>
        <w:rPr>
          <w:rFonts w:ascii="SimSun" w:eastAsia="SimSun" w:hAnsi="SimSun" w:cs="SimSun"/>
          <w:spacing w:val="-4"/>
          <w:sz w:val="21"/>
          <w:szCs w:val="21"/>
        </w:rPr>
        <w:t>蛹的发育进度调查和期距，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预测成虫的发生期。系统调查明亮长脚金龟子的化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蛹进度，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查</w:t>
      </w:r>
      <w:r>
        <w:rPr>
          <w:rFonts w:ascii="SimSun" w:eastAsia="SimSun" w:hAnsi="SimSun" w:cs="SimSun"/>
          <w:spacing w:val="-6"/>
          <w:sz w:val="21"/>
          <w:szCs w:val="21"/>
        </w:rPr>
        <w:t>明明亮长脚金龟子林间化蛹始盛期和高峰期的临界值，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在此基础上分别加上当时当地气温下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各虫态的平均历期，推算出成虫</w:t>
      </w:r>
      <w:r>
        <w:rPr>
          <w:rFonts w:ascii="SimSun" w:eastAsia="SimSun" w:hAnsi="SimSun" w:cs="SimSun"/>
          <w:spacing w:val="-1"/>
          <w:sz w:val="21"/>
          <w:szCs w:val="21"/>
        </w:rPr>
        <w:t>发生的始盛期和盛发期。</w:t>
      </w:r>
    </w:p>
    <w:p>
      <w:pPr>
        <w:spacing w:before="126" w:line="222" w:lineRule="auto"/>
        <w:ind w:left="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物候预测</w:t>
      </w:r>
    </w:p>
    <w:p>
      <w:pPr>
        <w:spacing w:before="217" w:line="283" w:lineRule="auto"/>
        <w:ind w:left="31" w:right="42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立夏时水柏枝花苞显现</w:t>
      </w:r>
      <w:r>
        <w:rPr>
          <w:rFonts w:ascii="SimSun" w:eastAsia="SimSun" w:hAnsi="SimSun" w:cs="SimSun"/>
          <w:spacing w:val="-1"/>
          <w:sz w:val="21"/>
          <w:szCs w:val="21"/>
        </w:rPr>
        <w:t>，此时金龟子幼虫逐渐移到土壤40厘米范围内活动，小满时幼虫开始化蛹，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水柏枝花绽放时成虫羽化出土，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在沙棘完全展叶后害虫危害猖獗，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常暴发成灾，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沙棘落叶时害虫进入</w:t>
      </w:r>
      <w:r>
        <w:rPr>
          <w:rFonts w:ascii="SimSun" w:eastAsia="SimSun" w:hAnsi="SimSun" w:cs="SimSun"/>
          <w:sz w:val="21"/>
          <w:szCs w:val="21"/>
        </w:rPr>
        <w:t>越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冬</w:t>
      </w:r>
      <w:r>
        <w:rPr>
          <w:rFonts w:ascii="SimSun" w:eastAsia="SimSun" w:hAnsi="SimSun" w:cs="SimSun"/>
          <w:spacing w:val="-7"/>
          <w:sz w:val="21"/>
          <w:szCs w:val="21"/>
        </w:rPr>
        <w:t>时期。</w:t>
      </w:r>
    </w:p>
    <w:p>
      <w:pPr>
        <w:spacing w:before="126" w:line="221" w:lineRule="auto"/>
        <w:ind w:left="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发生量预测</w:t>
      </w:r>
    </w:p>
    <w:p>
      <w:pPr>
        <w:spacing w:before="216" w:line="287" w:lineRule="auto"/>
        <w:ind w:left="35" w:right="93" w:firstLine="413"/>
        <w:rPr>
          <w:rFonts w:ascii="SimSun" w:eastAsia="SimSun" w:hAnsi="SimSun" w:cs="SimSun"/>
          <w:sz w:val="21"/>
          <w:szCs w:val="21"/>
        </w:rPr>
        <w:sectPr>
          <w:footerReference w:type="default" r:id="rId8"/>
          <w:pgSz w:w="11905" w:h="16840"/>
          <w:pgMar w:top="1406" w:right="1038" w:bottom="1315" w:left="1398" w:header="0" w:footer="1135" w:gutter="0"/>
          <w:pgNumType w:start="11"/>
          <w:cols w:space="708"/>
        </w:sectPr>
      </w:pPr>
      <w:r>
        <w:rPr>
          <w:rFonts w:ascii="SimSun" w:eastAsia="SimSun" w:hAnsi="SimSun" w:cs="SimSun"/>
          <w:spacing w:val="-8"/>
          <w:sz w:val="21"/>
          <w:szCs w:val="21"/>
        </w:rPr>
        <w:t>根据明亮长脚金龟</w:t>
      </w:r>
      <w:r>
        <w:rPr>
          <w:rFonts w:ascii="SimSun" w:eastAsia="SimSun" w:hAnsi="SimSun" w:cs="SimSun"/>
          <w:spacing w:val="-6"/>
          <w:sz w:val="21"/>
          <w:szCs w:val="21"/>
        </w:rPr>
        <w:t>子</w:t>
      </w:r>
      <w:r>
        <w:rPr>
          <w:rFonts w:ascii="SimSun" w:eastAsia="SimSun" w:hAnsi="SimSun" w:cs="SimSun"/>
          <w:spacing w:val="-4"/>
          <w:sz w:val="21"/>
          <w:szCs w:val="21"/>
        </w:rPr>
        <w:t>当代虫口基数，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采用有效基数预测法预测下一世代的发生量。具体计算方法见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1"/>
          <w:sz w:val="21"/>
          <w:szCs w:val="21"/>
        </w:rPr>
        <w:t>公</w:t>
      </w:r>
      <w:r>
        <w:rPr>
          <w:rFonts w:ascii="SimSun" w:eastAsia="SimSun" w:hAnsi="SimSun" w:cs="SimSun"/>
          <w:spacing w:val="27"/>
          <w:sz w:val="21"/>
          <w:szCs w:val="21"/>
        </w:rPr>
        <w:t>式(2)。</w:t>
      </w:r>
    </w:p>
    <w:p>
      <w:pPr>
        <w:spacing w:before="128" w:line="227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F</w:t>
      </w:r>
      <w:r>
        <w:rPr>
          <w:rFonts w:ascii="SimHei" w:eastAsia="SimHei" w:hAnsi="SimHei" w:cs="SimHei"/>
          <w:spacing w:val="4"/>
          <w:sz w:val="21"/>
          <w:szCs w:val="21"/>
        </w:rPr>
        <w:t>=</w:t>
      </w:r>
      <w:r>
        <w:rPr>
          <w:rFonts w:ascii="SimHei" w:eastAsia="SimHei" w:hAnsi="SimHei" w:cs="SimHei"/>
          <w:sz w:val="21"/>
          <w:szCs w:val="21"/>
        </w:rPr>
        <w:t>P</w:t>
      </w:r>
      <w:r>
        <w:rPr>
          <w:rFonts w:ascii="SimHei" w:eastAsia="SimHei" w:hAnsi="SimHei" w:cs="SimHei"/>
          <w:spacing w:val="4"/>
          <w:sz w:val="21"/>
          <w:szCs w:val="21"/>
        </w:rPr>
        <w:t>(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4"/>
          <w:sz w:val="21"/>
          <w:szCs w:val="21"/>
        </w:rPr>
        <w:t>×</w:t>
      </w: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4"/>
          <w:sz w:val="21"/>
          <w:szCs w:val="21"/>
        </w:rPr>
        <w:t>)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4"/>
          <w:sz w:val="21"/>
          <w:szCs w:val="21"/>
        </w:rPr>
        <w:t>×(1-</w:t>
      </w:r>
      <w:r>
        <w:rPr>
          <w:rFonts w:ascii="SimHei" w:eastAsia="SimHei" w:hAnsi="SimHei" w:cs="SimHei"/>
          <w:sz w:val="21"/>
          <w:szCs w:val="21"/>
        </w:rPr>
        <w:t>d</w:t>
      </w:r>
      <w:r>
        <w:rPr>
          <w:rFonts w:ascii="SimHei" w:eastAsia="SimHei" w:hAnsi="SimHei" w:cs="SimHei"/>
          <w:spacing w:val="4"/>
          <w:sz w:val="21"/>
          <w:szCs w:val="21"/>
        </w:rPr>
        <w:t>)</w:t>
      </w:r>
      <w:r>
        <w:rPr>
          <w:rFonts w:ascii="SimHei" w:eastAsia="SimHei" w:hAnsi="SimHei" w:cs="SimHei"/>
          <w:spacing w:val="2"/>
          <w:sz w:val="21"/>
          <w:szCs w:val="21"/>
        </w:rPr>
        <w:t>………………………………………………(2)</w:t>
      </w:r>
    </w:p>
    <w:p>
      <w:pPr>
        <w:spacing w:before="209" w:line="220" w:lineRule="auto"/>
        <w:ind w:left="45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2" w:line="312" w:lineRule="exact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F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——表示下一代的数量；</w:t>
      </w:r>
    </w:p>
    <w:p>
      <w:pPr>
        <w:spacing w:before="2" w:line="220" w:lineRule="auto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1"/>
          <w:sz w:val="21"/>
          <w:szCs w:val="21"/>
        </w:rPr>
        <w:t>P</w:t>
      </w:r>
      <w:r>
        <w:rPr>
          <w:rFonts w:ascii="SimSun" w:eastAsia="SimSun" w:hAnsi="SimSun" w:cs="SimSun"/>
          <w:spacing w:val="-19"/>
          <w:sz w:val="21"/>
          <w:szCs w:val="21"/>
        </w:rPr>
        <w:t>－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—表示现有虫口密度；</w:t>
      </w:r>
    </w:p>
    <w:p>
      <w:pPr>
        <w:sectPr>
          <w:footerReference w:type="default" r:id="rId9"/>
          <w:type w:val="nextPage"/>
          <w:pgSz w:w="11905" w:h="16840"/>
          <w:pgMar w:top="1406" w:right="1038" w:bottom="1315" w:left="1398" w:header="0" w:footer="1135" w:gutter="0"/>
          <w:pgNumType w:start="12"/>
          <w:cols w:space="708"/>
          <w:titlePg w:val="0"/>
        </w:sectPr>
      </w:pPr>
    </w:p>
    <w:p>
      <w:pPr>
        <w:spacing w:before="42" w:line="236" w:lineRule="auto"/>
        <w:ind w:right="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1202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before="242" w:line="312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a</w:t>
      </w:r>
      <w:r>
        <w:rPr>
          <w:rFonts w:ascii="SimSun" w:eastAsia="SimSun" w:hAnsi="SimSun" w:cs="SimSun"/>
          <w:spacing w:val="16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12"/>
          <w:position w:val="7"/>
          <w:sz w:val="21"/>
          <w:szCs w:val="21"/>
        </w:rPr>
        <w:t>—表示雌雄比率</w:t>
      </w:r>
      <w:r>
        <w:rPr>
          <w:rFonts w:ascii="SimSun" w:eastAsia="SimSun" w:hAnsi="SimSun" w:cs="SimSun"/>
          <w:spacing w:val="12"/>
          <w:position w:val="7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12"/>
          <w:position w:val="7"/>
          <w:sz w:val="21"/>
          <w:szCs w:val="21"/>
        </w:rPr>
        <w:t>(雌/(雌+雄))；</w:t>
      </w:r>
    </w:p>
    <w:p>
      <w:pPr>
        <w:spacing w:line="220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b</w:t>
      </w:r>
      <w:r>
        <w:rPr>
          <w:rFonts w:ascii="SimSun" w:eastAsia="SimSun" w:hAnsi="SimSun" w:cs="SimSun"/>
          <w:spacing w:val="-6"/>
          <w:sz w:val="21"/>
          <w:szCs w:val="21"/>
        </w:rPr>
        <w:t>——</w:t>
      </w:r>
      <w:r>
        <w:rPr>
          <w:rFonts w:ascii="SimSun" w:eastAsia="SimSun" w:hAnsi="SimSun" w:cs="SimSun"/>
          <w:spacing w:val="-5"/>
          <w:sz w:val="21"/>
          <w:szCs w:val="21"/>
        </w:rPr>
        <w:t>表</w:t>
      </w:r>
      <w:r>
        <w:rPr>
          <w:rFonts w:ascii="SimSun" w:eastAsia="SimSun" w:hAnsi="SimSun" w:cs="SimSun"/>
          <w:spacing w:val="-3"/>
          <w:sz w:val="21"/>
          <w:szCs w:val="21"/>
        </w:rPr>
        <w:t>示每雌平均产卵数；</w:t>
      </w:r>
    </w:p>
    <w:p>
      <w:pPr>
        <w:spacing w:before="61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d</w:t>
      </w:r>
      <w:r>
        <w:rPr>
          <w:rFonts w:ascii="SimSun" w:eastAsia="SimSun" w:hAnsi="SimSun" w:cs="SimSun"/>
          <w:spacing w:val="-4"/>
          <w:sz w:val="21"/>
          <w:szCs w:val="21"/>
        </w:rPr>
        <w:t>——表</w:t>
      </w:r>
      <w:r>
        <w:rPr>
          <w:rFonts w:ascii="SimSun" w:eastAsia="SimSun" w:hAnsi="SimSun" w:cs="SimSun"/>
          <w:spacing w:val="-2"/>
          <w:sz w:val="21"/>
          <w:szCs w:val="21"/>
        </w:rPr>
        <w:t>示各种因素所致死亡率之和。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防控对策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坚持原则</w:t>
      </w:r>
    </w:p>
    <w:p>
      <w:pPr>
        <w:spacing w:before="215" w:line="287" w:lineRule="auto"/>
        <w:ind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0"/>
          <w:sz w:val="21"/>
          <w:szCs w:val="21"/>
        </w:rPr>
        <w:t>预</w:t>
      </w:r>
      <w:r>
        <w:rPr>
          <w:rFonts w:ascii="SimSun" w:eastAsia="SimSun" w:hAnsi="SimSun" w:cs="SimSun"/>
          <w:spacing w:val="-11"/>
          <w:sz w:val="21"/>
          <w:szCs w:val="21"/>
        </w:rPr>
        <w:t>防为主，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综合治理；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坚持无公害防治技术；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根据不同林地类型和立地条件分类施策，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有针对性地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采取不同治理措施，降低虫口</w:t>
      </w:r>
      <w:r>
        <w:rPr>
          <w:rFonts w:ascii="SimSun" w:eastAsia="SimSun" w:hAnsi="SimSun" w:cs="SimSun"/>
          <w:spacing w:val="-1"/>
          <w:sz w:val="21"/>
          <w:szCs w:val="21"/>
        </w:rPr>
        <w:t>密度，控制扩散蔓延。</w:t>
      </w:r>
    </w:p>
    <w:p>
      <w:pPr>
        <w:spacing w:before="12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防控区划分</w:t>
      </w:r>
    </w:p>
    <w:p>
      <w:pPr>
        <w:spacing w:before="21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划分方法</w:t>
      </w:r>
    </w:p>
    <w:p>
      <w:pPr>
        <w:spacing w:before="216" w:line="286" w:lineRule="auto"/>
        <w:ind w:left="16" w:firstLine="4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根据明亮长脚金龟</w:t>
      </w:r>
      <w:r>
        <w:rPr>
          <w:rFonts w:ascii="SimSun" w:eastAsia="SimSun" w:hAnsi="SimSun" w:cs="SimSun"/>
          <w:spacing w:val="-5"/>
          <w:sz w:val="21"/>
          <w:szCs w:val="21"/>
        </w:rPr>
        <w:t>子</w:t>
      </w:r>
      <w:r>
        <w:rPr>
          <w:rFonts w:ascii="SimSun" w:eastAsia="SimSun" w:hAnsi="SimSun" w:cs="SimSun"/>
          <w:spacing w:val="-4"/>
          <w:sz w:val="21"/>
          <w:szCs w:val="21"/>
        </w:rPr>
        <w:t>危害程度、发生面积、防控区所处的地理环境，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将防控区划分为防治区、监控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区、保护区3个类型区，实施分区治理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30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z w:val="21"/>
          <w:szCs w:val="21"/>
        </w:rPr>
        <w:t>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防治区</w:t>
      </w:r>
    </w:p>
    <w:p>
      <w:pPr>
        <w:spacing w:before="217" w:line="220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发生集中连片，虽经历年防治仍不断发生。按发</w:t>
      </w:r>
      <w:r>
        <w:rPr>
          <w:rFonts w:ascii="SimSun" w:eastAsia="SimSun" w:hAnsi="SimSun" w:cs="SimSun"/>
          <w:spacing w:val="-1"/>
          <w:sz w:val="21"/>
          <w:szCs w:val="21"/>
        </w:rPr>
        <w:t>生轻度、中度、重度、成灾分类施策：</w:t>
      </w:r>
    </w:p>
    <w:p>
      <w:pPr>
        <w:spacing w:before="60" w:line="248" w:lineRule="auto"/>
        <w:ind w:left="839" w:hanging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0"/>
          <w:szCs w:val="20"/>
        </w:rPr>
        <w:t>a</w:t>
      </w:r>
      <w:r>
        <w:rPr>
          <w:rFonts w:ascii="SimSun" w:eastAsia="SimSun" w:hAnsi="SimSun" w:cs="SimSun"/>
          <w:spacing w:val="-16"/>
          <w:sz w:val="20"/>
          <w:szCs w:val="20"/>
        </w:rPr>
        <w:t>)</w:t>
      </w:r>
      <w:r>
        <w:rPr>
          <w:rFonts w:ascii="SimSun" w:eastAsia="SimSun" w:hAnsi="SimSun" w:cs="SimSun"/>
          <w:spacing w:val="-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成灾区：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在治理对策上实行应急救灾，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采取药物防治迅速降低虫口密度，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减轻灾害损失的应急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措</w:t>
      </w:r>
      <w:r>
        <w:rPr>
          <w:rFonts w:ascii="SimSun" w:eastAsia="SimSun" w:hAnsi="SimSun" w:cs="SimSun"/>
          <w:spacing w:val="-12"/>
          <w:sz w:val="21"/>
          <w:szCs w:val="21"/>
        </w:rPr>
        <w:t>施；</w:t>
      </w:r>
    </w:p>
    <w:p>
      <w:pPr>
        <w:spacing w:before="61" w:line="247" w:lineRule="auto"/>
        <w:ind w:left="871" w:right="1" w:hanging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0"/>
          <w:szCs w:val="20"/>
        </w:rPr>
        <w:t>b</w:t>
      </w:r>
      <w:r>
        <w:rPr>
          <w:rFonts w:ascii="SimSun" w:eastAsia="SimSun" w:hAnsi="SimSun" w:cs="SimSun"/>
          <w:spacing w:val="-16"/>
          <w:sz w:val="20"/>
          <w:szCs w:val="20"/>
        </w:rPr>
        <w:t>)</w:t>
      </w:r>
      <w:r>
        <w:rPr>
          <w:rFonts w:ascii="SimSun" w:eastAsia="SimSun" w:hAnsi="SimSun" w:cs="SimSun"/>
          <w:spacing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重度发生区：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实行人工捕杀、诱捕器诱杀为主，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适当辅以无公害药剂防治等综合措施，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压低虫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口</w:t>
      </w:r>
      <w:r>
        <w:rPr>
          <w:rFonts w:ascii="SimSun" w:eastAsia="SimSun" w:hAnsi="SimSun" w:cs="SimSun"/>
          <w:spacing w:val="-4"/>
          <w:sz w:val="21"/>
          <w:szCs w:val="21"/>
        </w:rPr>
        <w:t>密度，防止造成严重危害和新的扩散蔓延；</w:t>
      </w:r>
    </w:p>
    <w:p>
      <w:pPr>
        <w:spacing w:before="61" w:line="219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0"/>
          <w:szCs w:val="20"/>
        </w:rPr>
        <w:t>c</w:t>
      </w:r>
      <w:r>
        <w:rPr>
          <w:rFonts w:ascii="SimSun" w:eastAsia="SimSun" w:hAnsi="SimSun" w:cs="SimSun"/>
          <w:spacing w:val="-2"/>
          <w:sz w:val="20"/>
          <w:szCs w:val="20"/>
        </w:rPr>
        <w:t>)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中度发生区</w:t>
      </w:r>
      <w:r>
        <w:rPr>
          <w:rFonts w:ascii="SimSun" w:eastAsia="SimSun" w:hAnsi="SimSun" w:cs="SimSun"/>
          <w:spacing w:val="-1"/>
          <w:sz w:val="21"/>
          <w:szCs w:val="21"/>
        </w:rPr>
        <w:t>：人工捕杀和诱捕器诱杀相结合，压低虫口密度；</w:t>
      </w:r>
    </w:p>
    <w:p>
      <w:pPr>
        <w:spacing w:before="64" w:line="247" w:lineRule="auto"/>
        <w:ind w:left="838" w:hanging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0"/>
          <w:szCs w:val="20"/>
        </w:rPr>
        <w:t>d</w:t>
      </w:r>
      <w:r>
        <w:rPr>
          <w:rFonts w:ascii="SimSun" w:eastAsia="SimSun" w:hAnsi="SimSun" w:cs="SimSun"/>
          <w:spacing w:val="-16"/>
          <w:sz w:val="20"/>
          <w:szCs w:val="20"/>
        </w:rPr>
        <w:t>)</w:t>
      </w:r>
      <w:r>
        <w:rPr>
          <w:rFonts w:ascii="SimSun" w:eastAsia="SimSun" w:hAnsi="SimSun" w:cs="SimSun"/>
          <w:spacing w:val="-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轻度发生区：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以天敌自然控制害虫为目标，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主要采用诱捕器诱杀防治，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确保害虫发生保持在轻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度</w:t>
      </w:r>
      <w:r>
        <w:rPr>
          <w:rFonts w:ascii="SimSun" w:eastAsia="SimSun" w:hAnsi="SimSun" w:cs="SimSun"/>
          <w:spacing w:val="-4"/>
          <w:sz w:val="21"/>
          <w:szCs w:val="21"/>
        </w:rPr>
        <w:t>或轻度以下。</w:t>
      </w:r>
    </w:p>
    <w:p>
      <w:pPr>
        <w:spacing w:before="218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监控区</w:t>
      </w:r>
    </w:p>
    <w:p>
      <w:pPr>
        <w:spacing w:before="215" w:line="283" w:lineRule="auto"/>
        <w:ind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有明亮长脚金龟子</w:t>
      </w:r>
      <w:r>
        <w:rPr>
          <w:rFonts w:ascii="SimSun" w:eastAsia="SimSun" w:hAnsi="SimSun" w:cs="SimSun"/>
          <w:spacing w:val="-7"/>
          <w:sz w:val="21"/>
          <w:szCs w:val="21"/>
        </w:rPr>
        <w:t>发</w:t>
      </w:r>
      <w:r>
        <w:rPr>
          <w:rFonts w:ascii="SimSun" w:eastAsia="SimSun" w:hAnsi="SimSun" w:cs="SimSun"/>
          <w:spacing w:val="-4"/>
          <w:sz w:val="21"/>
          <w:szCs w:val="21"/>
        </w:rPr>
        <w:t>生但不形成对林木危害的区域、以前有发生但治理后未见发生的区域，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与明亮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长脚金龟</w:t>
      </w:r>
      <w:r>
        <w:rPr>
          <w:rFonts w:ascii="SimSun" w:eastAsia="SimSun" w:hAnsi="SimSun" w:cs="SimSun"/>
          <w:spacing w:val="-11"/>
          <w:sz w:val="21"/>
          <w:szCs w:val="21"/>
        </w:rPr>
        <w:t>子</w:t>
      </w:r>
      <w:r>
        <w:rPr>
          <w:rFonts w:ascii="SimSun" w:eastAsia="SimSun" w:hAnsi="SimSun" w:cs="SimSun"/>
          <w:spacing w:val="-8"/>
          <w:sz w:val="21"/>
          <w:szCs w:val="21"/>
        </w:rPr>
        <w:t>发生区毗邻地区应作为重点监控区。此类地区以监测为主，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定期调查，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做到及时发现，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及时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控</w:t>
      </w:r>
      <w:r>
        <w:rPr>
          <w:rFonts w:ascii="SimSun" w:eastAsia="SimSun" w:hAnsi="SimSun" w:cs="SimSun"/>
          <w:spacing w:val="-8"/>
          <w:sz w:val="21"/>
          <w:szCs w:val="21"/>
        </w:rPr>
        <w:t>制。</w:t>
      </w:r>
    </w:p>
    <w:p>
      <w:pPr>
        <w:spacing w:before="12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保护区</w:t>
      </w:r>
    </w:p>
    <w:p>
      <w:pPr>
        <w:spacing w:before="216" w:line="220" w:lineRule="auto"/>
        <w:ind w:left="4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尚未发现</w:t>
      </w:r>
      <w:r>
        <w:rPr>
          <w:rFonts w:ascii="SimSun" w:eastAsia="SimSun" w:hAnsi="SimSun" w:cs="SimSun"/>
          <w:spacing w:val="-2"/>
          <w:sz w:val="21"/>
          <w:szCs w:val="21"/>
        </w:rPr>
        <w:t>虫情，与发生区相连或相近的有寄主分布的区域。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8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防治技</w:t>
      </w:r>
      <w:r>
        <w:rPr>
          <w:rFonts w:ascii="SimHei" w:eastAsia="SimHei" w:hAnsi="SimHei" w:cs="SimHei"/>
          <w:sz w:val="21"/>
          <w:szCs w:val="21"/>
        </w:rPr>
        <w:t>术措施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3" w:lineRule="auto"/>
        <w:ind w:left="1"/>
        <w:rPr>
          <w:rFonts w:ascii="SimHei" w:eastAsia="SimHei" w:hAnsi="SimHei" w:cs="SimHei"/>
          <w:sz w:val="21"/>
          <w:szCs w:val="21"/>
        </w:rPr>
        <w:sectPr>
          <w:footerReference w:type="default" r:id="rId10"/>
          <w:pgSz w:w="11905" w:h="16840"/>
          <w:pgMar w:top="1406" w:right="1131" w:bottom="1315" w:left="1425" w:header="0" w:footer="1134" w:gutter="0"/>
          <w:pgNumType w:start="13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7.1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营</w:t>
      </w:r>
      <w:r>
        <w:rPr>
          <w:rFonts w:ascii="SimHei" w:eastAsia="SimHei" w:hAnsi="SimHei" w:cs="SimHei"/>
          <w:sz w:val="21"/>
          <w:szCs w:val="21"/>
        </w:rPr>
        <w:t>林措施</w:t>
      </w:r>
    </w:p>
    <w:p>
      <w:pPr>
        <w:spacing w:before="214" w:line="287" w:lineRule="auto"/>
        <w:ind w:left="1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加</w:t>
      </w:r>
      <w:r>
        <w:rPr>
          <w:rFonts w:ascii="SimSun" w:eastAsia="SimSun" w:hAnsi="SimSun" w:cs="SimSun"/>
          <w:spacing w:val="-9"/>
          <w:sz w:val="21"/>
          <w:szCs w:val="21"/>
        </w:rPr>
        <w:t>强抚育管理，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清除受害严重的病虫害木及无防治价值的濒死木、枯死木；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加强管护，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防止人畜践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踏毁坏林木</w:t>
      </w:r>
      <w:r>
        <w:rPr>
          <w:rFonts w:ascii="SimSun" w:eastAsia="SimSun" w:hAnsi="SimSun" w:cs="SimSun"/>
          <w:spacing w:val="-2"/>
          <w:sz w:val="21"/>
          <w:szCs w:val="21"/>
        </w:rPr>
        <w:t>，促进林分健康。</w:t>
      </w:r>
    </w:p>
    <w:p>
      <w:pPr>
        <w:spacing w:before="128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人</w:t>
      </w:r>
      <w:r>
        <w:rPr>
          <w:rFonts w:ascii="SimHei" w:eastAsia="SimHei" w:hAnsi="SimHei" w:cs="SimHei"/>
          <w:sz w:val="21"/>
          <w:szCs w:val="21"/>
        </w:rPr>
        <w:t>工捕捉</w:t>
      </w:r>
    </w:p>
    <w:p>
      <w:pPr>
        <w:spacing w:before="215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从</w:t>
      </w:r>
      <w:r>
        <w:rPr>
          <w:rFonts w:ascii="SimSun" w:eastAsia="SimSun" w:hAnsi="SimSun" w:cs="SimSun"/>
          <w:spacing w:val="5"/>
          <w:sz w:val="21"/>
          <w:szCs w:val="21"/>
        </w:rPr>
        <w:t>成</w:t>
      </w:r>
      <w:r>
        <w:rPr>
          <w:rFonts w:ascii="SimSun" w:eastAsia="SimSun" w:hAnsi="SimSun" w:cs="SimSun"/>
          <w:spacing w:val="4"/>
          <w:sz w:val="21"/>
          <w:szCs w:val="21"/>
        </w:rPr>
        <w:t>虫羽化始盛期(6月15日—20日)开始，利用害虫的假死性组织人力进行人工捕捉。</w:t>
      </w:r>
    </w:p>
    <w:p>
      <w:pPr>
        <w:sectPr>
          <w:footerReference w:type="default" r:id="rId11"/>
          <w:type w:val="nextPage"/>
          <w:pgSz w:w="11905" w:h="16840"/>
          <w:pgMar w:top="1406" w:right="1131" w:bottom="1315" w:left="1425" w:header="0" w:footer="1134" w:gutter="0"/>
          <w:pgNumType w:start="14"/>
          <w:cols w:space="708"/>
          <w:titlePg w:val="0"/>
        </w:sectPr>
      </w:pPr>
    </w:p>
    <w:p>
      <w:pPr>
        <w:spacing w:before="42" w:line="236" w:lineRule="auto"/>
        <w:ind w:right="60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1202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before="242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诱捕</w:t>
      </w:r>
      <w:r>
        <w:rPr>
          <w:rFonts w:ascii="SimHei" w:eastAsia="SimHei" w:hAnsi="SimHei" w:cs="SimHei"/>
          <w:sz w:val="21"/>
          <w:szCs w:val="21"/>
        </w:rPr>
        <w:t>器防治</w:t>
      </w:r>
    </w:p>
    <w:p>
      <w:pPr>
        <w:spacing w:before="21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诱</w:t>
      </w:r>
      <w:r>
        <w:rPr>
          <w:rFonts w:ascii="SimHei" w:eastAsia="SimHei" w:hAnsi="SimHei" w:cs="SimHei"/>
          <w:sz w:val="21"/>
          <w:szCs w:val="21"/>
        </w:rPr>
        <w:t>捕器的行、间距设置</w:t>
      </w:r>
    </w:p>
    <w:p>
      <w:pPr>
        <w:spacing w:before="216" w:line="312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-11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重度发生区：按行间距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25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米×25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米，“品”字形两行设置；</w:t>
      </w:r>
    </w:p>
    <w:p>
      <w:pPr>
        <w:spacing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7"/>
          <w:sz w:val="21"/>
          <w:szCs w:val="21"/>
        </w:rPr>
        <w:t>—</w:t>
      </w:r>
      <w:r>
        <w:rPr>
          <w:rFonts w:ascii="SimSun" w:eastAsia="SimSun" w:hAnsi="SimSun" w:cs="SimSun"/>
          <w:spacing w:val="-9"/>
          <w:sz w:val="21"/>
          <w:szCs w:val="21"/>
        </w:rPr>
        <w:t>—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中度发生区：按行间距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50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米×50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米，“品”字形两行设置；</w:t>
      </w:r>
    </w:p>
    <w:p>
      <w:pPr>
        <w:spacing w:before="61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—</w:t>
      </w:r>
      <w:r>
        <w:rPr>
          <w:rFonts w:ascii="SimSun" w:eastAsia="SimSun" w:hAnsi="SimSun" w:cs="SimSun"/>
          <w:spacing w:val="-7"/>
          <w:sz w:val="21"/>
          <w:szCs w:val="21"/>
        </w:rPr>
        <w:t>—轻度发生区：按间距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100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米—200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米，单行设置；</w:t>
      </w:r>
    </w:p>
    <w:p>
      <w:pPr>
        <w:spacing w:before="62" w:line="468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position w:val="19"/>
          <w:sz w:val="21"/>
          <w:szCs w:val="21"/>
        </w:rPr>
        <w:t>—</w:t>
      </w:r>
      <w:r>
        <w:rPr>
          <w:rFonts w:ascii="SimSun" w:eastAsia="SimSun" w:hAnsi="SimSun" w:cs="SimSun"/>
          <w:spacing w:val="-11"/>
          <w:position w:val="19"/>
          <w:sz w:val="21"/>
          <w:szCs w:val="21"/>
        </w:rPr>
        <w:t>—</w:t>
      </w:r>
      <w:r>
        <w:rPr>
          <w:rFonts w:ascii="SimSun" w:eastAsia="SimSun" w:hAnsi="SimSun" w:cs="SimSun"/>
          <w:spacing w:val="-6"/>
          <w:position w:val="19"/>
          <w:sz w:val="21"/>
          <w:szCs w:val="21"/>
        </w:rPr>
        <w:t>监控区：按间距</w:t>
      </w:r>
      <w:r>
        <w:rPr>
          <w:rFonts w:ascii="SimSun" w:eastAsia="SimSun" w:hAnsi="SimSun" w:cs="SimSun"/>
          <w:spacing w:val="-6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19"/>
          <w:sz w:val="21"/>
          <w:szCs w:val="21"/>
        </w:rPr>
        <w:t>500</w:t>
      </w:r>
      <w:r>
        <w:rPr>
          <w:rFonts w:ascii="SimSun" w:eastAsia="SimSun" w:hAnsi="SimSun" w:cs="SimSun"/>
          <w:spacing w:val="-6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19"/>
          <w:sz w:val="21"/>
          <w:szCs w:val="21"/>
        </w:rPr>
        <w:t>米，单行设置。</w:t>
      </w:r>
    </w:p>
    <w:p>
      <w:pPr>
        <w:spacing w:before="1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诱</w:t>
      </w:r>
      <w:r>
        <w:rPr>
          <w:rFonts w:ascii="SimHei" w:eastAsia="SimHei" w:hAnsi="SimHei" w:cs="SimHei"/>
          <w:sz w:val="21"/>
          <w:szCs w:val="21"/>
        </w:rPr>
        <w:t>捕器设置时间</w:t>
      </w:r>
    </w:p>
    <w:p>
      <w:pPr>
        <w:spacing w:before="216"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7"/>
          <w:sz w:val="21"/>
          <w:szCs w:val="21"/>
        </w:rPr>
        <w:t>在</w:t>
      </w:r>
      <w:r>
        <w:rPr>
          <w:rFonts w:ascii="SimSun" w:eastAsia="SimSun" w:hAnsi="SimSun" w:cs="SimSun"/>
          <w:spacing w:val="9"/>
          <w:sz w:val="21"/>
          <w:szCs w:val="21"/>
        </w:rPr>
        <w:t>成虫羽化前(6月10日—15日)设置。</w:t>
      </w:r>
    </w:p>
    <w:p>
      <w:pPr>
        <w:spacing w:before="21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诱</w:t>
      </w:r>
      <w:r>
        <w:rPr>
          <w:rFonts w:ascii="SimHei" w:eastAsia="SimHei" w:hAnsi="SimHei" w:cs="SimHei"/>
          <w:sz w:val="21"/>
          <w:szCs w:val="21"/>
        </w:rPr>
        <w:t>捕器的设置方法</w:t>
      </w:r>
    </w:p>
    <w:p>
      <w:pPr>
        <w:spacing w:before="217" w:line="287" w:lineRule="auto"/>
        <w:ind w:left="1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诱捕器设置在林缘或林间空地地势相对较高的地方，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在林缘外设置诱捕器时，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诱捕器距离寄主1米</w:t>
      </w:r>
      <w:r>
        <w:rPr>
          <w:rFonts w:ascii="SimSun" w:eastAsia="SimSun" w:hAnsi="SimSun" w:cs="SimSun"/>
          <w:spacing w:val="-1"/>
          <w:sz w:val="21"/>
          <w:szCs w:val="21"/>
        </w:rPr>
        <w:t>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悬挂高度以</w:t>
      </w:r>
      <w:r>
        <w:rPr>
          <w:rFonts w:ascii="SimSun" w:eastAsia="SimSun" w:hAnsi="SimSun" w:cs="SimSun"/>
          <w:spacing w:val="-1"/>
          <w:sz w:val="21"/>
          <w:szCs w:val="21"/>
        </w:rPr>
        <w:t>收集口距地面50厘米为最佳。诱捕器安装使用方法参见附录E。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诱</w:t>
      </w:r>
      <w:r>
        <w:rPr>
          <w:rFonts w:ascii="SimHei" w:eastAsia="SimHei" w:hAnsi="SimHei" w:cs="SimHei"/>
          <w:sz w:val="21"/>
          <w:szCs w:val="21"/>
        </w:rPr>
        <w:t>捕量统计检查方法</w:t>
      </w:r>
    </w:p>
    <w:p>
      <w:pPr>
        <w:spacing w:before="217" w:line="287" w:lineRule="auto"/>
        <w:ind w:right="60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统计收集袋内诱捕昆虫种类、数量及明亮长脚金龟子雌雄比，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清点后将所有害虫就地消灭。对诱</w:t>
      </w:r>
      <w:r>
        <w:rPr>
          <w:rFonts w:ascii="SimSun" w:eastAsia="SimSun" w:hAnsi="SimSun" w:cs="SimSun"/>
          <w:spacing w:val="-1"/>
          <w:sz w:val="21"/>
          <w:szCs w:val="21"/>
        </w:rPr>
        <w:t>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数量较多的，数量检查可采取称重法或刻度计数法两种方法。诱捕量调查表参见附录</w:t>
      </w:r>
      <w:r>
        <w:rPr>
          <w:rFonts w:ascii="SimSun" w:eastAsia="SimSun" w:hAnsi="SimSun" w:cs="SimSun"/>
          <w:sz w:val="21"/>
          <w:szCs w:val="21"/>
        </w:rPr>
        <w:t>F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7.3.4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称重法</w:t>
      </w:r>
    </w:p>
    <w:p>
      <w:pPr>
        <w:spacing w:before="215" w:line="412" w:lineRule="auto"/>
        <w:ind w:right="414" w:firstLine="418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称重法即对诱捕到的害虫全部称重，然后秤出20头金龟子的重量，换算出诱捕的金龟子</w:t>
      </w:r>
      <w:r>
        <w:rPr>
          <w:rFonts w:ascii="SimSun" w:eastAsia="SimSun" w:hAnsi="SimSun" w:cs="SimSun"/>
          <w:sz w:val="21"/>
          <w:szCs w:val="21"/>
        </w:rPr>
        <w:t>数量。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7.3.4.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刻度法</w:t>
      </w:r>
    </w:p>
    <w:p>
      <w:pPr>
        <w:spacing w:before="1" w:line="287" w:lineRule="auto"/>
        <w:ind w:right="102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刻度法即在指形管(</w:t>
      </w:r>
      <w:r>
        <w:rPr>
          <w:rFonts w:ascii="SimSun" w:eastAsia="SimSun" w:hAnsi="SimSun" w:cs="SimSun"/>
          <w:spacing w:val="3"/>
          <w:sz w:val="21"/>
          <w:szCs w:val="21"/>
        </w:rPr>
        <w:t>18厘米×2.5厘米)上按2厘米为单位作等量标记，计算2厘米处害虫的数量，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然后换算成</w:t>
      </w:r>
      <w:r>
        <w:rPr>
          <w:rFonts w:ascii="SimSun" w:eastAsia="SimSun" w:hAnsi="SimSun" w:cs="SimSun"/>
          <w:spacing w:val="-2"/>
          <w:sz w:val="21"/>
          <w:szCs w:val="21"/>
        </w:rPr>
        <w:t>全部害虫的数量。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药剂</w:t>
      </w:r>
      <w:r>
        <w:rPr>
          <w:rFonts w:ascii="SimHei" w:eastAsia="SimHei" w:hAnsi="SimHei" w:cs="SimHei"/>
          <w:sz w:val="21"/>
          <w:szCs w:val="21"/>
        </w:rPr>
        <w:t>防治</w:t>
      </w:r>
    </w:p>
    <w:p>
      <w:pPr>
        <w:spacing w:before="21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7.4.1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药</w:t>
      </w:r>
      <w:r>
        <w:rPr>
          <w:rFonts w:ascii="SimHei" w:eastAsia="SimHei" w:hAnsi="SimHei" w:cs="SimHei"/>
          <w:sz w:val="21"/>
          <w:szCs w:val="21"/>
        </w:rPr>
        <w:t>剂种类及用药量</w:t>
      </w:r>
    </w:p>
    <w:p>
      <w:pPr>
        <w:spacing w:before="216" w:line="287" w:lineRule="auto"/>
        <w:ind w:left="4" w:right="60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6"/>
          <w:sz w:val="21"/>
          <w:szCs w:val="21"/>
        </w:rPr>
        <w:t>8%</w:t>
      </w:r>
      <w:r>
        <w:rPr>
          <w:rFonts w:ascii="SimSun" w:eastAsia="SimSun" w:hAnsi="SimSun" w:cs="SimSun"/>
          <w:spacing w:val="11"/>
          <w:sz w:val="21"/>
          <w:szCs w:val="21"/>
        </w:rPr>
        <w:t>绿</w:t>
      </w:r>
      <w:r>
        <w:rPr>
          <w:rFonts w:ascii="SimSun" w:eastAsia="SimSun" w:hAnsi="SimSun" w:cs="SimSun"/>
          <w:spacing w:val="8"/>
          <w:sz w:val="21"/>
          <w:szCs w:val="21"/>
        </w:rPr>
        <w:t>色威雷(触破式微胶囊剂)300倍液；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触破(3%高效氯氰菊酯微胶囊悬浮剂)500倍液；4.5%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高效氯氰菊</w:t>
      </w:r>
      <w:r>
        <w:rPr>
          <w:rFonts w:ascii="SimSun" w:eastAsia="SimSun" w:hAnsi="SimSun" w:cs="SimSun"/>
          <w:spacing w:val="-3"/>
          <w:sz w:val="21"/>
          <w:szCs w:val="21"/>
        </w:rPr>
        <w:t>酯</w:t>
      </w:r>
      <w:r>
        <w:rPr>
          <w:rFonts w:ascii="SimSun" w:eastAsia="SimSun" w:hAnsi="SimSun" w:cs="SimSun"/>
          <w:spacing w:val="-2"/>
          <w:sz w:val="21"/>
          <w:szCs w:val="21"/>
        </w:rPr>
        <w:t>乳油1500倍液。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7.4.2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防治时间</w:t>
      </w:r>
    </w:p>
    <w:p>
      <w:pPr>
        <w:spacing w:before="217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6月中下旬至7</w:t>
      </w:r>
      <w:r>
        <w:rPr>
          <w:rFonts w:ascii="SimSun" w:eastAsia="SimSun" w:hAnsi="SimSun" w:cs="SimSun"/>
          <w:spacing w:val="-1"/>
          <w:sz w:val="21"/>
          <w:szCs w:val="21"/>
        </w:rPr>
        <w:t>月中旬，在明亮长脚金龟子成虫羽化始盛期至盛发期进行。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7.4.3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防治方法</w:t>
      </w:r>
    </w:p>
    <w:p>
      <w:pPr>
        <w:spacing w:before="217" w:line="287" w:lineRule="auto"/>
        <w:ind w:right="59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用高压动力喷雾机</w:t>
      </w:r>
      <w:r>
        <w:rPr>
          <w:rFonts w:ascii="SimSun" w:eastAsia="SimSun" w:hAnsi="SimSun" w:cs="SimSun"/>
          <w:spacing w:val="-2"/>
          <w:sz w:val="21"/>
          <w:szCs w:val="21"/>
        </w:rPr>
        <w:t>进行常用量喷雾防治，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特殊环境区域(如靠近水域、林分稀疏等)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采用背负式喷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雾</w:t>
      </w:r>
      <w:r>
        <w:rPr>
          <w:rFonts w:ascii="SimSun" w:eastAsia="SimSun" w:hAnsi="SimSun" w:cs="SimSun"/>
          <w:spacing w:val="-6"/>
          <w:sz w:val="21"/>
          <w:szCs w:val="21"/>
        </w:rPr>
        <w:t>机防治。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  <w:sectPr>
          <w:footerReference w:type="default" r:id="rId12"/>
          <w:pgSz w:w="11905" w:h="16840"/>
          <w:pgMar w:top="1406" w:right="1072" w:bottom="1314" w:left="1427" w:header="0" w:footer="1135" w:gutter="0"/>
          <w:pgNumType w:start="15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7.5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生物防</w:t>
      </w:r>
      <w:r>
        <w:rPr>
          <w:rFonts w:ascii="SimHei" w:eastAsia="SimHei" w:hAnsi="SimHei" w:cs="SimHei"/>
          <w:sz w:val="21"/>
          <w:szCs w:val="21"/>
        </w:rPr>
        <w:t>治</w:t>
      </w:r>
    </w:p>
    <w:p>
      <w:pPr>
        <w:spacing w:before="214" w:line="272" w:lineRule="auto"/>
        <w:ind w:right="59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利用</w:t>
      </w:r>
      <w:r>
        <w:rPr>
          <w:rFonts w:ascii="SimSun" w:eastAsia="SimSun" w:hAnsi="SimSun" w:cs="SimSun"/>
          <w:spacing w:val="5"/>
          <w:sz w:val="21"/>
          <w:szCs w:val="21"/>
        </w:rPr>
        <w:t>黑</w:t>
      </w:r>
      <w:r>
        <w:rPr>
          <w:rFonts w:ascii="SimSun" w:eastAsia="SimSun" w:hAnsi="SimSun" w:cs="SimSun"/>
          <w:spacing w:val="3"/>
          <w:sz w:val="21"/>
          <w:szCs w:val="21"/>
        </w:rPr>
        <w:t>蚁(</w:t>
      </w:r>
      <w:r>
        <w:rPr>
          <w:rFonts w:ascii="SimSun" w:eastAsia="SimSun" w:hAnsi="SimSun" w:cs="SimSun"/>
          <w:i/>
          <w:iCs/>
          <w:sz w:val="22"/>
          <w:szCs w:val="22"/>
        </w:rPr>
        <w:t>Lasiusniger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i/>
          <w:iCs/>
          <w:sz w:val="22"/>
          <w:szCs w:val="22"/>
        </w:rPr>
        <w:t>l</w:t>
      </w:r>
      <w:r>
        <w:rPr>
          <w:rFonts w:ascii="SimSun" w:eastAsia="SimSun" w:hAnsi="SimSun" w:cs="SimSun"/>
          <w:i/>
          <w:iCs/>
          <w:spacing w:val="3"/>
          <w:sz w:val="22"/>
          <w:szCs w:val="22"/>
        </w:rPr>
        <w:t>.</w:t>
      </w:r>
      <w:r>
        <w:rPr>
          <w:rFonts w:ascii="SimSun" w:eastAsia="SimSun" w:hAnsi="SimSun" w:cs="SimSun"/>
          <w:spacing w:val="3"/>
          <w:sz w:val="21"/>
          <w:szCs w:val="21"/>
        </w:rPr>
        <w:t>)、多型虎甲红翅亚种(</w:t>
      </w:r>
      <w:r>
        <w:rPr>
          <w:rFonts w:ascii="SimSun" w:eastAsia="SimSun" w:hAnsi="SimSun" w:cs="SimSun"/>
          <w:i/>
          <w:iCs/>
          <w:sz w:val="22"/>
          <w:szCs w:val="22"/>
        </w:rPr>
        <w:t>Cicindelahybridanitida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i/>
          <w:iCs/>
          <w:sz w:val="22"/>
          <w:szCs w:val="22"/>
        </w:rPr>
        <w:t>Lichenstein</w:t>
      </w:r>
      <w:r>
        <w:rPr>
          <w:rFonts w:ascii="SimSun" w:eastAsia="SimSun" w:hAnsi="SimSun" w:cs="SimSun"/>
          <w:spacing w:val="3"/>
          <w:sz w:val="21"/>
          <w:szCs w:val="21"/>
        </w:rPr>
        <w:t>)、茧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蜂(</w:t>
      </w:r>
      <w:r>
        <w:rPr>
          <w:rFonts w:ascii="SimSun" w:eastAsia="SimSun" w:hAnsi="SimSun" w:cs="SimSun"/>
          <w:i/>
          <w:iCs/>
          <w:sz w:val="22"/>
          <w:szCs w:val="22"/>
        </w:rPr>
        <w:t>Braconidae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i/>
          <w:iCs/>
          <w:sz w:val="22"/>
          <w:szCs w:val="22"/>
        </w:rPr>
        <w:t>sp</w:t>
      </w:r>
      <w:r>
        <w:rPr>
          <w:rFonts w:ascii="SimSun" w:eastAsia="SimSun" w:hAnsi="SimSun" w:cs="SimSun"/>
          <w:spacing w:val="1"/>
          <w:sz w:val="21"/>
          <w:szCs w:val="21"/>
        </w:rPr>
        <w:t>)、姬蜂(</w:t>
      </w:r>
      <w:r>
        <w:rPr>
          <w:rFonts w:ascii="SimSun" w:eastAsia="SimSun" w:hAnsi="SimSun" w:cs="SimSun"/>
          <w:i/>
          <w:iCs/>
          <w:sz w:val="22"/>
          <w:szCs w:val="22"/>
        </w:rPr>
        <w:t>Ichneumonidaesp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和鸟类等天敌，天敌数量多的区域严禁药物防</w:t>
      </w:r>
      <w:r>
        <w:rPr>
          <w:rFonts w:ascii="SimSun" w:eastAsia="SimSun" w:hAnsi="SimSun" w:cs="SimSun"/>
          <w:sz w:val="21"/>
          <w:szCs w:val="21"/>
        </w:rPr>
        <w:t>治。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https://d.book118.com/398016065120006024</w:t>
        </w:r>
      </w:hyperlink>
    </w:p>
    <w:p/>
    <w:sectPr>
      <w:footerReference w:type="default" r:id="rId14"/>
      <w:type w:val="nextPage"/>
      <w:pgSz w:w="11905" w:h="16840"/>
      <w:pgMar w:top="1406" w:right="1072" w:bottom="1314" w:left="1427" w:header="0" w:footer="1135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398016065120006024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&lt;4D6963726F736F667420576F7264202D20444231323032C3F7C1C1B3A4BDC5BDF0B9EAD7D3D7DBBACFB7C0D6CEBCBCCAF5B9E6B3CC2E746373&gt;</dc:title>
  <dc:creator>lllll</dc:creator>
  <cp:revision>0</cp:revision>
  <dcterms:created xsi:type="dcterms:W3CDTF">2022-02-18T11:17:56Z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2023-05-13T19:33:33Z</vt:filetime>
  </property>
  <property fmtid="{D5CDD505-2E9C-101B-9397-08002B2CF9AE}" pid="3" name="CRO">
    <vt:lpwstr>wqlLaW5nc29mdCBQREYgdG8gV1BTIDgw</vt:lpwstr>
  </property>
</Properties>
</file>