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7"/>
        <w:rPr>
          <w:rFonts w:ascii="Times New Roman"/>
          <w:sz w:val="9"/>
        </w:rPr>
      </w:pPr>
      <w:r>
        <w:pict>
          <v:shapetype id="_x0000_t202" coordsize="21600,21600" o:spt="202" path="m,l,21600r21600,l21600,xe">
            <v:stroke joinstyle="miter"/>
            <v:path gradientshapeok="t" o:connecttype="rect"/>
          </v:shapetype>
          <v:shape id="_x0000_s1025" type="#_x0000_t202" style="width:60pt;height:12pt;margin-top:36.85pt;margin-left:488.98pt;mso-position-horizontal-relative:page;mso-position-vertical-relative:page;position:absolute;z-index:-251658240" filled="f" stroked="f">
            <v:textbox inset="0,0,0,0">
              <w:txbxContent>
                <w:p>
                  <w:pPr>
                    <w:spacing w:before="0" w:line="240" w:lineRule="exact"/>
                    <w:ind w:left="0" w:right="0" w:firstLine="0"/>
                    <w:jc w:val="left"/>
                    <w:rPr>
                      <w:sz w:val="24"/>
                    </w:rPr>
                  </w:pPr>
                  <w:r>
                    <w:rPr>
                      <w:sz w:val="24"/>
                    </w:rPr>
                    <w:t>丨公司名称</w:t>
                  </w:r>
                </w:p>
              </w:txbxContent>
            </v:textbox>
          </v:shape>
        </w:pict>
      </w:r>
    </w:p>
    <w:p>
      <w:pPr>
        <w:spacing w:before="61"/>
        <w:ind w:left="2292" w:right="0" w:firstLine="0"/>
        <w:jc w:val="left"/>
        <w:rPr>
          <w:b/>
          <w:sz w:val="28"/>
        </w:rPr>
      </w:pPr>
      <w:r>
        <w:rPr>
          <w:b/>
          <w:sz w:val="28"/>
        </w:rPr>
        <w:t>正文目录</w:t>
      </w:r>
    </w:p>
    <w:sdt>
      <w:sdtPr>
        <w:id w:val="1910169154"/>
        <w:docPartObj>
          <w:docPartGallery w:val="Table of Contents"/>
          <w:docPartUnique/>
        </w:docPartObj>
      </w:sdtPr>
      <w:sdtContent>
        <w:p>
          <w:pPr>
            <w:pStyle w:val="TOC1"/>
            <w:numPr>
              <w:ilvl w:val="0"/>
              <w:numId w:val="3"/>
            </w:numPr>
            <w:tabs>
              <w:tab w:val="left" w:pos="2712"/>
              <w:tab w:val="left" w:pos="2713"/>
              <w:tab w:val="right" w:leader="dot" w:pos="10386"/>
            </w:tabs>
            <w:spacing w:before="155" w:after="0" w:line="240" w:lineRule="auto"/>
            <w:ind w:left="2712" w:right="0" w:hanging="421"/>
            <w:jc w:val="left"/>
          </w:pPr>
          <w:hyperlink w:anchor="_TOC_250024" w:history="1">
            <w:r>
              <w:t>供给：中国主导稀</w:t>
            </w:r>
            <w:r>
              <w:rPr>
                <w:spacing w:val="-3"/>
              </w:rPr>
              <w:t>土</w:t>
            </w:r>
            <w:r>
              <w:t>产</w:t>
            </w:r>
            <w:r>
              <w:rPr>
                <w:spacing w:val="-3"/>
              </w:rPr>
              <w:t>业</w:t>
            </w:r>
            <w:r>
              <w:t>，海外冶炼分离产</w:t>
            </w:r>
            <w:r>
              <w:rPr>
                <w:spacing w:val="-3"/>
              </w:rPr>
              <w:t>能</w:t>
            </w:r>
            <w:r>
              <w:t>发</w:t>
            </w:r>
            <w:r>
              <w:rPr>
                <w:spacing w:val="-3"/>
              </w:rPr>
              <w:t>展</w:t>
            </w:r>
            <w:r>
              <w:t>迅速</w:t>
              <w:tab/>
              <w:t>1</w:t>
            </w:r>
          </w:hyperlink>
        </w:p>
        <w:p>
          <w:pPr>
            <w:pStyle w:val="TOC1"/>
            <w:numPr>
              <w:ilvl w:val="1"/>
              <w:numId w:val="3"/>
            </w:numPr>
            <w:tabs>
              <w:tab w:val="left" w:pos="3132"/>
              <w:tab w:val="left" w:pos="3133"/>
              <w:tab w:val="right" w:leader="dot" w:pos="10386"/>
            </w:tabs>
            <w:spacing w:before="43" w:after="0" w:line="240" w:lineRule="auto"/>
            <w:ind w:left="3133" w:right="0" w:hanging="841"/>
            <w:jc w:val="left"/>
          </w:pPr>
          <w:hyperlink w:anchor="_TOC_250023" w:history="1">
            <w:r>
              <w:t>稀土行业具有较强</w:t>
            </w:r>
            <w:r>
              <w:rPr>
                <w:spacing w:val="-3"/>
              </w:rPr>
              <w:t>的</w:t>
            </w:r>
            <w:r>
              <w:t>技</w:t>
            </w:r>
            <w:r>
              <w:rPr>
                <w:spacing w:val="-3"/>
              </w:rPr>
              <w:t>术</w:t>
            </w:r>
            <w:r>
              <w:t>和环保壁垒</w:t>
              <w:tab/>
              <w:t>1</w:t>
            </w:r>
          </w:hyperlink>
        </w:p>
        <w:p>
          <w:pPr>
            <w:pStyle w:val="TOC1"/>
            <w:numPr>
              <w:ilvl w:val="1"/>
              <w:numId w:val="3"/>
            </w:numPr>
            <w:tabs>
              <w:tab w:val="left" w:pos="3132"/>
              <w:tab w:val="left" w:pos="3133"/>
              <w:tab w:val="right" w:leader="dot" w:pos="10386"/>
            </w:tabs>
            <w:spacing w:before="43" w:after="0" w:line="240" w:lineRule="auto"/>
            <w:ind w:left="3133" w:right="0" w:hanging="841"/>
            <w:jc w:val="left"/>
          </w:pPr>
          <w:hyperlink w:anchor="_TOC_250022" w:history="1">
            <w:r>
              <w:t>中国主导全球供给</w:t>
            </w:r>
            <w:r>
              <w:rPr>
                <w:spacing w:val="-3"/>
              </w:rPr>
              <w:t>，</w:t>
            </w:r>
            <w:r>
              <w:t>供</w:t>
            </w:r>
            <w:r>
              <w:rPr>
                <w:spacing w:val="-3"/>
              </w:rPr>
              <w:t>给</w:t>
            </w:r>
            <w:r>
              <w:t>端释放节奏取决于</w:t>
            </w:r>
            <w:r>
              <w:rPr>
                <w:spacing w:val="-3"/>
              </w:rPr>
              <w:t>指</w:t>
            </w:r>
            <w:r>
              <w:t>标</w:t>
            </w:r>
            <w:r>
              <w:rPr>
                <w:spacing w:val="-3"/>
              </w:rPr>
              <w:t>配</w:t>
            </w:r>
            <w:r>
              <w:t>额</w:t>
              <w:tab/>
              <w:t>5</w:t>
            </w:r>
          </w:hyperlink>
        </w:p>
        <w:p>
          <w:pPr>
            <w:pStyle w:val="TOC1"/>
            <w:numPr>
              <w:ilvl w:val="2"/>
              <w:numId w:val="3"/>
            </w:numPr>
            <w:tabs>
              <w:tab w:val="left" w:pos="3132"/>
              <w:tab w:val="left" w:pos="3133"/>
              <w:tab w:val="right" w:leader="dot" w:pos="10386"/>
            </w:tabs>
            <w:spacing w:before="43" w:after="0" w:line="240" w:lineRule="auto"/>
            <w:ind w:left="3133" w:right="0" w:hanging="841"/>
            <w:jc w:val="left"/>
          </w:pPr>
          <w:hyperlink w:anchor="_TOC_250021" w:history="1">
            <w:r>
              <w:t>历史沿革：由</w:t>
            </w:r>
            <w:r>
              <w:rPr>
                <w:rFonts w:ascii="Arial" w:eastAsia="Arial" w:hAnsi="Arial"/>
                <w:spacing w:val="-3"/>
              </w:rPr>
              <w:t>“</w:t>
            </w:r>
            <w:r>
              <w:t>分散</w:t>
            </w:r>
            <w:r>
              <w:rPr>
                <w:rFonts w:ascii="Arial" w:eastAsia="Arial" w:hAnsi="Arial"/>
                <w:spacing w:val="-3"/>
              </w:rPr>
              <w:t>”</w:t>
            </w:r>
            <w:r>
              <w:t>走向</w:t>
            </w:r>
            <w:r>
              <w:rPr>
                <w:rFonts w:ascii="Arial" w:eastAsia="Arial" w:hAnsi="Arial"/>
                <w:spacing w:val="-3"/>
              </w:rPr>
              <w:t>“</w:t>
            </w:r>
            <w:r>
              <w:t>集中</w:t>
            </w:r>
            <w:r>
              <w:rPr>
                <w:rFonts w:ascii="Arial" w:eastAsia="Arial" w:hAnsi="Arial"/>
              </w:rPr>
              <w:t>”</w:t>
              <w:tab/>
            </w:r>
            <w:r>
              <w:t>5</w:t>
            </w:r>
          </w:hyperlink>
        </w:p>
        <w:p>
          <w:pPr>
            <w:pStyle w:val="TOC1"/>
            <w:numPr>
              <w:ilvl w:val="2"/>
              <w:numId w:val="3"/>
            </w:numPr>
            <w:tabs>
              <w:tab w:val="left" w:pos="3132"/>
              <w:tab w:val="left" w:pos="3133"/>
              <w:tab w:val="right" w:leader="dot" w:pos="10386"/>
            </w:tabs>
            <w:spacing w:before="43" w:after="0" w:line="240" w:lineRule="auto"/>
            <w:ind w:left="3133" w:right="0" w:hanging="841"/>
            <w:jc w:val="left"/>
          </w:pPr>
          <w:hyperlink w:anchor="_TOC_250020" w:history="1">
            <w:r>
              <w:t>中国在稀土资源禀</w:t>
            </w:r>
            <w:r>
              <w:rPr>
                <w:spacing w:val="-3"/>
              </w:rPr>
              <w:t>赋</w:t>
            </w:r>
            <w:r>
              <w:t>和</w:t>
            </w:r>
            <w:r>
              <w:rPr>
                <w:spacing w:val="-3"/>
              </w:rPr>
              <w:t>开</w:t>
            </w:r>
            <w:r>
              <w:t>采冶炼分离环节世</w:t>
            </w:r>
            <w:r>
              <w:rPr>
                <w:spacing w:val="-3"/>
              </w:rPr>
              <w:t>界</w:t>
            </w:r>
            <w:r>
              <w:t>第一</w:t>
              <w:tab/>
              <w:t>8</w:t>
            </w:r>
          </w:hyperlink>
        </w:p>
        <w:p>
          <w:pPr>
            <w:pStyle w:val="TOC1"/>
            <w:numPr>
              <w:ilvl w:val="2"/>
              <w:numId w:val="3"/>
            </w:numPr>
            <w:tabs>
              <w:tab w:val="left" w:pos="3132"/>
              <w:tab w:val="left" w:pos="3133"/>
              <w:tab w:val="right" w:leader="dot" w:pos="10386"/>
            </w:tabs>
            <w:spacing w:before="43" w:after="0" w:line="240" w:lineRule="auto"/>
            <w:ind w:left="3133" w:right="0" w:hanging="841"/>
            <w:jc w:val="left"/>
          </w:pPr>
          <w:hyperlink w:anchor="_TOC_250019" w:history="1">
            <w:r>
              <w:t>技术和环境壁垒仍</w:t>
            </w:r>
            <w:r>
              <w:rPr>
                <w:spacing w:val="-3"/>
              </w:rPr>
              <w:t>存</w:t>
            </w:r>
            <w:r>
              <w:t>，</w:t>
            </w:r>
            <w:r>
              <w:rPr>
                <w:spacing w:val="-3"/>
              </w:rPr>
              <w:t>但</w:t>
            </w:r>
            <w:r>
              <w:t>海外分离产能发展</w:t>
            </w:r>
            <w:r>
              <w:rPr>
                <w:spacing w:val="-3"/>
              </w:rPr>
              <w:t>不</w:t>
            </w:r>
            <w:r>
              <w:t>可</w:t>
            </w:r>
            <w:r>
              <w:rPr>
                <w:spacing w:val="-3"/>
              </w:rPr>
              <w:t>小</w:t>
            </w:r>
            <w:r>
              <w:t>觑</w:t>
              <w:tab/>
              <w:t>14</w:t>
            </w:r>
          </w:hyperlink>
        </w:p>
        <w:p>
          <w:pPr>
            <w:pStyle w:val="TOC1"/>
            <w:numPr>
              <w:ilvl w:val="0"/>
              <w:numId w:val="3"/>
            </w:numPr>
            <w:tabs>
              <w:tab w:val="left" w:pos="2712"/>
              <w:tab w:val="left" w:pos="2713"/>
              <w:tab w:val="right" w:leader="dot" w:pos="10386"/>
            </w:tabs>
            <w:spacing w:before="43" w:after="0" w:line="240" w:lineRule="auto"/>
            <w:ind w:left="2712" w:right="0" w:hanging="421"/>
            <w:jc w:val="left"/>
          </w:pPr>
          <w:hyperlink w:anchor="_TOC_250018" w:history="1">
            <w:r>
              <w:t>高端稀土永磁行业</w:t>
            </w:r>
            <w:r>
              <w:rPr>
                <w:spacing w:val="-3"/>
              </w:rPr>
              <w:t>放</w:t>
            </w:r>
            <w:r>
              <w:t>量</w:t>
            </w:r>
            <w:r>
              <w:rPr>
                <w:spacing w:val="-3"/>
              </w:rPr>
              <w:t>可</w:t>
            </w:r>
            <w:r>
              <w:t>期</w:t>
              <w:tab/>
              <w:t>20</w:t>
            </w:r>
          </w:hyperlink>
        </w:p>
        <w:p>
          <w:pPr>
            <w:pStyle w:val="TOC1"/>
            <w:numPr>
              <w:ilvl w:val="1"/>
              <w:numId w:val="3"/>
            </w:numPr>
            <w:tabs>
              <w:tab w:val="left" w:pos="3132"/>
              <w:tab w:val="left" w:pos="3133"/>
              <w:tab w:val="right" w:leader="dot" w:pos="10386"/>
            </w:tabs>
            <w:spacing w:before="43" w:after="0" w:line="240" w:lineRule="auto"/>
            <w:ind w:left="3133" w:right="0" w:hanging="841"/>
            <w:jc w:val="left"/>
          </w:pPr>
          <w:hyperlink w:anchor="_TOC_250017" w:history="1">
            <w:r>
              <w:t>稀土永磁在稀土产</w:t>
            </w:r>
            <w:r>
              <w:rPr>
                <w:spacing w:val="-3"/>
              </w:rPr>
              <w:t>业</w:t>
            </w:r>
            <w:r>
              <w:t>链</w:t>
            </w:r>
            <w:r>
              <w:rPr>
                <w:spacing w:val="-3"/>
              </w:rPr>
              <w:t>中</w:t>
            </w:r>
            <w:r>
              <w:t>价值最高</w:t>
              <w:tab/>
              <w:t>20</w:t>
            </w:r>
          </w:hyperlink>
        </w:p>
        <w:p>
          <w:pPr>
            <w:pStyle w:val="TOC1"/>
            <w:numPr>
              <w:ilvl w:val="1"/>
              <w:numId w:val="3"/>
            </w:numPr>
            <w:tabs>
              <w:tab w:val="left" w:pos="3132"/>
              <w:tab w:val="left" w:pos="3133"/>
              <w:tab w:val="right" w:leader="dot" w:pos="10386"/>
            </w:tabs>
            <w:spacing w:before="43" w:after="0" w:line="240" w:lineRule="auto"/>
            <w:ind w:left="3133" w:right="0" w:hanging="841"/>
            <w:jc w:val="left"/>
          </w:pPr>
          <w:hyperlink w:anchor="_TOC_250016" w:history="1">
            <w:r>
              <w:t>中游高性能钕铁硼</w:t>
            </w:r>
            <w:r>
              <w:rPr>
                <w:spacing w:val="-3"/>
              </w:rPr>
              <w:t>产</w:t>
            </w:r>
            <w:r>
              <w:t>能</w:t>
            </w:r>
            <w:r>
              <w:rPr>
                <w:spacing w:val="-3"/>
              </w:rPr>
              <w:t>建</w:t>
            </w:r>
            <w:r>
              <w:t>设迅速</w:t>
              <w:tab/>
              <w:t>21</w:t>
            </w:r>
          </w:hyperlink>
        </w:p>
        <w:p>
          <w:pPr>
            <w:pStyle w:val="TOC1"/>
            <w:numPr>
              <w:ilvl w:val="0"/>
              <w:numId w:val="3"/>
            </w:numPr>
            <w:tabs>
              <w:tab w:val="left" w:pos="2712"/>
              <w:tab w:val="left" w:pos="2713"/>
              <w:tab w:val="right" w:leader="dot" w:pos="10386"/>
            </w:tabs>
            <w:spacing w:before="43" w:after="0" w:line="240" w:lineRule="auto"/>
            <w:ind w:left="2712" w:right="0" w:hanging="421"/>
            <w:jc w:val="left"/>
          </w:pPr>
          <w:hyperlink w:anchor="_TOC_250015" w:history="1">
            <w:r>
              <w:t>能源结构转型背景</w:t>
            </w:r>
            <w:r>
              <w:rPr>
                <w:spacing w:val="-3"/>
              </w:rPr>
              <w:t>下</w:t>
            </w:r>
            <w:r>
              <w:t>，</w:t>
            </w:r>
            <w:r>
              <w:rPr>
                <w:spacing w:val="-3"/>
              </w:rPr>
              <w:t>高</w:t>
            </w:r>
            <w:r>
              <w:t>性能永磁材料需求</w:t>
            </w:r>
            <w:r>
              <w:rPr>
                <w:spacing w:val="-3"/>
              </w:rPr>
              <w:t>打</w:t>
            </w:r>
            <w:r>
              <w:t>开</w:t>
            </w:r>
            <w:r>
              <w:rPr>
                <w:spacing w:val="-3"/>
              </w:rPr>
              <w:t>成</w:t>
            </w:r>
            <w:r>
              <w:t>长空间</w:t>
              <w:tab/>
              <w:t>24</w:t>
            </w:r>
          </w:hyperlink>
        </w:p>
        <w:p>
          <w:pPr>
            <w:pStyle w:val="TOC1"/>
            <w:numPr>
              <w:ilvl w:val="1"/>
              <w:numId w:val="3"/>
            </w:numPr>
            <w:tabs>
              <w:tab w:val="left" w:pos="3132"/>
              <w:tab w:val="left" w:pos="3133"/>
              <w:tab w:val="right" w:leader="dot" w:pos="10386"/>
            </w:tabs>
            <w:spacing w:before="43" w:after="0" w:line="240" w:lineRule="auto"/>
            <w:ind w:left="3133" w:right="0" w:hanging="841"/>
            <w:jc w:val="left"/>
          </w:pPr>
          <w:r>
            <w:t>高性能钕铁硼主要</w:t>
          </w:r>
          <w:r>
            <w:rPr>
              <w:spacing w:val="-3"/>
            </w:rPr>
            <w:t>应</w:t>
          </w:r>
          <w:r>
            <w:t>用</w:t>
          </w:r>
          <w:r>
            <w:rPr>
              <w:spacing w:val="-3"/>
            </w:rPr>
            <w:t>于</w:t>
          </w:r>
          <w:r>
            <w:t>新能源和节能环保</w:t>
          </w:r>
          <w:r>
            <w:rPr>
              <w:spacing w:val="-3"/>
            </w:rPr>
            <w:t>领</w:t>
          </w:r>
          <w:r>
            <w:t>域</w:t>
            <w:tab/>
            <w:t>24</w:t>
          </w:r>
        </w:p>
        <w:p>
          <w:pPr>
            <w:pStyle w:val="TOC1"/>
            <w:numPr>
              <w:ilvl w:val="1"/>
              <w:numId w:val="3"/>
            </w:numPr>
            <w:tabs>
              <w:tab w:val="left" w:pos="3132"/>
              <w:tab w:val="left" w:pos="3133"/>
              <w:tab w:val="right" w:leader="dot" w:pos="10386"/>
            </w:tabs>
            <w:spacing w:before="43" w:after="0" w:line="240" w:lineRule="auto"/>
            <w:ind w:left="3133" w:right="0" w:hanging="841"/>
            <w:jc w:val="left"/>
          </w:pPr>
          <w:hyperlink w:anchor="_TOC_250014" w:history="1">
            <w:r>
              <w:t>新能源车需求贡献</w:t>
            </w:r>
            <w:r>
              <w:rPr>
                <w:spacing w:val="-3"/>
              </w:rPr>
              <w:t>主</w:t>
            </w:r>
            <w:r>
              <w:t>要</w:t>
            </w:r>
            <w:r>
              <w:rPr>
                <w:spacing w:val="-3"/>
              </w:rPr>
              <w:t>增</w:t>
            </w:r>
            <w:r>
              <w:t>量，人形机器人将</w:t>
            </w:r>
            <w:r>
              <w:rPr>
                <w:spacing w:val="-3"/>
              </w:rPr>
              <w:t>是</w:t>
            </w:r>
            <w:r>
              <w:t>行</w:t>
            </w:r>
            <w:r>
              <w:rPr>
                <w:spacing w:val="-3"/>
              </w:rPr>
              <w:t>业</w:t>
            </w:r>
            <w:r>
              <w:t>未来星辰大海</w:t>
              <w:tab/>
              <w:t>25</w:t>
            </w:r>
          </w:hyperlink>
        </w:p>
        <w:p>
          <w:pPr>
            <w:pStyle w:val="TOC1"/>
            <w:numPr>
              <w:ilvl w:val="0"/>
              <w:numId w:val="3"/>
            </w:numPr>
            <w:tabs>
              <w:tab w:val="left" w:pos="2712"/>
              <w:tab w:val="left" w:pos="2713"/>
              <w:tab w:val="right" w:leader="dot" w:pos="10386"/>
            </w:tabs>
            <w:spacing w:before="43" w:after="0" w:line="240" w:lineRule="auto"/>
            <w:ind w:left="2712" w:right="0" w:hanging="421"/>
            <w:jc w:val="left"/>
          </w:pPr>
          <w:hyperlink w:anchor="_TOC_250013" w:history="1">
            <w:r>
              <w:t>供需有望保持紧平</w:t>
            </w:r>
            <w:r>
              <w:rPr>
                <w:spacing w:val="-3"/>
              </w:rPr>
              <w:t>衡</w:t>
            </w:r>
            <w:r>
              <w:t>，</w:t>
            </w:r>
            <w:r>
              <w:rPr>
                <w:spacing w:val="-3"/>
              </w:rPr>
              <w:t>镨</w:t>
            </w:r>
            <w:r>
              <w:t>钕价格有望企稳</w:t>
              <w:tab/>
              <w:t>30</w:t>
            </w:r>
          </w:hyperlink>
        </w:p>
        <w:p>
          <w:pPr>
            <w:pStyle w:val="TOC1"/>
            <w:numPr>
              <w:ilvl w:val="1"/>
              <w:numId w:val="3"/>
            </w:numPr>
            <w:tabs>
              <w:tab w:val="left" w:pos="3132"/>
              <w:tab w:val="left" w:pos="3133"/>
              <w:tab w:val="right" w:leader="dot" w:pos="10386"/>
            </w:tabs>
            <w:spacing w:before="43" w:after="0" w:line="240" w:lineRule="auto"/>
            <w:ind w:left="3133" w:right="0" w:hanging="841"/>
            <w:jc w:val="left"/>
          </w:pPr>
          <w:hyperlink w:anchor="_TOC_250012" w:history="1">
            <w:r>
              <w:t>镨钕供需有望保持</w:t>
            </w:r>
            <w:r>
              <w:rPr>
                <w:spacing w:val="-3"/>
              </w:rPr>
              <w:t>紧</w:t>
            </w:r>
            <w:r>
              <w:t>平衡</w:t>
              <w:tab/>
              <w:t>30</w:t>
            </w:r>
          </w:hyperlink>
        </w:p>
        <w:p>
          <w:pPr>
            <w:pStyle w:val="TOC1"/>
            <w:numPr>
              <w:ilvl w:val="1"/>
              <w:numId w:val="3"/>
            </w:numPr>
            <w:tabs>
              <w:tab w:val="left" w:pos="3132"/>
              <w:tab w:val="left" w:pos="3133"/>
              <w:tab w:val="right" w:leader="dot" w:pos="10386"/>
            </w:tabs>
            <w:spacing w:before="43" w:after="0" w:line="240" w:lineRule="auto"/>
            <w:ind w:left="3133" w:right="0" w:hanging="841"/>
            <w:jc w:val="left"/>
          </w:pPr>
          <w:hyperlink w:anchor="_TOC_250011" w:history="1">
            <w:r>
              <w:t>稀土价格由供给驱</w:t>
            </w:r>
            <w:r>
              <w:rPr>
                <w:spacing w:val="-3"/>
              </w:rPr>
              <w:t>动</w:t>
            </w:r>
            <w:r>
              <w:t>转</w:t>
            </w:r>
            <w:r>
              <w:rPr>
                <w:spacing w:val="-3"/>
              </w:rPr>
              <w:t>向</w:t>
            </w:r>
            <w:r>
              <w:t>需求驱动，供需偏</w:t>
            </w:r>
            <w:r>
              <w:rPr>
                <w:spacing w:val="-3"/>
              </w:rPr>
              <w:t>紧</w:t>
            </w:r>
            <w:r>
              <w:t>格</w:t>
            </w:r>
            <w:r>
              <w:rPr>
                <w:spacing w:val="-3"/>
              </w:rPr>
              <w:t>局</w:t>
            </w:r>
            <w:r>
              <w:t>下价格有望企稳</w:t>
              <w:tab/>
              <w:t>31</w:t>
            </w:r>
          </w:hyperlink>
        </w:p>
        <w:p>
          <w:pPr>
            <w:pStyle w:val="TOC1"/>
            <w:numPr>
              <w:ilvl w:val="0"/>
              <w:numId w:val="3"/>
            </w:numPr>
            <w:tabs>
              <w:tab w:val="left" w:pos="2712"/>
              <w:tab w:val="left" w:pos="2713"/>
              <w:tab w:val="right" w:leader="dot" w:pos="10386"/>
            </w:tabs>
            <w:spacing w:before="43" w:after="0" w:line="240" w:lineRule="auto"/>
            <w:ind w:left="2712" w:right="0" w:hanging="421"/>
            <w:jc w:val="left"/>
          </w:pPr>
          <w:hyperlink w:anchor="_TOC_250010" w:history="1">
            <w:r>
              <w:t>重点上市公司</w:t>
              <w:tab/>
              <w:t>32</w:t>
            </w:r>
          </w:hyperlink>
        </w:p>
        <w:p>
          <w:pPr>
            <w:pStyle w:val="TOC1"/>
            <w:numPr>
              <w:ilvl w:val="1"/>
              <w:numId w:val="3"/>
            </w:numPr>
            <w:tabs>
              <w:tab w:val="left" w:pos="3132"/>
              <w:tab w:val="left" w:pos="3133"/>
              <w:tab w:val="right" w:leader="dot" w:pos="10386"/>
            </w:tabs>
            <w:spacing w:before="43" w:after="0" w:line="240" w:lineRule="auto"/>
            <w:ind w:left="3133" w:right="0" w:hanging="841"/>
            <w:jc w:val="left"/>
          </w:pPr>
          <w:hyperlink w:anchor="_TOC_250009" w:history="1">
            <w:r>
              <w:t>上游稀土生产企业</w:t>
              <w:tab/>
              <w:t>32</w:t>
            </w:r>
          </w:hyperlink>
        </w:p>
        <w:p>
          <w:pPr>
            <w:pStyle w:val="TOC1"/>
            <w:numPr>
              <w:ilvl w:val="2"/>
              <w:numId w:val="3"/>
            </w:numPr>
            <w:tabs>
              <w:tab w:val="left" w:pos="3132"/>
              <w:tab w:val="left" w:pos="3133"/>
              <w:tab w:val="right" w:leader="dot" w:pos="10386"/>
            </w:tabs>
            <w:spacing w:before="43" w:after="0" w:line="240" w:lineRule="auto"/>
            <w:ind w:left="3133" w:right="0" w:hanging="841"/>
            <w:jc w:val="left"/>
          </w:pPr>
          <w:hyperlink w:anchor="_TOC_250008" w:history="1">
            <w:r>
              <w:t>集团赋能预期强的</w:t>
            </w:r>
            <w:r>
              <w:rPr>
                <w:spacing w:val="-3"/>
              </w:rPr>
              <w:t>中</w:t>
            </w:r>
            <w:r>
              <w:t>国</w:t>
            </w:r>
            <w:r>
              <w:rPr>
                <w:spacing w:val="-3"/>
              </w:rPr>
              <w:t>稀</w:t>
            </w:r>
            <w:r>
              <w:t>土（000831）</w:t>
              <w:tab/>
              <w:t>32</w:t>
            </w:r>
          </w:hyperlink>
        </w:p>
        <w:p>
          <w:pPr>
            <w:pStyle w:val="TOC1"/>
            <w:numPr>
              <w:ilvl w:val="2"/>
              <w:numId w:val="3"/>
            </w:numPr>
            <w:tabs>
              <w:tab w:val="left" w:pos="3132"/>
              <w:tab w:val="left" w:pos="3133"/>
              <w:tab w:val="right" w:leader="dot" w:pos="10386"/>
            </w:tabs>
            <w:spacing w:before="43" w:after="0" w:line="240" w:lineRule="auto"/>
            <w:ind w:left="3133" w:right="0" w:hanging="841"/>
            <w:jc w:val="left"/>
          </w:pPr>
          <w:hyperlink w:anchor="_TOC_250007" w:history="1">
            <w:r>
              <w:t>北方轻稀土龙头，</w:t>
            </w:r>
            <w:r>
              <w:rPr>
                <w:spacing w:val="-3"/>
              </w:rPr>
              <w:t>有</w:t>
            </w:r>
            <w:r>
              <w:t>望</w:t>
            </w:r>
            <w:r>
              <w:rPr>
                <w:spacing w:val="-3"/>
              </w:rPr>
              <w:t>承</w:t>
            </w:r>
            <w:r>
              <w:t>载更多指标任务的</w:t>
            </w:r>
            <w:r>
              <w:rPr>
                <w:spacing w:val="-3"/>
              </w:rPr>
              <w:t>北</w:t>
            </w:r>
            <w:r>
              <w:t>方</w:t>
            </w:r>
            <w:r>
              <w:rPr>
                <w:spacing w:val="-3"/>
              </w:rPr>
              <w:t>稀</w:t>
            </w:r>
            <w:r>
              <w:t>土（600111）</w:t>
              <w:tab/>
              <w:t>34</w:t>
            </w:r>
          </w:hyperlink>
        </w:p>
        <w:p>
          <w:pPr>
            <w:pStyle w:val="TOC1"/>
            <w:numPr>
              <w:ilvl w:val="1"/>
              <w:numId w:val="3"/>
            </w:numPr>
            <w:tabs>
              <w:tab w:val="left" w:pos="3132"/>
              <w:tab w:val="left" w:pos="3133"/>
              <w:tab w:val="right" w:leader="dot" w:pos="10386"/>
            </w:tabs>
            <w:spacing w:before="43" w:after="0" w:line="240" w:lineRule="auto"/>
            <w:ind w:left="3133" w:right="0" w:hanging="841"/>
            <w:jc w:val="left"/>
          </w:pPr>
          <w:hyperlink w:anchor="_TOC_250006" w:history="1">
            <w:r>
              <w:t>中游稀土永磁企业</w:t>
              <w:tab/>
              <w:t>34</w:t>
            </w:r>
          </w:hyperlink>
        </w:p>
        <w:p>
          <w:pPr>
            <w:pStyle w:val="TOC1"/>
            <w:numPr>
              <w:ilvl w:val="2"/>
              <w:numId w:val="3"/>
            </w:numPr>
            <w:tabs>
              <w:tab w:val="left" w:pos="3132"/>
              <w:tab w:val="left" w:pos="3133"/>
              <w:tab w:val="right" w:leader="dot" w:pos="10386"/>
            </w:tabs>
            <w:spacing w:before="43" w:after="0" w:line="240" w:lineRule="auto"/>
            <w:ind w:left="3133" w:right="0" w:hanging="841"/>
            <w:jc w:val="left"/>
          </w:pPr>
          <w:r>
            <w:t>新能源和节能环保</w:t>
          </w:r>
          <w:r>
            <w:rPr>
              <w:spacing w:val="-3"/>
            </w:rPr>
            <w:t>领</w:t>
          </w:r>
          <w:r>
            <w:t>域</w:t>
          </w:r>
          <w:r>
            <w:rPr>
              <w:spacing w:val="-3"/>
            </w:rPr>
            <w:t>核</w:t>
          </w:r>
          <w:r>
            <w:t>心应用材料的领先</w:t>
          </w:r>
          <w:r>
            <w:rPr>
              <w:spacing w:val="-3"/>
            </w:rPr>
            <w:t>供</w:t>
          </w:r>
          <w:r>
            <w:t>应</w:t>
          </w:r>
          <w:r>
            <w:rPr>
              <w:spacing w:val="-3"/>
            </w:rPr>
            <w:t>商</w:t>
          </w:r>
          <w:r>
            <w:t>金力永磁（300748）</w:t>
            <w:tab/>
            <w:t>34</w:t>
          </w:r>
        </w:p>
        <w:p>
          <w:pPr>
            <w:pStyle w:val="TOC1"/>
            <w:numPr>
              <w:ilvl w:val="2"/>
              <w:numId w:val="3"/>
            </w:numPr>
            <w:tabs>
              <w:tab w:val="left" w:pos="3132"/>
              <w:tab w:val="left" w:pos="3133"/>
              <w:tab w:val="right" w:leader="dot" w:pos="10386"/>
            </w:tabs>
            <w:spacing w:before="43" w:after="0" w:line="240" w:lineRule="auto"/>
            <w:ind w:left="3133" w:right="0" w:hanging="841"/>
            <w:jc w:val="left"/>
          </w:pPr>
          <w:hyperlink w:anchor="_TOC_250005" w:history="1">
            <w:r>
              <w:t>全球领先的稀土永</w:t>
            </w:r>
            <w:r>
              <w:rPr>
                <w:spacing w:val="-3"/>
              </w:rPr>
              <w:t>磁</w:t>
            </w:r>
            <w:r>
              <w:t>材</w:t>
            </w:r>
            <w:r>
              <w:rPr>
                <w:spacing w:val="-3"/>
              </w:rPr>
              <w:t>料</w:t>
            </w:r>
            <w:r>
              <w:t>应用方案供应商宁</w:t>
            </w:r>
            <w:r>
              <w:rPr>
                <w:spacing w:val="-3"/>
              </w:rPr>
              <w:t>波</w:t>
            </w:r>
            <w:r>
              <w:t>韵</w:t>
            </w:r>
            <w:r>
              <w:rPr>
                <w:spacing w:val="-3"/>
              </w:rPr>
              <w:t>升</w:t>
            </w:r>
            <w:r>
              <w:t>（600366）</w:t>
              <w:tab/>
              <w:t>34</w:t>
            </w:r>
          </w:hyperlink>
        </w:p>
        <w:p>
          <w:pPr>
            <w:pStyle w:val="TOC1"/>
            <w:numPr>
              <w:ilvl w:val="0"/>
              <w:numId w:val="3"/>
            </w:numPr>
            <w:tabs>
              <w:tab w:val="left" w:pos="2712"/>
              <w:tab w:val="left" w:pos="2713"/>
              <w:tab w:val="right" w:leader="dot" w:pos="10386"/>
            </w:tabs>
            <w:spacing w:before="43" w:after="0" w:line="240" w:lineRule="auto"/>
            <w:ind w:left="2712" w:right="0" w:hanging="421"/>
            <w:jc w:val="left"/>
          </w:pPr>
          <w:hyperlink w:anchor="_TOC_250004" w:history="1">
            <w:r>
              <w:t>风险提示</w:t>
              <w:tab/>
              <w:t>35</w:t>
            </w:r>
          </w:hyperlink>
        </w:p>
        <w:p>
          <w:pPr>
            <w:pStyle w:val="TOC1"/>
            <w:numPr>
              <w:ilvl w:val="1"/>
              <w:numId w:val="3"/>
            </w:numPr>
            <w:tabs>
              <w:tab w:val="left" w:pos="3132"/>
              <w:tab w:val="left" w:pos="3133"/>
              <w:tab w:val="right" w:leader="dot" w:pos="10386"/>
            </w:tabs>
            <w:spacing w:before="43" w:after="0" w:line="240" w:lineRule="auto"/>
            <w:ind w:left="3133" w:right="0" w:hanging="841"/>
            <w:jc w:val="left"/>
          </w:pPr>
          <w:hyperlink w:anchor="_TOC_250003" w:history="1">
            <w:r>
              <w:t>海外冶炼分离产能</w:t>
            </w:r>
            <w:r>
              <w:rPr>
                <w:spacing w:val="-3"/>
              </w:rPr>
              <w:t>建</w:t>
            </w:r>
            <w:r>
              <w:t>设</w:t>
            </w:r>
            <w:r>
              <w:rPr>
                <w:spacing w:val="-3"/>
              </w:rPr>
              <w:t>超</w:t>
            </w:r>
            <w:r>
              <w:t>预期</w:t>
              <w:tab/>
              <w:t>35</w:t>
            </w:r>
          </w:hyperlink>
        </w:p>
        <w:p>
          <w:pPr>
            <w:pStyle w:val="TOC1"/>
            <w:numPr>
              <w:ilvl w:val="1"/>
              <w:numId w:val="3"/>
            </w:numPr>
            <w:tabs>
              <w:tab w:val="left" w:pos="3132"/>
              <w:tab w:val="left" w:pos="3133"/>
              <w:tab w:val="right" w:leader="dot" w:pos="10386"/>
            </w:tabs>
            <w:spacing w:before="43" w:after="0" w:line="240" w:lineRule="auto"/>
            <w:ind w:left="3133" w:right="0" w:hanging="841"/>
            <w:jc w:val="left"/>
          </w:pPr>
          <w:hyperlink w:anchor="_TOC_250002" w:history="1">
            <w:r>
              <w:t>下游需求不及预期</w:t>
              <w:tab/>
              <w:t>35</w:t>
            </w:r>
          </w:hyperlink>
        </w:p>
        <w:p>
          <w:pPr>
            <w:pStyle w:val="TOC1"/>
            <w:numPr>
              <w:ilvl w:val="1"/>
              <w:numId w:val="3"/>
            </w:numPr>
            <w:tabs>
              <w:tab w:val="left" w:pos="3132"/>
              <w:tab w:val="left" w:pos="3133"/>
              <w:tab w:val="right" w:leader="dot" w:pos="10386"/>
            </w:tabs>
            <w:spacing w:before="43" w:after="0" w:line="240" w:lineRule="auto"/>
            <w:ind w:left="3133" w:right="0" w:hanging="841"/>
            <w:jc w:val="left"/>
          </w:pPr>
          <w:hyperlink w:anchor="_TOC_250001" w:history="1">
            <w:r>
              <w:t>可替代稀土材料技</w:t>
            </w:r>
            <w:r>
              <w:rPr>
                <w:spacing w:val="-3"/>
              </w:rPr>
              <w:t>术</w:t>
            </w:r>
            <w:r>
              <w:t>发</w:t>
            </w:r>
            <w:r>
              <w:rPr>
                <w:spacing w:val="-3"/>
              </w:rPr>
              <w:t>展</w:t>
            </w:r>
            <w:r>
              <w:t>超预期</w:t>
              <w:tab/>
              <w:t>35</w:t>
            </w:r>
          </w:hyperlink>
        </w:p>
        <w:p>
          <w:pPr>
            <w:pStyle w:val="TOC1"/>
            <w:numPr>
              <w:ilvl w:val="1"/>
              <w:numId w:val="3"/>
            </w:numPr>
            <w:tabs>
              <w:tab w:val="left" w:pos="3132"/>
              <w:tab w:val="left" w:pos="3133"/>
              <w:tab w:val="right" w:leader="dot" w:pos="10386"/>
            </w:tabs>
            <w:spacing w:before="43" w:after="0" w:line="240" w:lineRule="auto"/>
            <w:ind w:left="3133" w:right="0" w:hanging="841"/>
            <w:jc w:val="left"/>
          </w:pPr>
          <w:hyperlink w:anchor="_TOC_250000" w:history="1">
            <w:r>
              <w:t>环保问题影响超预期</w:t>
              <w:tab/>
              <w:t>35</w:t>
            </w:r>
          </w:hyperlink>
        </w:p>
      </w:sdtContent>
    </w:sdt>
    <w:p>
      <w:pPr>
        <w:spacing w:after="0" w:line="240" w:lineRule="auto"/>
        <w:jc w:val="left"/>
        <w:sectPr>
          <w:headerReference w:type="default" r:id="rId4"/>
          <w:footerReference w:type="default" r:id="rId5"/>
          <w:type w:val="continuous"/>
          <w:pgSz w:w="11910" w:h="16840"/>
          <w:pgMar w:top="1360" w:right="520" w:bottom="660" w:left="660" w:header="708" w:footer="708"/>
          <w:cols w:space="708"/>
        </w:sectPr>
      </w:pPr>
    </w:p>
    <w:p>
      <w:pPr>
        <w:pStyle w:val="BodyText"/>
        <w:spacing w:before="8"/>
        <w:rPr>
          <w:b/>
          <w:sz w:val="8"/>
        </w:rPr>
      </w:pPr>
      <w:r>
        <w:pict>
          <v:shape id="_x0000_s1026" type="#_x0000_t202" style="width:60pt;height:12pt;margin-top:36.85pt;margin-left:488.98pt;mso-position-horizontal-relative:page;mso-position-vertical-relative:page;position:absolute;z-index:-251657216" filled="f" stroked="f">
            <v:textbox inset="0,0,0,0">
              <w:txbxContent>
                <w:p>
                  <w:pPr>
                    <w:spacing w:before="0" w:line="240" w:lineRule="exact"/>
                    <w:ind w:left="0" w:right="0" w:firstLine="0"/>
                    <w:jc w:val="left"/>
                    <w:rPr>
                      <w:sz w:val="24"/>
                    </w:rPr>
                  </w:pPr>
                  <w:r>
                    <w:rPr>
                      <w:sz w:val="24"/>
                    </w:rPr>
                    <w:t>丨公司名称</w:t>
                  </w:r>
                </w:p>
              </w:txbxContent>
            </v:textbox>
          </v:shape>
        </w:pict>
      </w:r>
    </w:p>
    <w:p>
      <w:pPr>
        <w:spacing w:before="61"/>
        <w:ind w:left="2292" w:right="0" w:firstLine="0"/>
        <w:jc w:val="left"/>
        <w:rPr>
          <w:b/>
          <w:sz w:val="28"/>
        </w:rPr>
      </w:pPr>
      <w:r>
        <w:rPr>
          <w:b/>
          <w:sz w:val="28"/>
        </w:rPr>
        <w:t>图表目录</w:t>
      </w:r>
    </w:p>
    <w:p>
      <w:pPr>
        <w:tabs>
          <w:tab w:val="left" w:leader="dot" w:pos="10281"/>
        </w:tabs>
        <w:spacing w:before="155"/>
        <w:ind w:left="2292" w:right="0" w:firstLine="0"/>
        <w:jc w:val="left"/>
        <w:rPr>
          <w:b/>
          <w:sz w:val="21"/>
        </w:rPr>
      </w:pPr>
      <w:r>
        <w:rPr>
          <w:b/>
          <w:sz w:val="21"/>
        </w:rPr>
        <w:t>图表</w:t>
      </w:r>
      <w:r>
        <w:rPr>
          <w:b/>
          <w:spacing w:val="-53"/>
          <w:sz w:val="21"/>
        </w:rPr>
        <w:t xml:space="preserve"> </w:t>
      </w:r>
      <w:r>
        <w:rPr>
          <w:b/>
          <w:sz w:val="21"/>
        </w:rPr>
        <w:t>1：17</w:t>
      </w:r>
      <w:r>
        <w:rPr>
          <w:b/>
          <w:spacing w:val="-53"/>
          <w:sz w:val="21"/>
        </w:rPr>
        <w:t xml:space="preserve"> </w:t>
      </w:r>
      <w:r>
        <w:rPr>
          <w:b/>
          <w:sz w:val="21"/>
        </w:rPr>
        <w:t>种稀土元素</w:t>
      </w:r>
      <w:r>
        <w:rPr>
          <w:b/>
          <w:spacing w:val="-3"/>
          <w:sz w:val="21"/>
        </w:rPr>
        <w:t>种</w:t>
      </w:r>
      <w:r>
        <w:rPr>
          <w:b/>
          <w:sz w:val="21"/>
        </w:rPr>
        <w:t>类以及主要用途</w:t>
        <w:tab/>
        <w:t>1</w:t>
      </w:r>
    </w:p>
    <w:p>
      <w:pPr>
        <w:tabs>
          <w:tab w:val="left" w:leader="dot" w:pos="10281"/>
        </w:tabs>
        <w:spacing w:before="43"/>
        <w:ind w:left="2292" w:right="0" w:firstLine="0"/>
        <w:jc w:val="left"/>
        <w:rPr>
          <w:b/>
          <w:sz w:val="21"/>
        </w:rPr>
      </w:pPr>
      <w:r>
        <w:rPr>
          <w:b/>
          <w:sz w:val="21"/>
        </w:rPr>
        <w:t>图表</w:t>
      </w:r>
      <w:r>
        <w:rPr>
          <w:b/>
          <w:spacing w:val="-53"/>
          <w:sz w:val="21"/>
        </w:rPr>
        <w:t xml:space="preserve"> </w:t>
      </w:r>
      <w:r>
        <w:rPr>
          <w:b/>
          <w:sz w:val="21"/>
        </w:rPr>
        <w:t>2：全球主要稀土</w:t>
      </w:r>
      <w:r>
        <w:rPr>
          <w:b/>
          <w:spacing w:val="-3"/>
          <w:sz w:val="21"/>
        </w:rPr>
        <w:t>矿</w:t>
      </w:r>
      <w:r>
        <w:rPr>
          <w:b/>
          <w:sz w:val="21"/>
        </w:rPr>
        <w:t>种类及其特点应用</w:t>
        <w:tab/>
        <w:t>1</w:t>
      </w:r>
    </w:p>
    <w:p>
      <w:pPr>
        <w:tabs>
          <w:tab w:val="left" w:leader="dot" w:pos="10281"/>
        </w:tabs>
        <w:spacing w:before="43"/>
        <w:ind w:left="2292" w:right="0" w:firstLine="0"/>
        <w:jc w:val="left"/>
        <w:rPr>
          <w:b/>
          <w:sz w:val="21"/>
        </w:rPr>
      </w:pPr>
      <w:r>
        <w:rPr>
          <w:b/>
          <w:sz w:val="21"/>
        </w:rPr>
        <w:t>图表</w:t>
      </w:r>
      <w:r>
        <w:rPr>
          <w:b/>
          <w:spacing w:val="-53"/>
          <w:sz w:val="21"/>
        </w:rPr>
        <w:t xml:space="preserve"> </w:t>
      </w:r>
      <w:r>
        <w:rPr>
          <w:b/>
          <w:sz w:val="21"/>
        </w:rPr>
        <w:t>3：稀土开采和冶</w:t>
      </w:r>
      <w:r>
        <w:rPr>
          <w:b/>
          <w:spacing w:val="-3"/>
          <w:sz w:val="21"/>
        </w:rPr>
        <w:t>炼</w:t>
      </w:r>
      <w:r>
        <w:rPr>
          <w:b/>
          <w:sz w:val="21"/>
        </w:rPr>
        <w:t>分离主要过程</w:t>
        <w:tab/>
        <w:t>2</w:t>
      </w:r>
    </w:p>
    <w:p>
      <w:pPr>
        <w:tabs>
          <w:tab w:val="left" w:leader="dot" w:pos="10281"/>
        </w:tabs>
        <w:spacing w:before="43"/>
        <w:ind w:left="2292" w:right="0" w:firstLine="0"/>
        <w:jc w:val="left"/>
        <w:rPr>
          <w:b/>
          <w:sz w:val="21"/>
        </w:rPr>
      </w:pPr>
      <w:r>
        <w:rPr>
          <w:b/>
          <w:sz w:val="21"/>
        </w:rPr>
        <w:t>图表</w:t>
      </w:r>
      <w:r>
        <w:rPr>
          <w:b/>
          <w:spacing w:val="-53"/>
          <w:sz w:val="21"/>
        </w:rPr>
        <w:t xml:space="preserve"> </w:t>
      </w:r>
      <w:r>
        <w:rPr>
          <w:b/>
          <w:sz w:val="21"/>
        </w:rPr>
        <w:t>4：中国不同稀土</w:t>
      </w:r>
      <w:r>
        <w:rPr>
          <w:b/>
          <w:spacing w:val="-3"/>
          <w:sz w:val="21"/>
        </w:rPr>
        <w:t>矿</w:t>
      </w:r>
      <w:r>
        <w:rPr>
          <w:b/>
          <w:sz w:val="21"/>
        </w:rPr>
        <w:t>的分布和对环境影响</w:t>
        <w:tab/>
        <w:t>3</w:t>
      </w:r>
    </w:p>
    <w:p>
      <w:pPr>
        <w:tabs>
          <w:tab w:val="left" w:leader="dot" w:pos="10281"/>
        </w:tabs>
        <w:spacing w:before="43"/>
        <w:ind w:left="2292" w:right="0" w:firstLine="0"/>
        <w:jc w:val="left"/>
        <w:rPr>
          <w:b/>
          <w:sz w:val="21"/>
        </w:rPr>
      </w:pPr>
      <w:r>
        <w:rPr>
          <w:b/>
          <w:sz w:val="21"/>
        </w:rPr>
        <w:t>图表</w:t>
      </w:r>
      <w:r>
        <w:rPr>
          <w:b/>
          <w:spacing w:val="-53"/>
          <w:sz w:val="21"/>
        </w:rPr>
        <w:t xml:space="preserve"> </w:t>
      </w:r>
      <w:r>
        <w:rPr>
          <w:b/>
          <w:sz w:val="21"/>
        </w:rPr>
        <w:t>5：稀土行业全产</w:t>
      </w:r>
      <w:r>
        <w:rPr>
          <w:b/>
          <w:spacing w:val="-3"/>
          <w:sz w:val="21"/>
        </w:rPr>
        <w:t>业</w:t>
      </w:r>
      <w:r>
        <w:rPr>
          <w:b/>
          <w:sz w:val="21"/>
        </w:rPr>
        <w:t>链</w:t>
        <w:tab/>
        <w:t>4</w:t>
      </w:r>
    </w:p>
    <w:p>
      <w:pPr>
        <w:tabs>
          <w:tab w:val="left" w:leader="dot" w:pos="10281"/>
        </w:tabs>
        <w:spacing w:before="43"/>
        <w:ind w:left="2292" w:right="0" w:firstLine="0"/>
        <w:jc w:val="left"/>
        <w:rPr>
          <w:b/>
          <w:sz w:val="21"/>
        </w:rPr>
      </w:pPr>
      <w:r>
        <w:rPr>
          <w:b/>
          <w:sz w:val="21"/>
        </w:rPr>
        <w:t>图表</w:t>
      </w:r>
      <w:r>
        <w:rPr>
          <w:b/>
          <w:spacing w:val="-54"/>
          <w:sz w:val="21"/>
        </w:rPr>
        <w:t xml:space="preserve"> </w:t>
      </w:r>
      <w:r>
        <w:rPr>
          <w:b/>
          <w:sz w:val="21"/>
        </w:rPr>
        <w:t>6：1985-2004</w:t>
      </w:r>
      <w:r>
        <w:rPr>
          <w:b/>
          <w:spacing w:val="-53"/>
          <w:sz w:val="21"/>
        </w:rPr>
        <w:t xml:space="preserve"> </w:t>
      </w:r>
      <w:r>
        <w:rPr>
          <w:b/>
          <w:sz w:val="21"/>
        </w:rPr>
        <w:t>年中国主要稀土政策</w:t>
        <w:tab/>
        <w:t>5</w:t>
      </w:r>
    </w:p>
    <w:p>
      <w:pPr>
        <w:tabs>
          <w:tab w:val="left" w:leader="dot" w:pos="10281"/>
        </w:tabs>
        <w:spacing w:before="43"/>
        <w:ind w:left="2292" w:right="0" w:firstLine="0"/>
        <w:jc w:val="left"/>
        <w:rPr>
          <w:b/>
          <w:sz w:val="21"/>
        </w:rPr>
      </w:pPr>
      <w:r>
        <w:rPr>
          <w:b/>
          <w:sz w:val="21"/>
        </w:rPr>
        <w:t>图表</w:t>
      </w:r>
      <w:r>
        <w:rPr>
          <w:b/>
          <w:spacing w:val="-53"/>
          <w:sz w:val="21"/>
        </w:rPr>
        <w:t xml:space="preserve"> </w:t>
      </w:r>
      <w:r>
        <w:rPr>
          <w:b/>
          <w:sz w:val="21"/>
        </w:rPr>
        <w:t>7：1991</w:t>
      </w:r>
      <w:r>
        <w:rPr>
          <w:rFonts w:ascii="Arial" w:eastAsia="Arial" w:hAnsi="Arial"/>
          <w:b/>
          <w:sz w:val="21"/>
        </w:rPr>
        <w:t>—</w:t>
      </w:r>
      <w:r>
        <w:rPr>
          <w:b/>
          <w:sz w:val="21"/>
        </w:rPr>
        <w:t>2017</w:t>
      </w:r>
      <w:r>
        <w:rPr>
          <w:b/>
          <w:spacing w:val="-53"/>
          <w:sz w:val="21"/>
        </w:rPr>
        <w:t xml:space="preserve"> </w:t>
      </w:r>
      <w:r>
        <w:rPr>
          <w:b/>
          <w:sz w:val="21"/>
        </w:rPr>
        <w:t>年中国稀土产品的出口</w:t>
      </w:r>
      <w:r>
        <w:rPr>
          <w:b/>
          <w:spacing w:val="-3"/>
          <w:sz w:val="21"/>
        </w:rPr>
        <w:t>情</w:t>
      </w:r>
      <w:r>
        <w:rPr>
          <w:b/>
          <w:sz w:val="21"/>
        </w:rPr>
        <w:t>况</w:t>
        <w:tab/>
        <w:t>6</w:t>
      </w:r>
    </w:p>
    <w:p>
      <w:pPr>
        <w:tabs>
          <w:tab w:val="left" w:leader="dot" w:pos="10281"/>
        </w:tabs>
        <w:spacing w:before="43"/>
        <w:ind w:left="2292" w:right="0" w:firstLine="0"/>
        <w:jc w:val="left"/>
        <w:rPr>
          <w:b/>
          <w:sz w:val="21"/>
        </w:rPr>
      </w:pPr>
      <w:r>
        <w:rPr>
          <w:b/>
          <w:sz w:val="21"/>
        </w:rPr>
        <w:t>图表</w:t>
      </w:r>
      <w:r>
        <w:rPr>
          <w:b/>
          <w:spacing w:val="-54"/>
          <w:sz w:val="21"/>
        </w:rPr>
        <w:t xml:space="preserve"> </w:t>
      </w:r>
      <w:r>
        <w:rPr>
          <w:b/>
          <w:sz w:val="21"/>
        </w:rPr>
        <w:t>8：</w:t>
      </w:r>
      <w:r>
        <w:rPr>
          <w:b/>
          <w:spacing w:val="2"/>
          <w:sz w:val="21"/>
        </w:rPr>
        <w:t xml:space="preserve"> </w:t>
      </w:r>
      <w:r>
        <w:rPr>
          <w:b/>
          <w:sz w:val="21"/>
        </w:rPr>
        <w:t>2004-2010</w:t>
      </w:r>
      <w:r>
        <w:rPr>
          <w:b/>
          <w:spacing w:val="-54"/>
          <w:sz w:val="21"/>
        </w:rPr>
        <w:t xml:space="preserve"> </w:t>
      </w:r>
      <w:r>
        <w:rPr>
          <w:b/>
          <w:sz w:val="21"/>
        </w:rPr>
        <w:t>年开采、生产和出口总</w:t>
      </w:r>
      <w:r>
        <w:rPr>
          <w:b/>
          <w:spacing w:val="-3"/>
          <w:sz w:val="21"/>
        </w:rPr>
        <w:t>量</w:t>
      </w:r>
      <w:r>
        <w:rPr>
          <w:b/>
          <w:sz w:val="21"/>
        </w:rPr>
        <w:t>控</w:t>
      </w:r>
      <w:r>
        <w:rPr>
          <w:b/>
          <w:spacing w:val="-3"/>
          <w:sz w:val="21"/>
        </w:rPr>
        <w:t>制</w:t>
      </w:r>
      <w:r>
        <w:rPr>
          <w:b/>
          <w:sz w:val="21"/>
        </w:rPr>
        <w:t>政策</w:t>
        <w:tab/>
        <w:t>6</w:t>
      </w:r>
    </w:p>
    <w:p>
      <w:pPr>
        <w:tabs>
          <w:tab w:val="left" w:leader="dot" w:pos="10281"/>
        </w:tabs>
        <w:spacing w:before="43"/>
        <w:ind w:left="2292" w:right="0" w:firstLine="0"/>
        <w:jc w:val="left"/>
        <w:rPr>
          <w:b/>
          <w:sz w:val="21"/>
        </w:rPr>
      </w:pPr>
      <w:r>
        <w:rPr>
          <w:b/>
          <w:sz w:val="21"/>
        </w:rPr>
        <w:t>图表</w:t>
      </w:r>
      <w:r>
        <w:rPr>
          <w:b/>
          <w:spacing w:val="-53"/>
          <w:sz w:val="21"/>
        </w:rPr>
        <w:t xml:space="preserve"> </w:t>
      </w:r>
      <w:r>
        <w:rPr>
          <w:b/>
          <w:sz w:val="21"/>
        </w:rPr>
        <w:t>9：中国稀土行业</w:t>
      </w:r>
      <w:r>
        <w:rPr>
          <w:b/>
          <w:spacing w:val="-3"/>
          <w:sz w:val="21"/>
        </w:rPr>
        <w:t>产</w:t>
      </w:r>
      <w:r>
        <w:rPr>
          <w:b/>
          <w:sz w:val="21"/>
        </w:rPr>
        <w:t>业整合结构图</w:t>
        <w:tab/>
        <w:t>8</w:t>
      </w:r>
    </w:p>
    <w:p>
      <w:pPr>
        <w:tabs>
          <w:tab w:val="left" w:leader="dot" w:pos="10281"/>
        </w:tabs>
        <w:spacing w:before="43"/>
        <w:ind w:left="2292" w:right="0" w:firstLine="0"/>
        <w:jc w:val="left"/>
        <w:rPr>
          <w:b/>
          <w:sz w:val="21"/>
        </w:rPr>
      </w:pPr>
      <w:r>
        <w:rPr>
          <w:b/>
          <w:sz w:val="21"/>
        </w:rPr>
        <w:t>图表</w:t>
      </w:r>
      <w:r>
        <w:rPr>
          <w:b/>
          <w:spacing w:val="-53"/>
          <w:sz w:val="21"/>
        </w:rPr>
        <w:t xml:space="preserve"> </w:t>
      </w:r>
      <w:r>
        <w:rPr>
          <w:b/>
          <w:sz w:val="21"/>
        </w:rPr>
        <w:t>10：全球主要国家</w:t>
      </w:r>
      <w:r>
        <w:rPr>
          <w:b/>
          <w:spacing w:val="-3"/>
          <w:sz w:val="21"/>
        </w:rPr>
        <w:t>稀</w:t>
      </w:r>
      <w:r>
        <w:rPr>
          <w:b/>
          <w:sz w:val="21"/>
        </w:rPr>
        <w:t>土储量（百万吨）</w:t>
        <w:tab/>
        <w:t>8</w:t>
      </w:r>
    </w:p>
    <w:p>
      <w:pPr>
        <w:tabs>
          <w:tab w:val="left" w:leader="dot" w:pos="10281"/>
        </w:tabs>
        <w:spacing w:before="43"/>
        <w:ind w:left="2292" w:right="0" w:firstLine="0"/>
        <w:jc w:val="left"/>
        <w:rPr>
          <w:b/>
          <w:sz w:val="21"/>
        </w:rPr>
      </w:pPr>
      <w:r>
        <w:rPr>
          <w:b/>
          <w:sz w:val="21"/>
        </w:rPr>
        <w:t>图表</w:t>
      </w:r>
      <w:r>
        <w:rPr>
          <w:b/>
          <w:spacing w:val="-54"/>
          <w:sz w:val="21"/>
        </w:rPr>
        <w:t xml:space="preserve"> </w:t>
      </w:r>
      <w:r>
        <w:rPr>
          <w:b/>
          <w:sz w:val="21"/>
        </w:rPr>
        <w:t>11：2022</w:t>
      </w:r>
      <w:r>
        <w:rPr>
          <w:b/>
          <w:spacing w:val="-53"/>
          <w:sz w:val="21"/>
        </w:rPr>
        <w:t xml:space="preserve"> </w:t>
      </w:r>
      <w:r>
        <w:rPr>
          <w:b/>
          <w:sz w:val="21"/>
        </w:rPr>
        <w:t>年全球稀</w:t>
      </w:r>
      <w:r>
        <w:rPr>
          <w:b/>
          <w:spacing w:val="-3"/>
          <w:sz w:val="21"/>
        </w:rPr>
        <w:t>土</w:t>
      </w:r>
      <w:r>
        <w:rPr>
          <w:b/>
          <w:sz w:val="21"/>
        </w:rPr>
        <w:t>储量分布</w:t>
        <w:tab/>
        <w:t>8</w:t>
      </w:r>
    </w:p>
    <w:p>
      <w:pPr>
        <w:tabs>
          <w:tab w:val="left" w:leader="dot" w:pos="10281"/>
        </w:tabs>
        <w:spacing w:before="43"/>
        <w:ind w:left="2292" w:right="0" w:firstLine="0"/>
        <w:jc w:val="left"/>
        <w:rPr>
          <w:b/>
          <w:sz w:val="21"/>
        </w:rPr>
      </w:pPr>
      <w:r>
        <w:rPr>
          <w:b/>
          <w:sz w:val="21"/>
        </w:rPr>
        <w:t>图表</w:t>
      </w:r>
      <w:r>
        <w:rPr>
          <w:b/>
          <w:spacing w:val="-53"/>
          <w:sz w:val="21"/>
        </w:rPr>
        <w:t xml:space="preserve"> </w:t>
      </w:r>
      <w:r>
        <w:rPr>
          <w:b/>
          <w:sz w:val="21"/>
        </w:rPr>
        <w:t>12：中国稀土资源</w:t>
      </w:r>
      <w:r>
        <w:rPr>
          <w:b/>
          <w:spacing w:val="-3"/>
          <w:sz w:val="21"/>
        </w:rPr>
        <w:t>分</w:t>
      </w:r>
      <w:r>
        <w:rPr>
          <w:b/>
          <w:sz w:val="21"/>
        </w:rPr>
        <w:t>布情况</w:t>
        <w:tab/>
        <w:t>9</w:t>
      </w:r>
    </w:p>
    <w:p>
      <w:pPr>
        <w:tabs>
          <w:tab w:val="left" w:leader="dot" w:pos="10175"/>
        </w:tabs>
        <w:spacing w:before="43"/>
        <w:ind w:left="2292" w:right="0" w:firstLine="0"/>
        <w:jc w:val="left"/>
        <w:rPr>
          <w:b/>
          <w:sz w:val="21"/>
        </w:rPr>
      </w:pPr>
      <w:r>
        <w:rPr>
          <w:b/>
          <w:sz w:val="21"/>
        </w:rPr>
        <w:t>图表</w:t>
      </w:r>
      <w:r>
        <w:rPr>
          <w:b/>
          <w:spacing w:val="-52"/>
          <w:sz w:val="21"/>
        </w:rPr>
        <w:t xml:space="preserve"> </w:t>
      </w:r>
      <w:r>
        <w:rPr>
          <w:b/>
          <w:sz w:val="21"/>
        </w:rPr>
        <w:t>13：包头白云鄂博</w:t>
      </w:r>
      <w:r>
        <w:rPr>
          <w:b/>
          <w:spacing w:val="-3"/>
          <w:sz w:val="21"/>
        </w:rPr>
        <w:t>稀</w:t>
      </w:r>
      <w:r>
        <w:rPr>
          <w:b/>
          <w:sz w:val="21"/>
        </w:rPr>
        <w:t>土矿稀土元素实际</w:t>
      </w:r>
      <w:r>
        <w:rPr>
          <w:b/>
          <w:spacing w:val="-3"/>
          <w:sz w:val="21"/>
        </w:rPr>
        <w:t>配</w:t>
      </w:r>
      <w:r>
        <w:rPr>
          <w:b/>
          <w:sz w:val="21"/>
        </w:rPr>
        <w:t>分</w:t>
      </w:r>
      <w:r>
        <w:rPr>
          <w:b/>
          <w:spacing w:val="-3"/>
          <w:sz w:val="21"/>
        </w:rPr>
        <w:t>数</w:t>
      </w:r>
      <w:r>
        <w:rPr>
          <w:b/>
          <w:sz w:val="21"/>
        </w:rPr>
        <w:t>据</w:t>
        <w:tab/>
        <w:t>10</w:t>
      </w:r>
    </w:p>
    <w:p>
      <w:pPr>
        <w:tabs>
          <w:tab w:val="left" w:leader="dot" w:pos="10175"/>
        </w:tabs>
        <w:spacing w:before="43"/>
        <w:ind w:left="2292" w:right="0" w:firstLine="0"/>
        <w:jc w:val="left"/>
        <w:rPr>
          <w:b/>
          <w:sz w:val="21"/>
        </w:rPr>
      </w:pPr>
      <w:r>
        <w:rPr>
          <w:b/>
          <w:sz w:val="21"/>
        </w:rPr>
        <w:t>图表</w:t>
      </w:r>
      <w:r>
        <w:rPr>
          <w:b/>
          <w:spacing w:val="-53"/>
          <w:sz w:val="21"/>
        </w:rPr>
        <w:t xml:space="preserve"> </w:t>
      </w:r>
      <w:r>
        <w:rPr>
          <w:b/>
          <w:sz w:val="21"/>
        </w:rPr>
        <w:t>14：白云鄂博尾矿</w:t>
      </w:r>
      <w:r>
        <w:rPr>
          <w:b/>
          <w:spacing w:val="-3"/>
          <w:sz w:val="21"/>
        </w:rPr>
        <w:t>库</w:t>
      </w:r>
      <w:r>
        <w:rPr>
          <w:b/>
          <w:sz w:val="21"/>
        </w:rPr>
        <w:t>资源储量（万吨）</w:t>
        <w:tab/>
        <w:t>10</w:t>
      </w:r>
    </w:p>
    <w:p>
      <w:pPr>
        <w:tabs>
          <w:tab w:val="left" w:leader="dot" w:pos="10175"/>
        </w:tabs>
        <w:spacing w:before="43"/>
        <w:ind w:left="2292" w:right="0" w:firstLine="0"/>
        <w:jc w:val="left"/>
        <w:rPr>
          <w:b/>
          <w:sz w:val="21"/>
        </w:rPr>
      </w:pPr>
      <w:r>
        <w:rPr>
          <w:b/>
          <w:sz w:val="21"/>
        </w:rPr>
        <w:t>图表</w:t>
      </w:r>
      <w:r>
        <w:rPr>
          <w:b/>
          <w:spacing w:val="-54"/>
          <w:sz w:val="21"/>
        </w:rPr>
        <w:t xml:space="preserve"> </w:t>
      </w:r>
      <w:r>
        <w:rPr>
          <w:b/>
          <w:sz w:val="21"/>
        </w:rPr>
        <w:t>15：2018-2022</w:t>
      </w:r>
      <w:r>
        <w:rPr>
          <w:b/>
          <w:spacing w:val="-52"/>
          <w:sz w:val="21"/>
        </w:rPr>
        <w:t xml:space="preserve"> </w:t>
      </w:r>
      <w:r>
        <w:rPr>
          <w:b/>
          <w:sz w:val="21"/>
        </w:rPr>
        <w:t>年</w:t>
      </w:r>
      <w:r>
        <w:rPr>
          <w:b/>
          <w:spacing w:val="-3"/>
          <w:sz w:val="21"/>
        </w:rPr>
        <w:t>全</w:t>
      </w:r>
      <w:r>
        <w:rPr>
          <w:b/>
          <w:sz w:val="21"/>
        </w:rPr>
        <w:t>球稀土产量（吨</w:t>
      </w:r>
      <w:r>
        <w:rPr>
          <w:b/>
          <w:spacing w:val="-52"/>
          <w:sz w:val="21"/>
        </w:rPr>
        <w:t xml:space="preserve"> </w:t>
      </w:r>
      <w:r>
        <w:rPr>
          <w:b/>
          <w:sz w:val="21"/>
        </w:rPr>
        <w:t>REO）</w:t>
        <w:tab/>
        <w:t>10</w:t>
      </w:r>
    </w:p>
    <w:p>
      <w:pPr>
        <w:tabs>
          <w:tab w:val="left" w:leader="dot" w:pos="10175"/>
        </w:tabs>
        <w:spacing w:before="43"/>
        <w:ind w:left="2292" w:right="0" w:firstLine="0"/>
        <w:jc w:val="left"/>
        <w:rPr>
          <w:b/>
          <w:sz w:val="21"/>
        </w:rPr>
      </w:pPr>
      <w:r>
        <w:rPr>
          <w:b/>
          <w:sz w:val="21"/>
        </w:rPr>
        <w:t>图表</w:t>
      </w:r>
      <w:r>
        <w:rPr>
          <w:b/>
          <w:spacing w:val="-54"/>
          <w:sz w:val="21"/>
        </w:rPr>
        <w:t xml:space="preserve"> </w:t>
      </w:r>
      <w:r>
        <w:rPr>
          <w:b/>
          <w:sz w:val="21"/>
        </w:rPr>
        <w:t>16：2022</w:t>
      </w:r>
      <w:r>
        <w:rPr>
          <w:b/>
          <w:spacing w:val="-53"/>
          <w:sz w:val="21"/>
        </w:rPr>
        <w:t xml:space="preserve"> </w:t>
      </w:r>
      <w:r>
        <w:rPr>
          <w:b/>
          <w:sz w:val="21"/>
        </w:rPr>
        <w:t>年日本稀</w:t>
      </w:r>
      <w:r>
        <w:rPr>
          <w:b/>
          <w:spacing w:val="-3"/>
          <w:sz w:val="21"/>
        </w:rPr>
        <w:t>土</w:t>
      </w:r>
      <w:r>
        <w:rPr>
          <w:b/>
          <w:sz w:val="21"/>
        </w:rPr>
        <w:t>进口分布</w:t>
        <w:tab/>
        <w:t>11</w:t>
      </w:r>
    </w:p>
    <w:p>
      <w:pPr>
        <w:tabs>
          <w:tab w:val="left" w:leader="dot" w:pos="10175"/>
        </w:tabs>
        <w:spacing w:before="43"/>
        <w:ind w:left="2292" w:right="0" w:firstLine="0"/>
        <w:jc w:val="left"/>
        <w:rPr>
          <w:b/>
          <w:sz w:val="21"/>
        </w:rPr>
      </w:pPr>
      <w:r>
        <w:rPr>
          <w:b/>
          <w:sz w:val="21"/>
        </w:rPr>
        <w:t>图表</w:t>
      </w:r>
      <w:r>
        <w:rPr>
          <w:b/>
          <w:spacing w:val="-54"/>
          <w:sz w:val="21"/>
        </w:rPr>
        <w:t xml:space="preserve"> </w:t>
      </w:r>
      <w:r>
        <w:rPr>
          <w:b/>
          <w:sz w:val="21"/>
        </w:rPr>
        <w:t>17：2018-2021</w:t>
      </w:r>
      <w:r>
        <w:rPr>
          <w:b/>
          <w:spacing w:val="-52"/>
          <w:sz w:val="21"/>
        </w:rPr>
        <w:t xml:space="preserve"> </w:t>
      </w:r>
      <w:r>
        <w:rPr>
          <w:b/>
          <w:sz w:val="21"/>
        </w:rPr>
        <w:t>年</w:t>
      </w:r>
      <w:r>
        <w:rPr>
          <w:b/>
          <w:spacing w:val="-3"/>
          <w:sz w:val="21"/>
        </w:rPr>
        <w:t>美</w:t>
      </w:r>
      <w:r>
        <w:rPr>
          <w:b/>
          <w:sz w:val="21"/>
        </w:rPr>
        <w:t>国稀土进口分布</w:t>
        <w:tab/>
        <w:t>11</w:t>
      </w:r>
    </w:p>
    <w:p>
      <w:pPr>
        <w:tabs>
          <w:tab w:val="left" w:leader="dot" w:pos="10175"/>
        </w:tabs>
        <w:spacing w:before="43"/>
        <w:ind w:left="2292" w:right="0" w:firstLine="0"/>
        <w:jc w:val="left"/>
        <w:rPr>
          <w:b/>
          <w:sz w:val="21"/>
        </w:rPr>
      </w:pPr>
      <w:r>
        <w:drawing>
          <wp:anchor distT="0" distB="0" distL="0" distR="0" simplePos="0" relativeHeight="251660288" behindDoc="1" locked="0" layoutInCell="1" allowOverlap="1">
            <wp:simplePos x="0" y="0"/>
            <wp:positionH relativeFrom="page">
              <wp:posOffset>5190109</wp:posOffset>
            </wp:positionH>
            <wp:positionV relativeFrom="paragraph">
              <wp:posOffset>65405</wp:posOffset>
            </wp:positionV>
            <wp:extent cx="63500" cy="9525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6" cstate="print"/>
                    <a:stretch>
                      <a:fillRect/>
                    </a:stretch>
                  </pic:blipFill>
                  <pic:spPr>
                    <a:xfrm>
                      <a:off x="0" y="0"/>
                      <a:ext cx="63500" cy="9525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5694370</wp:posOffset>
            </wp:positionH>
            <wp:positionV relativeFrom="paragraph">
              <wp:posOffset>65405</wp:posOffset>
            </wp:positionV>
            <wp:extent cx="63500" cy="9525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6" cstate="print"/>
                    <a:stretch>
                      <a:fillRect/>
                    </a:stretch>
                  </pic:blipFill>
                  <pic:spPr>
                    <a:xfrm>
                      <a:off x="0" y="0"/>
                      <a:ext cx="63500" cy="95250"/>
                    </a:xfrm>
                    <a:prstGeom prst="rect">
                      <a:avLst/>
                    </a:prstGeom>
                  </pic:spPr>
                </pic:pic>
              </a:graphicData>
            </a:graphic>
          </wp:anchor>
        </w:drawing>
      </w:r>
      <w:r>
        <w:rPr>
          <w:b/>
          <w:sz w:val="21"/>
        </w:rPr>
        <w:t>图表</w:t>
      </w:r>
      <w:r>
        <w:rPr>
          <w:b/>
          <w:spacing w:val="-54"/>
          <w:sz w:val="21"/>
        </w:rPr>
        <w:t xml:space="preserve"> </w:t>
      </w:r>
      <w:r>
        <w:rPr>
          <w:b/>
          <w:sz w:val="21"/>
        </w:rPr>
        <w:t>18：2023</w:t>
      </w:r>
      <w:r>
        <w:rPr>
          <w:b/>
          <w:spacing w:val="-53"/>
          <w:sz w:val="21"/>
        </w:rPr>
        <w:t xml:space="preserve"> </w:t>
      </w:r>
      <w:r>
        <w:rPr>
          <w:b/>
          <w:sz w:val="21"/>
        </w:rPr>
        <w:t>年中国开</w:t>
      </w:r>
      <w:r>
        <w:rPr>
          <w:b/>
          <w:spacing w:val="-3"/>
          <w:sz w:val="21"/>
        </w:rPr>
        <w:t>采</w:t>
      </w:r>
      <w:r>
        <w:rPr>
          <w:b/>
          <w:sz w:val="21"/>
        </w:rPr>
        <w:t>和冶炼分离指标同</w:t>
      </w:r>
      <w:r>
        <w:rPr>
          <w:b/>
          <w:spacing w:val="-3"/>
          <w:sz w:val="21"/>
        </w:rPr>
        <w:t>比</w:t>
      </w:r>
      <w:r>
        <w:rPr>
          <w:b/>
          <w:sz w:val="21"/>
        </w:rPr>
        <w:t>增长</w:t>
      </w:r>
      <w:r>
        <w:rPr>
          <w:b/>
          <w:spacing w:val="-55"/>
          <w:sz w:val="21"/>
        </w:rPr>
        <w:t xml:space="preserve"> </w:t>
      </w:r>
      <w:r>
        <w:rPr>
          <w:b/>
          <w:sz w:val="21"/>
        </w:rPr>
        <w:t>21.4和</w:t>
      </w:r>
      <w:r>
        <w:rPr>
          <w:b/>
          <w:spacing w:val="-53"/>
          <w:sz w:val="21"/>
        </w:rPr>
        <w:t xml:space="preserve"> </w:t>
      </w:r>
      <w:r>
        <w:rPr>
          <w:b/>
          <w:sz w:val="21"/>
        </w:rPr>
        <w:t>20.7（吨</w:t>
      </w:r>
      <w:r>
        <w:rPr>
          <w:b/>
          <w:spacing w:val="-54"/>
          <w:sz w:val="21"/>
        </w:rPr>
        <w:t xml:space="preserve"> </w:t>
      </w:r>
      <w:r>
        <w:rPr>
          <w:b/>
          <w:sz w:val="21"/>
        </w:rPr>
        <w:t>REO）</w:t>
        <w:tab/>
        <w:t>12</w:t>
      </w:r>
    </w:p>
    <w:p>
      <w:pPr>
        <w:tabs>
          <w:tab w:val="left" w:leader="dot" w:pos="10175"/>
        </w:tabs>
        <w:spacing w:before="43" w:line="278" w:lineRule="auto"/>
        <w:ind w:left="2292" w:right="328" w:firstLine="0"/>
        <w:jc w:val="left"/>
        <w:rPr>
          <w:b/>
          <w:sz w:val="21"/>
        </w:rPr>
      </w:pPr>
      <w:r>
        <w:drawing>
          <wp:anchor distT="0" distB="0" distL="0" distR="0" simplePos="0" relativeHeight="251662336" behindDoc="1" locked="0" layoutInCell="1" allowOverlap="1">
            <wp:simplePos x="0" y="0"/>
            <wp:positionH relativeFrom="page">
              <wp:posOffset>6170421</wp:posOffset>
            </wp:positionH>
            <wp:positionV relativeFrom="paragraph">
              <wp:posOffset>65404</wp:posOffset>
            </wp:positionV>
            <wp:extent cx="63500" cy="9525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6" cstate="print"/>
                    <a:stretch>
                      <a:fillRect/>
                    </a:stretch>
                  </pic:blipFill>
                  <pic:spPr>
                    <a:xfrm>
                      <a:off x="0" y="0"/>
                      <a:ext cx="63500" cy="9525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6685533</wp:posOffset>
            </wp:positionH>
            <wp:positionV relativeFrom="paragraph">
              <wp:posOffset>65404</wp:posOffset>
            </wp:positionV>
            <wp:extent cx="63500" cy="9525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6" cstate="print"/>
                    <a:stretch>
                      <a:fillRect/>
                    </a:stretch>
                  </pic:blipFill>
                  <pic:spPr>
                    <a:xfrm>
                      <a:off x="0" y="0"/>
                      <a:ext cx="63500" cy="95250"/>
                    </a:xfrm>
                    <a:prstGeom prst="rect">
                      <a:avLst/>
                    </a:prstGeom>
                  </pic:spPr>
                </pic:pic>
              </a:graphicData>
            </a:graphic>
          </wp:anchor>
        </w:drawing>
      </w:r>
      <w:r>
        <w:rPr>
          <w:b/>
          <w:sz w:val="21"/>
        </w:rPr>
        <w:t>图表</w:t>
      </w:r>
      <w:r>
        <w:rPr>
          <w:b/>
          <w:spacing w:val="-31"/>
          <w:sz w:val="21"/>
        </w:rPr>
        <w:t xml:space="preserve"> </w:t>
      </w:r>
      <w:r>
        <w:rPr>
          <w:b/>
          <w:sz w:val="21"/>
        </w:rPr>
        <w:t>19：2023</w:t>
      </w:r>
      <w:r>
        <w:rPr>
          <w:b/>
          <w:spacing w:val="-31"/>
          <w:sz w:val="21"/>
        </w:rPr>
        <w:t xml:space="preserve"> </w:t>
      </w:r>
      <w:r>
        <w:rPr>
          <w:b/>
          <w:sz w:val="21"/>
        </w:rPr>
        <w:t>年北方</w:t>
      </w:r>
      <w:r>
        <w:rPr>
          <w:b/>
          <w:spacing w:val="-3"/>
          <w:sz w:val="21"/>
        </w:rPr>
        <w:t>稀</w:t>
      </w:r>
      <w:r>
        <w:rPr>
          <w:b/>
          <w:sz w:val="21"/>
        </w:rPr>
        <w:t>土和中国稀土集团</w:t>
      </w:r>
      <w:r>
        <w:rPr>
          <w:b/>
          <w:spacing w:val="-3"/>
          <w:sz w:val="21"/>
        </w:rPr>
        <w:t>分</w:t>
      </w:r>
      <w:r>
        <w:rPr>
          <w:b/>
          <w:sz w:val="21"/>
        </w:rPr>
        <w:t>别</w:t>
      </w:r>
      <w:r>
        <w:rPr>
          <w:b/>
          <w:spacing w:val="-3"/>
          <w:sz w:val="21"/>
        </w:rPr>
        <w:t>占</w:t>
      </w:r>
      <w:r>
        <w:rPr>
          <w:b/>
          <w:sz w:val="21"/>
        </w:rPr>
        <w:t>轻稀土开采指标的</w:t>
      </w:r>
      <w:r>
        <w:rPr>
          <w:b/>
          <w:spacing w:val="-30"/>
          <w:sz w:val="21"/>
        </w:rPr>
        <w:t xml:space="preserve"> </w:t>
      </w:r>
      <w:r>
        <w:rPr>
          <w:b/>
          <w:sz w:val="21"/>
        </w:rPr>
        <w:t>75.7和</w:t>
      </w:r>
      <w:r>
        <w:rPr>
          <w:b/>
          <w:spacing w:val="-31"/>
          <w:sz w:val="21"/>
        </w:rPr>
        <w:t xml:space="preserve"> </w:t>
      </w:r>
      <w:r>
        <w:rPr>
          <w:b/>
          <w:sz w:val="21"/>
        </w:rPr>
        <w:t>24.3（</w:t>
      </w:r>
      <w:r>
        <w:rPr>
          <w:b/>
          <w:spacing w:val="-212"/>
          <w:sz w:val="21"/>
        </w:rPr>
        <w:t>吨</w:t>
      </w:r>
      <w:r>
        <w:rPr>
          <w:b/>
          <w:sz w:val="21"/>
        </w:rPr>
        <w:t>REO）</w:t>
        <w:tab/>
        <w:t>12</w:t>
      </w:r>
    </w:p>
    <w:p>
      <w:pPr>
        <w:tabs>
          <w:tab w:val="left" w:leader="dot" w:pos="10175"/>
        </w:tabs>
        <w:spacing w:before="0" w:line="269" w:lineRule="exact"/>
        <w:ind w:left="2292" w:right="0" w:firstLine="0"/>
        <w:jc w:val="left"/>
        <w:rPr>
          <w:b/>
          <w:sz w:val="21"/>
        </w:rPr>
      </w:pPr>
      <w:r>
        <w:rPr>
          <w:b/>
          <w:sz w:val="21"/>
        </w:rPr>
        <w:t>图表</w:t>
      </w:r>
      <w:r>
        <w:rPr>
          <w:b/>
          <w:spacing w:val="-54"/>
          <w:sz w:val="21"/>
        </w:rPr>
        <w:t xml:space="preserve"> </w:t>
      </w:r>
      <w:r>
        <w:rPr>
          <w:b/>
          <w:sz w:val="21"/>
        </w:rPr>
        <w:t>20：2023</w:t>
      </w:r>
      <w:r>
        <w:rPr>
          <w:b/>
          <w:spacing w:val="-53"/>
          <w:sz w:val="21"/>
        </w:rPr>
        <w:t xml:space="preserve"> </w:t>
      </w:r>
      <w:r>
        <w:rPr>
          <w:b/>
          <w:sz w:val="21"/>
        </w:rPr>
        <w:t>年重稀土</w:t>
      </w:r>
      <w:r>
        <w:rPr>
          <w:b/>
          <w:spacing w:val="-3"/>
          <w:sz w:val="21"/>
        </w:rPr>
        <w:t>开</w:t>
      </w:r>
      <w:r>
        <w:rPr>
          <w:b/>
          <w:sz w:val="21"/>
        </w:rPr>
        <w:t>采指标连续</w:t>
      </w:r>
      <w:r>
        <w:rPr>
          <w:b/>
          <w:spacing w:val="-52"/>
          <w:sz w:val="21"/>
        </w:rPr>
        <w:t xml:space="preserve"> </w:t>
      </w:r>
      <w:r>
        <w:rPr>
          <w:b/>
          <w:sz w:val="21"/>
        </w:rPr>
        <w:t>6</w:t>
      </w:r>
      <w:r>
        <w:rPr>
          <w:b/>
          <w:spacing w:val="-53"/>
          <w:sz w:val="21"/>
        </w:rPr>
        <w:t xml:space="preserve"> </w:t>
      </w:r>
      <w:r>
        <w:rPr>
          <w:b/>
          <w:sz w:val="21"/>
        </w:rPr>
        <w:t>年保持不</w:t>
      </w:r>
      <w:r>
        <w:rPr>
          <w:b/>
          <w:spacing w:val="-3"/>
          <w:sz w:val="21"/>
        </w:rPr>
        <w:t>变</w:t>
      </w:r>
      <w:r>
        <w:rPr>
          <w:b/>
          <w:sz w:val="21"/>
        </w:rPr>
        <w:t>（吨</w:t>
      </w:r>
      <w:r>
        <w:rPr>
          <w:b/>
          <w:spacing w:val="-54"/>
          <w:sz w:val="21"/>
        </w:rPr>
        <w:t xml:space="preserve"> </w:t>
      </w:r>
      <w:r>
        <w:rPr>
          <w:b/>
          <w:sz w:val="21"/>
        </w:rPr>
        <w:t>REO）</w:t>
        <w:tab/>
        <w:t>13</w:t>
      </w:r>
    </w:p>
    <w:p>
      <w:pPr>
        <w:tabs>
          <w:tab w:val="left" w:leader="dot" w:pos="10175"/>
        </w:tabs>
        <w:spacing w:before="43"/>
        <w:ind w:left="2292" w:right="0" w:firstLine="0"/>
        <w:jc w:val="left"/>
        <w:rPr>
          <w:b/>
          <w:sz w:val="21"/>
        </w:rPr>
      </w:pPr>
      <w:r>
        <w:rPr>
          <w:b/>
          <w:sz w:val="21"/>
        </w:rPr>
        <w:t>图表</w:t>
      </w:r>
      <w:r>
        <w:rPr>
          <w:b/>
          <w:spacing w:val="-52"/>
          <w:sz w:val="21"/>
        </w:rPr>
        <w:t xml:space="preserve"> </w:t>
      </w:r>
      <w:r>
        <w:rPr>
          <w:b/>
          <w:sz w:val="21"/>
        </w:rPr>
        <w:t>21：2023</w:t>
      </w:r>
      <w:r>
        <w:rPr>
          <w:b/>
          <w:spacing w:val="-52"/>
          <w:sz w:val="21"/>
        </w:rPr>
        <w:t xml:space="preserve"> </w:t>
      </w:r>
      <w:r>
        <w:rPr>
          <w:b/>
          <w:sz w:val="21"/>
        </w:rPr>
        <w:t>年新的冶</w:t>
      </w:r>
      <w:r>
        <w:rPr>
          <w:b/>
          <w:spacing w:val="-3"/>
          <w:sz w:val="21"/>
        </w:rPr>
        <w:t>炼</w:t>
      </w:r>
      <w:r>
        <w:rPr>
          <w:b/>
          <w:sz w:val="21"/>
        </w:rPr>
        <w:t>分离指标增量仅分</w:t>
      </w:r>
      <w:r>
        <w:rPr>
          <w:b/>
          <w:spacing w:val="-3"/>
          <w:sz w:val="21"/>
        </w:rPr>
        <w:t>配</w:t>
      </w:r>
      <w:r>
        <w:rPr>
          <w:b/>
          <w:sz w:val="21"/>
        </w:rPr>
        <w:t>给</w:t>
      </w:r>
      <w:r>
        <w:rPr>
          <w:b/>
          <w:spacing w:val="-3"/>
          <w:sz w:val="21"/>
        </w:rPr>
        <w:t>中</w:t>
      </w:r>
      <w:r>
        <w:rPr>
          <w:b/>
          <w:sz w:val="21"/>
        </w:rPr>
        <w:t>国稀土集团和北方</w:t>
      </w:r>
      <w:r>
        <w:rPr>
          <w:b/>
          <w:spacing w:val="-3"/>
          <w:sz w:val="21"/>
        </w:rPr>
        <w:t>稀</w:t>
      </w:r>
      <w:r>
        <w:rPr>
          <w:b/>
          <w:sz w:val="21"/>
        </w:rPr>
        <w:t>土</w:t>
        <w:tab/>
        <w:t>13</w:t>
      </w:r>
    </w:p>
    <w:p>
      <w:pPr>
        <w:tabs>
          <w:tab w:val="left" w:leader="dot" w:pos="10175"/>
        </w:tabs>
        <w:spacing w:before="43"/>
        <w:ind w:left="2292" w:right="0" w:firstLine="0"/>
        <w:jc w:val="left"/>
        <w:rPr>
          <w:b/>
          <w:sz w:val="21"/>
        </w:rPr>
      </w:pPr>
      <w:r>
        <w:rPr>
          <w:b/>
          <w:sz w:val="21"/>
        </w:rPr>
        <w:t>图表</w:t>
      </w:r>
      <w:r>
        <w:rPr>
          <w:b/>
          <w:spacing w:val="-54"/>
          <w:sz w:val="21"/>
        </w:rPr>
        <w:t xml:space="preserve"> </w:t>
      </w:r>
      <w:r>
        <w:rPr>
          <w:b/>
          <w:sz w:val="21"/>
        </w:rPr>
        <w:t>22：2022</w:t>
      </w:r>
      <w:r>
        <w:rPr>
          <w:b/>
          <w:spacing w:val="-53"/>
          <w:sz w:val="21"/>
        </w:rPr>
        <w:t xml:space="preserve"> </w:t>
      </w:r>
      <w:r>
        <w:rPr>
          <w:b/>
          <w:sz w:val="21"/>
        </w:rPr>
        <w:t>年海外稀</w:t>
      </w:r>
      <w:r>
        <w:rPr>
          <w:b/>
          <w:spacing w:val="-3"/>
          <w:sz w:val="21"/>
        </w:rPr>
        <w:t>土</w:t>
      </w:r>
      <w:r>
        <w:rPr>
          <w:b/>
          <w:sz w:val="21"/>
        </w:rPr>
        <w:t>储量分布</w:t>
        <w:tab/>
        <w:t>14</w:t>
      </w:r>
    </w:p>
    <w:p>
      <w:pPr>
        <w:tabs>
          <w:tab w:val="left" w:leader="dot" w:pos="10175"/>
        </w:tabs>
        <w:spacing w:before="43"/>
        <w:ind w:left="2292" w:right="0" w:firstLine="0"/>
        <w:jc w:val="left"/>
        <w:rPr>
          <w:b/>
          <w:sz w:val="21"/>
        </w:rPr>
      </w:pPr>
      <w:r>
        <w:rPr>
          <w:b/>
          <w:sz w:val="21"/>
        </w:rPr>
        <w:t>图表</w:t>
      </w:r>
      <w:r>
        <w:rPr>
          <w:b/>
          <w:spacing w:val="-54"/>
          <w:sz w:val="21"/>
        </w:rPr>
        <w:t xml:space="preserve"> </w:t>
      </w:r>
      <w:r>
        <w:rPr>
          <w:b/>
          <w:sz w:val="21"/>
        </w:rPr>
        <w:t>23：2022</w:t>
      </w:r>
      <w:r>
        <w:rPr>
          <w:b/>
          <w:spacing w:val="-53"/>
          <w:sz w:val="21"/>
        </w:rPr>
        <w:t xml:space="preserve"> </w:t>
      </w:r>
      <w:r>
        <w:rPr>
          <w:b/>
          <w:sz w:val="21"/>
        </w:rPr>
        <w:t>年海外稀</w:t>
      </w:r>
      <w:r>
        <w:rPr>
          <w:b/>
          <w:spacing w:val="-3"/>
          <w:sz w:val="21"/>
        </w:rPr>
        <w:t>土</w:t>
      </w:r>
      <w:r>
        <w:rPr>
          <w:b/>
          <w:sz w:val="21"/>
        </w:rPr>
        <w:t>产量分布</w:t>
        <w:tab/>
        <w:t>14</w:t>
      </w:r>
    </w:p>
    <w:p>
      <w:pPr>
        <w:tabs>
          <w:tab w:val="left" w:leader="dot" w:pos="10175"/>
        </w:tabs>
        <w:spacing w:before="43"/>
        <w:ind w:left="2292" w:right="0" w:firstLine="0"/>
        <w:jc w:val="left"/>
        <w:rPr>
          <w:b/>
          <w:sz w:val="21"/>
        </w:rPr>
      </w:pPr>
      <w:r>
        <w:rPr>
          <w:b/>
          <w:sz w:val="21"/>
        </w:rPr>
        <w:t>图表</w:t>
      </w:r>
      <w:r>
        <w:rPr>
          <w:b/>
          <w:spacing w:val="-53"/>
          <w:sz w:val="21"/>
        </w:rPr>
        <w:t xml:space="preserve"> </w:t>
      </w:r>
      <w:r>
        <w:rPr>
          <w:b/>
          <w:sz w:val="21"/>
        </w:rPr>
        <w:t>24：海外各国仍在</w:t>
      </w:r>
      <w:r>
        <w:rPr>
          <w:b/>
          <w:spacing w:val="-3"/>
          <w:sz w:val="21"/>
        </w:rPr>
        <w:t>积</w:t>
      </w:r>
      <w:r>
        <w:rPr>
          <w:b/>
          <w:sz w:val="21"/>
        </w:rPr>
        <w:t>极支持稀土资源开发</w:t>
        <w:tab/>
        <w:t>15</w:t>
      </w:r>
    </w:p>
    <w:p>
      <w:pPr>
        <w:tabs>
          <w:tab w:val="left" w:leader="dot" w:pos="10175"/>
        </w:tabs>
        <w:spacing w:before="43"/>
        <w:ind w:left="2292" w:right="0" w:firstLine="0"/>
        <w:jc w:val="left"/>
        <w:rPr>
          <w:b/>
          <w:sz w:val="21"/>
        </w:rPr>
      </w:pPr>
      <w:r>
        <w:rPr>
          <w:b/>
          <w:sz w:val="21"/>
        </w:rPr>
        <w:t>图表</w:t>
      </w:r>
      <w:r>
        <w:rPr>
          <w:b/>
          <w:spacing w:val="-53"/>
          <w:sz w:val="21"/>
        </w:rPr>
        <w:t xml:space="preserve"> </w:t>
      </w:r>
      <w:r>
        <w:rPr>
          <w:b/>
          <w:sz w:val="21"/>
        </w:rPr>
        <w:t>25：海外主要稀土</w:t>
      </w:r>
      <w:r>
        <w:rPr>
          <w:b/>
          <w:spacing w:val="-3"/>
          <w:sz w:val="21"/>
        </w:rPr>
        <w:t>项</w:t>
      </w:r>
      <w:r>
        <w:rPr>
          <w:b/>
          <w:sz w:val="21"/>
        </w:rPr>
        <w:t>目梳理（吨</w:t>
      </w:r>
      <w:r>
        <w:rPr>
          <w:b/>
          <w:spacing w:val="-52"/>
          <w:sz w:val="21"/>
        </w:rPr>
        <w:t xml:space="preserve"> </w:t>
      </w:r>
      <w:r>
        <w:rPr>
          <w:b/>
          <w:sz w:val="21"/>
        </w:rPr>
        <w:t>REO）</w:t>
        <w:tab/>
        <w:t>16</w:t>
      </w:r>
    </w:p>
    <w:p>
      <w:pPr>
        <w:tabs>
          <w:tab w:val="left" w:leader="dot" w:pos="10175"/>
        </w:tabs>
        <w:spacing w:before="43"/>
        <w:ind w:left="2292" w:right="0" w:firstLine="0"/>
        <w:jc w:val="left"/>
        <w:rPr>
          <w:b/>
          <w:sz w:val="21"/>
        </w:rPr>
      </w:pPr>
      <w:r>
        <w:rPr>
          <w:b/>
          <w:sz w:val="21"/>
        </w:rPr>
        <w:t>图表</w:t>
      </w:r>
      <w:r>
        <w:rPr>
          <w:b/>
          <w:spacing w:val="-54"/>
          <w:sz w:val="21"/>
        </w:rPr>
        <w:t xml:space="preserve"> </w:t>
      </w:r>
      <w:r>
        <w:rPr>
          <w:b/>
          <w:sz w:val="21"/>
        </w:rPr>
        <w:t>26：Mountain</w:t>
      </w:r>
      <w:r>
        <w:rPr>
          <w:b/>
          <w:spacing w:val="2"/>
          <w:sz w:val="21"/>
        </w:rPr>
        <w:t xml:space="preserve"> </w:t>
      </w:r>
      <w:r>
        <w:rPr>
          <w:b/>
          <w:sz w:val="21"/>
        </w:rPr>
        <w:t>Pass</w:t>
      </w:r>
      <w:r>
        <w:rPr>
          <w:b/>
          <w:spacing w:val="-54"/>
          <w:sz w:val="21"/>
        </w:rPr>
        <w:t xml:space="preserve"> </w:t>
      </w:r>
      <w:r>
        <w:rPr>
          <w:b/>
          <w:sz w:val="21"/>
        </w:rPr>
        <w:t>项目地理位置</w:t>
        <w:tab/>
        <w:t>17</w:t>
      </w:r>
    </w:p>
    <w:p>
      <w:pPr>
        <w:tabs>
          <w:tab w:val="left" w:leader="dot" w:pos="10175"/>
        </w:tabs>
        <w:spacing w:before="43"/>
        <w:ind w:left="2292" w:right="0" w:firstLine="0"/>
        <w:jc w:val="left"/>
        <w:rPr>
          <w:b/>
          <w:sz w:val="21"/>
        </w:rPr>
      </w:pPr>
      <w:r>
        <w:rPr>
          <w:b/>
          <w:sz w:val="21"/>
        </w:rPr>
        <w:t>图表</w:t>
      </w:r>
      <w:r>
        <w:rPr>
          <w:b/>
          <w:spacing w:val="-54"/>
          <w:sz w:val="21"/>
        </w:rPr>
        <w:t xml:space="preserve"> </w:t>
      </w:r>
      <w:r>
        <w:rPr>
          <w:b/>
          <w:sz w:val="21"/>
        </w:rPr>
        <w:t>27：Mountain</w:t>
      </w:r>
      <w:r>
        <w:rPr>
          <w:b/>
          <w:spacing w:val="2"/>
          <w:sz w:val="21"/>
        </w:rPr>
        <w:t xml:space="preserve"> </w:t>
      </w:r>
      <w:r>
        <w:rPr>
          <w:b/>
          <w:sz w:val="21"/>
        </w:rPr>
        <w:t>Pass</w:t>
      </w:r>
      <w:r>
        <w:rPr>
          <w:b/>
          <w:spacing w:val="-54"/>
          <w:sz w:val="21"/>
        </w:rPr>
        <w:t xml:space="preserve"> </w:t>
      </w:r>
      <w:r>
        <w:rPr>
          <w:b/>
          <w:sz w:val="21"/>
        </w:rPr>
        <w:t>项目地理位置</w:t>
        <w:tab/>
        <w:t>17</w:t>
      </w:r>
    </w:p>
    <w:p>
      <w:pPr>
        <w:tabs>
          <w:tab w:val="left" w:leader="dot" w:pos="10175"/>
        </w:tabs>
        <w:spacing w:before="43"/>
        <w:ind w:left="2292" w:right="0" w:firstLine="0"/>
        <w:jc w:val="left"/>
        <w:rPr>
          <w:b/>
          <w:sz w:val="21"/>
        </w:rPr>
      </w:pPr>
      <w:r>
        <w:rPr>
          <w:b/>
          <w:sz w:val="21"/>
        </w:rPr>
        <w:t>图表</w:t>
      </w:r>
      <w:r>
        <w:rPr>
          <w:b/>
          <w:spacing w:val="-54"/>
          <w:sz w:val="21"/>
        </w:rPr>
        <w:t xml:space="preserve"> </w:t>
      </w:r>
      <w:r>
        <w:rPr>
          <w:b/>
          <w:sz w:val="21"/>
        </w:rPr>
        <w:t>28：MP Material</w:t>
      </w:r>
      <w:r>
        <w:rPr>
          <w:b/>
          <w:spacing w:val="1"/>
          <w:sz w:val="21"/>
        </w:rPr>
        <w:t xml:space="preserve"> </w:t>
      </w:r>
      <w:r>
        <w:rPr>
          <w:b/>
          <w:sz w:val="21"/>
        </w:rPr>
        <w:t>稀土氧化物折合</w:t>
      </w:r>
      <w:r>
        <w:rPr>
          <w:b/>
          <w:spacing w:val="-53"/>
          <w:sz w:val="21"/>
        </w:rPr>
        <w:t xml:space="preserve"> </w:t>
      </w:r>
      <w:r>
        <w:rPr>
          <w:b/>
          <w:sz w:val="21"/>
        </w:rPr>
        <w:t>REO</w:t>
      </w:r>
      <w:r>
        <w:rPr>
          <w:b/>
          <w:spacing w:val="-53"/>
          <w:sz w:val="21"/>
        </w:rPr>
        <w:t xml:space="preserve"> </w:t>
      </w:r>
      <w:r>
        <w:rPr>
          <w:b/>
          <w:sz w:val="21"/>
        </w:rPr>
        <w:t>分季</w:t>
      </w:r>
      <w:r>
        <w:rPr>
          <w:b/>
          <w:spacing w:val="-3"/>
          <w:sz w:val="21"/>
        </w:rPr>
        <w:t>度</w:t>
      </w:r>
      <w:r>
        <w:rPr>
          <w:b/>
          <w:sz w:val="21"/>
        </w:rPr>
        <w:t>产量（吨</w:t>
      </w:r>
      <w:r>
        <w:rPr>
          <w:b/>
          <w:spacing w:val="-54"/>
          <w:sz w:val="21"/>
        </w:rPr>
        <w:t xml:space="preserve"> </w:t>
      </w:r>
      <w:r>
        <w:rPr>
          <w:b/>
          <w:sz w:val="21"/>
        </w:rPr>
        <w:t>REO）</w:t>
        <w:tab/>
        <w:t>17</w:t>
      </w:r>
    </w:p>
    <w:p>
      <w:pPr>
        <w:tabs>
          <w:tab w:val="left" w:leader="dot" w:pos="10175"/>
        </w:tabs>
        <w:spacing w:before="43"/>
        <w:ind w:left="2292" w:right="0" w:firstLine="0"/>
        <w:jc w:val="left"/>
        <w:rPr>
          <w:b/>
          <w:sz w:val="21"/>
        </w:rPr>
      </w:pPr>
      <w:r>
        <w:rPr>
          <w:b/>
          <w:sz w:val="21"/>
        </w:rPr>
        <w:t>图表</w:t>
      </w:r>
      <w:r>
        <w:rPr>
          <w:b/>
          <w:spacing w:val="-54"/>
          <w:sz w:val="21"/>
        </w:rPr>
        <w:t xml:space="preserve"> </w:t>
      </w:r>
      <w:r>
        <w:rPr>
          <w:b/>
          <w:sz w:val="21"/>
        </w:rPr>
        <w:t>29：Lynas</w:t>
      </w:r>
      <w:r>
        <w:rPr>
          <w:b/>
          <w:spacing w:val="-54"/>
          <w:sz w:val="21"/>
        </w:rPr>
        <w:t xml:space="preserve"> </w:t>
      </w:r>
      <w:r>
        <w:rPr>
          <w:b/>
          <w:sz w:val="21"/>
        </w:rPr>
        <w:t>稀土矿项目汇总</w:t>
        <w:tab/>
        <w:t>18</w:t>
      </w:r>
    </w:p>
    <w:p>
      <w:pPr>
        <w:tabs>
          <w:tab w:val="left" w:leader="dot" w:pos="10175"/>
        </w:tabs>
        <w:spacing w:before="43"/>
        <w:ind w:left="2292" w:right="0" w:firstLine="0"/>
        <w:jc w:val="left"/>
        <w:rPr>
          <w:b/>
          <w:sz w:val="21"/>
        </w:rPr>
      </w:pPr>
      <w:r>
        <w:rPr>
          <w:b/>
          <w:sz w:val="21"/>
        </w:rPr>
        <w:t>图表</w:t>
      </w:r>
      <w:r>
        <w:rPr>
          <w:b/>
          <w:spacing w:val="-54"/>
          <w:sz w:val="21"/>
        </w:rPr>
        <w:t xml:space="preserve"> </w:t>
      </w:r>
      <w:r>
        <w:rPr>
          <w:b/>
          <w:sz w:val="21"/>
        </w:rPr>
        <w:t>30：Mt</w:t>
      </w:r>
      <w:r>
        <w:rPr>
          <w:b/>
          <w:spacing w:val="-1"/>
          <w:sz w:val="21"/>
        </w:rPr>
        <w:t xml:space="preserve"> </w:t>
      </w:r>
      <w:r>
        <w:rPr>
          <w:b/>
          <w:sz w:val="21"/>
        </w:rPr>
        <w:t>Weld</w:t>
      </w:r>
      <w:r>
        <w:rPr>
          <w:b/>
          <w:spacing w:val="-53"/>
          <w:sz w:val="21"/>
        </w:rPr>
        <w:t xml:space="preserve"> </w:t>
      </w:r>
      <w:r>
        <w:rPr>
          <w:b/>
          <w:sz w:val="21"/>
        </w:rPr>
        <w:t>稀土矿储量概况</w:t>
        <w:tab/>
        <w:t>18</w:t>
      </w:r>
    </w:p>
    <w:p>
      <w:pPr>
        <w:tabs>
          <w:tab w:val="left" w:leader="dot" w:pos="10175"/>
        </w:tabs>
        <w:spacing w:before="43"/>
        <w:ind w:left="2292" w:right="0" w:firstLine="0"/>
        <w:jc w:val="left"/>
        <w:rPr>
          <w:b/>
          <w:sz w:val="21"/>
        </w:rPr>
      </w:pPr>
      <w:r>
        <w:rPr>
          <w:b/>
          <w:sz w:val="21"/>
        </w:rPr>
        <w:t>图表</w:t>
      </w:r>
      <w:r>
        <w:rPr>
          <w:b/>
          <w:spacing w:val="-54"/>
          <w:sz w:val="21"/>
        </w:rPr>
        <w:t xml:space="preserve"> </w:t>
      </w:r>
      <w:r>
        <w:rPr>
          <w:b/>
          <w:sz w:val="21"/>
        </w:rPr>
        <w:t>31：Lynas</w:t>
      </w:r>
      <w:r>
        <w:rPr>
          <w:b/>
          <w:spacing w:val="-53"/>
          <w:sz w:val="21"/>
        </w:rPr>
        <w:t xml:space="preserve"> </w:t>
      </w:r>
      <w:r>
        <w:rPr>
          <w:b/>
          <w:sz w:val="21"/>
        </w:rPr>
        <w:t>稀土氧化物和镨钕分季度产量</w:t>
        <w:tab/>
        <w:t>19</w:t>
      </w:r>
    </w:p>
    <w:p>
      <w:pPr>
        <w:tabs>
          <w:tab w:val="left" w:leader="dot" w:pos="10175"/>
        </w:tabs>
        <w:spacing w:before="42"/>
        <w:ind w:left="2292" w:right="0" w:firstLine="0"/>
        <w:jc w:val="left"/>
        <w:rPr>
          <w:b/>
          <w:sz w:val="21"/>
        </w:rPr>
      </w:pPr>
      <w:r>
        <w:rPr>
          <w:b/>
          <w:sz w:val="21"/>
        </w:rPr>
        <w:t>图表</w:t>
      </w:r>
      <w:r>
        <w:rPr>
          <w:b/>
          <w:spacing w:val="-53"/>
          <w:sz w:val="21"/>
        </w:rPr>
        <w:t xml:space="preserve"> </w:t>
      </w:r>
      <w:r>
        <w:rPr>
          <w:b/>
          <w:sz w:val="21"/>
        </w:rPr>
        <w:t>32：2023</w:t>
      </w:r>
      <w:r>
        <w:rPr>
          <w:b/>
          <w:spacing w:val="-53"/>
          <w:sz w:val="21"/>
        </w:rPr>
        <w:t xml:space="preserve"> </w:t>
      </w:r>
      <w:r>
        <w:rPr>
          <w:b/>
          <w:sz w:val="21"/>
        </w:rPr>
        <w:t>年中国进</w:t>
      </w:r>
      <w:r>
        <w:rPr>
          <w:b/>
          <w:spacing w:val="-3"/>
          <w:sz w:val="21"/>
        </w:rPr>
        <w:t>口</w:t>
      </w:r>
      <w:r>
        <w:rPr>
          <w:b/>
          <w:sz w:val="21"/>
        </w:rPr>
        <w:t>缅甸稀土矿大幅增</w:t>
      </w:r>
      <w:r>
        <w:rPr>
          <w:b/>
          <w:spacing w:val="-3"/>
          <w:sz w:val="21"/>
        </w:rPr>
        <w:t>加</w:t>
      </w:r>
      <w:r>
        <w:rPr>
          <w:b/>
          <w:sz w:val="21"/>
        </w:rPr>
        <w:t>（</w:t>
      </w:r>
      <w:r>
        <w:rPr>
          <w:b/>
          <w:spacing w:val="-3"/>
          <w:sz w:val="21"/>
        </w:rPr>
        <w:t>吨</w:t>
      </w:r>
      <w:r>
        <w:rPr>
          <w:b/>
          <w:sz w:val="21"/>
        </w:rPr>
        <w:t>）</w:t>
        <w:tab/>
        <w:t>20</w:t>
      </w:r>
    </w:p>
    <w:p>
      <w:pPr>
        <w:tabs>
          <w:tab w:val="left" w:leader="dot" w:pos="10175"/>
        </w:tabs>
        <w:spacing w:before="43"/>
        <w:ind w:left="2292" w:right="0" w:firstLine="0"/>
        <w:jc w:val="left"/>
        <w:rPr>
          <w:b/>
          <w:sz w:val="21"/>
        </w:rPr>
      </w:pPr>
      <w:r>
        <w:rPr>
          <w:b/>
          <w:sz w:val="21"/>
        </w:rPr>
        <w:t>图表</w:t>
      </w:r>
      <w:r>
        <w:rPr>
          <w:b/>
          <w:spacing w:val="-54"/>
          <w:sz w:val="21"/>
        </w:rPr>
        <w:t xml:space="preserve"> </w:t>
      </w:r>
      <w:r>
        <w:rPr>
          <w:b/>
          <w:sz w:val="21"/>
        </w:rPr>
        <w:t>33：</w:t>
      </w:r>
      <w:r>
        <w:rPr>
          <w:b/>
          <w:spacing w:val="2"/>
          <w:sz w:val="21"/>
        </w:rPr>
        <w:t xml:space="preserve"> </w:t>
      </w:r>
      <w:r>
        <w:rPr>
          <w:b/>
          <w:sz w:val="21"/>
        </w:rPr>
        <w:t>2022</w:t>
      </w:r>
      <w:r>
        <w:rPr>
          <w:b/>
          <w:spacing w:val="-53"/>
          <w:sz w:val="21"/>
        </w:rPr>
        <w:t xml:space="preserve"> </w:t>
      </w:r>
      <w:r>
        <w:rPr>
          <w:b/>
          <w:sz w:val="21"/>
        </w:rPr>
        <w:t>年中国</w:t>
      </w:r>
      <w:r>
        <w:rPr>
          <w:b/>
          <w:spacing w:val="-3"/>
          <w:sz w:val="21"/>
        </w:rPr>
        <w:t>稀</w:t>
      </w:r>
      <w:r>
        <w:rPr>
          <w:b/>
          <w:sz w:val="21"/>
        </w:rPr>
        <w:t>土行业下游需求分</w:t>
      </w:r>
      <w:r>
        <w:rPr>
          <w:b/>
          <w:spacing w:val="-3"/>
          <w:sz w:val="21"/>
        </w:rPr>
        <w:t>布</w:t>
      </w:r>
      <w:r>
        <w:rPr>
          <w:b/>
          <w:sz w:val="21"/>
        </w:rPr>
        <w:t>领域</w:t>
        <w:tab/>
        <w:t>20</w:t>
      </w:r>
    </w:p>
    <w:p>
      <w:pPr>
        <w:tabs>
          <w:tab w:val="left" w:leader="dot" w:pos="10175"/>
        </w:tabs>
        <w:spacing w:before="43"/>
        <w:ind w:left="2292" w:right="0" w:firstLine="0"/>
        <w:jc w:val="left"/>
        <w:rPr>
          <w:b/>
          <w:sz w:val="21"/>
        </w:rPr>
      </w:pPr>
      <w:r>
        <w:rPr>
          <w:b/>
          <w:sz w:val="21"/>
        </w:rPr>
        <w:t>图表</w:t>
      </w:r>
      <w:r>
        <w:rPr>
          <w:b/>
          <w:spacing w:val="-54"/>
          <w:sz w:val="21"/>
        </w:rPr>
        <w:t xml:space="preserve"> </w:t>
      </w:r>
      <w:r>
        <w:rPr>
          <w:b/>
          <w:sz w:val="21"/>
        </w:rPr>
        <w:t>34：2018</w:t>
      </w:r>
      <w:r>
        <w:rPr>
          <w:b/>
          <w:spacing w:val="-53"/>
          <w:sz w:val="21"/>
        </w:rPr>
        <w:t xml:space="preserve"> </w:t>
      </w:r>
      <w:r>
        <w:rPr>
          <w:b/>
          <w:sz w:val="21"/>
        </w:rPr>
        <w:t>年稀土行</w:t>
      </w:r>
      <w:r>
        <w:rPr>
          <w:b/>
          <w:spacing w:val="-3"/>
          <w:sz w:val="21"/>
        </w:rPr>
        <w:t>业</w:t>
      </w:r>
      <w:r>
        <w:rPr>
          <w:b/>
          <w:sz w:val="21"/>
        </w:rPr>
        <w:t>产值分布</w:t>
        <w:tab/>
        <w:t>20</w:t>
      </w:r>
    </w:p>
    <w:p>
      <w:pPr>
        <w:tabs>
          <w:tab w:val="left" w:leader="dot" w:pos="10175"/>
        </w:tabs>
        <w:spacing w:before="44"/>
        <w:ind w:left="2292" w:right="0" w:firstLine="0"/>
        <w:jc w:val="left"/>
        <w:rPr>
          <w:b/>
          <w:sz w:val="21"/>
        </w:rPr>
      </w:pPr>
      <w:r>
        <w:rPr>
          <w:b/>
          <w:sz w:val="21"/>
        </w:rPr>
        <w:t>图表</w:t>
      </w:r>
      <w:r>
        <w:rPr>
          <w:b/>
          <w:spacing w:val="-53"/>
          <w:sz w:val="21"/>
        </w:rPr>
        <w:t xml:space="preserve"> </w:t>
      </w:r>
      <w:r>
        <w:rPr>
          <w:b/>
          <w:sz w:val="21"/>
        </w:rPr>
        <w:t>35：稀土永磁材料</w:t>
      </w:r>
      <w:r>
        <w:rPr>
          <w:b/>
          <w:spacing w:val="-3"/>
          <w:sz w:val="21"/>
        </w:rPr>
        <w:t>演</w:t>
      </w:r>
      <w:r>
        <w:rPr>
          <w:b/>
          <w:sz w:val="21"/>
        </w:rPr>
        <w:t>化进程</w:t>
        <w:tab/>
        <w:t>22</w:t>
      </w:r>
    </w:p>
    <w:p>
      <w:pPr>
        <w:tabs>
          <w:tab w:val="left" w:leader="dot" w:pos="10175"/>
        </w:tabs>
        <w:spacing w:before="43"/>
        <w:ind w:left="2292" w:right="0" w:firstLine="0"/>
        <w:jc w:val="left"/>
        <w:rPr>
          <w:b/>
          <w:sz w:val="21"/>
        </w:rPr>
      </w:pPr>
      <w:r>
        <w:rPr>
          <w:b/>
          <w:sz w:val="21"/>
        </w:rPr>
        <w:t>图表</w:t>
      </w:r>
      <w:r>
        <w:rPr>
          <w:b/>
          <w:spacing w:val="-53"/>
          <w:sz w:val="21"/>
        </w:rPr>
        <w:t xml:space="preserve"> </w:t>
      </w:r>
      <w:r>
        <w:rPr>
          <w:b/>
          <w:sz w:val="21"/>
        </w:rPr>
        <w:t>36：国内主要高性</w:t>
      </w:r>
      <w:r>
        <w:rPr>
          <w:b/>
          <w:spacing w:val="-3"/>
          <w:sz w:val="21"/>
        </w:rPr>
        <w:t>能</w:t>
      </w:r>
      <w:r>
        <w:rPr>
          <w:b/>
          <w:sz w:val="21"/>
        </w:rPr>
        <w:t>磁材生产企业产能</w:t>
      </w:r>
      <w:r>
        <w:rPr>
          <w:b/>
          <w:spacing w:val="-3"/>
          <w:sz w:val="21"/>
        </w:rPr>
        <w:t>情</w:t>
      </w:r>
      <w:r>
        <w:rPr>
          <w:b/>
          <w:sz w:val="21"/>
        </w:rPr>
        <w:t>况</w:t>
        <w:tab/>
        <w:t>22</w:t>
      </w:r>
    </w:p>
    <w:p>
      <w:pPr>
        <w:tabs>
          <w:tab w:val="left" w:leader="dot" w:pos="10175"/>
        </w:tabs>
        <w:spacing w:before="43"/>
        <w:ind w:left="2292" w:right="0" w:firstLine="0"/>
        <w:jc w:val="left"/>
        <w:rPr>
          <w:b/>
          <w:sz w:val="21"/>
        </w:rPr>
      </w:pPr>
      <w:r>
        <w:rPr>
          <w:b/>
          <w:sz w:val="21"/>
        </w:rPr>
        <w:t>图表</w:t>
      </w:r>
      <w:r>
        <w:rPr>
          <w:b/>
          <w:spacing w:val="-53"/>
          <w:sz w:val="21"/>
        </w:rPr>
        <w:t xml:space="preserve"> </w:t>
      </w:r>
      <w:r>
        <w:rPr>
          <w:b/>
          <w:sz w:val="21"/>
        </w:rPr>
        <w:t>37：7</w:t>
      </w:r>
      <w:r>
        <w:rPr>
          <w:b/>
          <w:spacing w:val="-53"/>
          <w:sz w:val="21"/>
        </w:rPr>
        <w:t xml:space="preserve"> </w:t>
      </w:r>
      <w:r>
        <w:rPr>
          <w:b/>
          <w:sz w:val="21"/>
        </w:rPr>
        <w:t>大磁材公司</w:t>
      </w:r>
      <w:r>
        <w:rPr>
          <w:b/>
          <w:spacing w:val="-3"/>
          <w:sz w:val="21"/>
        </w:rPr>
        <w:t>各</w:t>
      </w:r>
      <w:r>
        <w:rPr>
          <w:b/>
          <w:sz w:val="21"/>
        </w:rPr>
        <w:t>领域细分客户图</w:t>
        <w:tab/>
        <w:t>23</w:t>
      </w:r>
    </w:p>
    <w:p>
      <w:pPr>
        <w:tabs>
          <w:tab w:val="left" w:leader="dot" w:pos="10175"/>
        </w:tabs>
        <w:spacing w:before="43"/>
        <w:ind w:left="2292" w:right="0" w:firstLine="0"/>
        <w:jc w:val="left"/>
        <w:rPr>
          <w:b/>
          <w:sz w:val="21"/>
        </w:rPr>
      </w:pPr>
      <w:r>
        <w:rPr>
          <w:b/>
          <w:sz w:val="21"/>
        </w:rPr>
        <w:t>图表</w:t>
      </w:r>
      <w:r>
        <w:rPr>
          <w:b/>
          <w:spacing w:val="-53"/>
          <w:sz w:val="21"/>
        </w:rPr>
        <w:t xml:space="preserve"> </w:t>
      </w:r>
      <w:r>
        <w:rPr>
          <w:b/>
          <w:sz w:val="21"/>
        </w:rPr>
        <w:t>38：高性能钕铁硼</w:t>
      </w:r>
      <w:r>
        <w:rPr>
          <w:b/>
          <w:spacing w:val="-3"/>
          <w:sz w:val="21"/>
        </w:rPr>
        <w:t>产</w:t>
      </w:r>
      <w:r>
        <w:rPr>
          <w:b/>
          <w:sz w:val="21"/>
        </w:rPr>
        <w:t>业链图表</w:t>
        <w:tab/>
        <w:t>24</w:t>
      </w:r>
    </w:p>
    <w:p>
      <w:pPr>
        <w:tabs>
          <w:tab w:val="left" w:leader="dot" w:pos="10175"/>
        </w:tabs>
        <w:spacing w:before="43"/>
        <w:ind w:left="2292" w:right="0" w:firstLine="0"/>
        <w:jc w:val="left"/>
        <w:rPr>
          <w:b/>
          <w:sz w:val="21"/>
        </w:rPr>
      </w:pPr>
      <w:r>
        <w:rPr>
          <w:b/>
          <w:sz w:val="21"/>
        </w:rPr>
        <w:t>图表</w:t>
      </w:r>
      <w:r>
        <w:rPr>
          <w:b/>
          <w:spacing w:val="-53"/>
          <w:sz w:val="21"/>
        </w:rPr>
        <w:t xml:space="preserve"> </w:t>
      </w:r>
      <w:r>
        <w:rPr>
          <w:b/>
          <w:sz w:val="21"/>
        </w:rPr>
        <w:t>39：2022</w:t>
      </w:r>
      <w:r>
        <w:rPr>
          <w:b/>
          <w:spacing w:val="-53"/>
          <w:sz w:val="21"/>
        </w:rPr>
        <w:t xml:space="preserve"> </w:t>
      </w:r>
      <w:r>
        <w:rPr>
          <w:b/>
          <w:sz w:val="21"/>
        </w:rPr>
        <w:t>年高性能</w:t>
      </w:r>
      <w:r>
        <w:rPr>
          <w:b/>
          <w:spacing w:val="-3"/>
          <w:sz w:val="21"/>
        </w:rPr>
        <w:t>钕</w:t>
      </w:r>
      <w:r>
        <w:rPr>
          <w:b/>
          <w:sz w:val="21"/>
        </w:rPr>
        <w:t>铁硼下游需求分布</w:t>
        <w:tab/>
        <w:t>24</w:t>
      </w:r>
    </w:p>
    <w:p>
      <w:pPr>
        <w:tabs>
          <w:tab w:val="left" w:leader="dot" w:pos="10175"/>
        </w:tabs>
        <w:spacing w:before="43"/>
        <w:ind w:left="2292" w:right="0" w:firstLine="0"/>
        <w:jc w:val="left"/>
        <w:rPr>
          <w:b/>
          <w:sz w:val="21"/>
        </w:rPr>
      </w:pPr>
      <w:r>
        <w:rPr>
          <w:b/>
          <w:sz w:val="21"/>
        </w:rPr>
        <w:t>图表</w:t>
      </w:r>
      <w:r>
        <w:rPr>
          <w:b/>
          <w:spacing w:val="-53"/>
          <w:sz w:val="21"/>
        </w:rPr>
        <w:t xml:space="preserve"> </w:t>
      </w:r>
      <w:r>
        <w:rPr>
          <w:b/>
          <w:sz w:val="21"/>
        </w:rPr>
        <w:t>40：2020-2025</w:t>
      </w:r>
      <w:r>
        <w:rPr>
          <w:b/>
          <w:spacing w:val="-51"/>
          <w:sz w:val="21"/>
        </w:rPr>
        <w:t xml:space="preserve"> </w:t>
      </w:r>
      <w:r>
        <w:rPr>
          <w:b/>
          <w:sz w:val="21"/>
        </w:rPr>
        <w:t>年</w:t>
      </w:r>
      <w:r>
        <w:rPr>
          <w:b/>
          <w:spacing w:val="-3"/>
          <w:sz w:val="21"/>
        </w:rPr>
        <w:t>全</w:t>
      </w:r>
      <w:r>
        <w:rPr>
          <w:b/>
          <w:sz w:val="21"/>
        </w:rPr>
        <w:t>球新能源汽车领域</w:t>
      </w:r>
      <w:r>
        <w:rPr>
          <w:b/>
          <w:spacing w:val="-3"/>
          <w:sz w:val="21"/>
        </w:rPr>
        <w:t>高</w:t>
      </w:r>
      <w:r>
        <w:rPr>
          <w:b/>
          <w:sz w:val="21"/>
        </w:rPr>
        <w:t>性</w:t>
      </w:r>
      <w:r>
        <w:rPr>
          <w:b/>
          <w:spacing w:val="-3"/>
          <w:sz w:val="21"/>
        </w:rPr>
        <w:t>能</w:t>
      </w:r>
      <w:r>
        <w:rPr>
          <w:b/>
          <w:sz w:val="21"/>
        </w:rPr>
        <w:t>钕铁硼需求测算</w:t>
        <w:tab/>
        <w:t>25</w:t>
      </w:r>
    </w:p>
    <w:p>
      <w:pPr>
        <w:tabs>
          <w:tab w:val="left" w:leader="dot" w:pos="10175"/>
        </w:tabs>
        <w:spacing w:before="42"/>
        <w:ind w:left="2292" w:right="0" w:firstLine="0"/>
        <w:jc w:val="left"/>
        <w:rPr>
          <w:b/>
          <w:sz w:val="21"/>
        </w:rPr>
      </w:pPr>
      <w:r>
        <w:rPr>
          <w:b/>
          <w:sz w:val="21"/>
        </w:rPr>
        <w:t>图表</w:t>
      </w:r>
      <w:r>
        <w:rPr>
          <w:b/>
          <w:spacing w:val="-53"/>
          <w:sz w:val="21"/>
        </w:rPr>
        <w:t xml:space="preserve"> </w:t>
      </w:r>
      <w:r>
        <w:rPr>
          <w:b/>
          <w:sz w:val="21"/>
        </w:rPr>
        <w:t>41：全球陆风发电</w:t>
      </w:r>
      <w:r>
        <w:rPr>
          <w:b/>
          <w:spacing w:val="-3"/>
          <w:sz w:val="21"/>
        </w:rPr>
        <w:t>新</w:t>
      </w:r>
      <w:r>
        <w:rPr>
          <w:b/>
          <w:sz w:val="21"/>
        </w:rPr>
        <w:t>增装机量预测（GW）</w:t>
        <w:tab/>
        <w:t>26</w:t>
      </w:r>
    </w:p>
    <w:p>
      <w:pPr>
        <w:tabs>
          <w:tab w:val="left" w:leader="dot" w:pos="10175"/>
        </w:tabs>
        <w:spacing w:before="43"/>
        <w:ind w:left="2292" w:right="0" w:firstLine="0"/>
        <w:jc w:val="left"/>
        <w:rPr>
          <w:b/>
          <w:sz w:val="21"/>
        </w:rPr>
        <w:sectPr>
          <w:headerReference w:type="default" r:id="rId7"/>
          <w:footerReference w:type="default" r:id="rId8"/>
          <w:pgSz w:w="11910" w:h="16840"/>
          <w:pgMar w:top="1360" w:right="520" w:bottom="660" w:left="660" w:header="708" w:footer="708"/>
          <w:pgNumType w:start="2"/>
          <w:cols w:space="708"/>
        </w:sectPr>
      </w:pPr>
      <w:r>
        <w:rPr>
          <w:b/>
          <w:sz w:val="21"/>
        </w:rPr>
        <w:t>图表</w:t>
      </w:r>
      <w:r>
        <w:rPr>
          <w:b/>
          <w:spacing w:val="-53"/>
          <w:sz w:val="21"/>
        </w:rPr>
        <w:t xml:space="preserve"> </w:t>
      </w:r>
      <w:r>
        <w:rPr>
          <w:b/>
          <w:sz w:val="21"/>
        </w:rPr>
        <w:t>42：全球海风发电</w:t>
      </w:r>
      <w:r>
        <w:rPr>
          <w:b/>
          <w:spacing w:val="-3"/>
          <w:sz w:val="21"/>
        </w:rPr>
        <w:t>新</w:t>
      </w:r>
      <w:r>
        <w:rPr>
          <w:b/>
          <w:sz w:val="21"/>
        </w:rPr>
        <w:t>增装机量预测（GW）</w:t>
        <w:tab/>
        <w:t>26</w:t>
      </w:r>
    </w:p>
    <w:p>
      <w:pPr>
        <w:tabs>
          <w:tab w:val="left" w:leader="dot" w:pos="10175"/>
        </w:tabs>
        <w:spacing w:before="43"/>
        <w:ind w:left="2292" w:right="0" w:firstLine="0"/>
        <w:jc w:val="left"/>
        <w:rPr>
          <w:b/>
          <w:sz w:val="21"/>
        </w:rPr>
      </w:pPr>
      <w:r>
        <w:rPr>
          <w:b/>
          <w:sz w:val="21"/>
        </w:rPr>
        <w:t>图表</w:t>
      </w:r>
      <w:r>
        <w:rPr>
          <w:b/>
          <w:spacing w:val="-53"/>
          <w:sz w:val="21"/>
        </w:rPr>
        <w:t xml:space="preserve"> </w:t>
      </w:r>
      <w:r>
        <w:rPr>
          <w:b/>
          <w:sz w:val="21"/>
        </w:rPr>
        <w:t>43：2020-2025</w:t>
      </w:r>
      <w:r>
        <w:rPr>
          <w:b/>
          <w:spacing w:val="-51"/>
          <w:sz w:val="21"/>
        </w:rPr>
        <w:t xml:space="preserve"> </w:t>
      </w:r>
      <w:r>
        <w:rPr>
          <w:b/>
          <w:sz w:val="21"/>
        </w:rPr>
        <w:t>年</w:t>
      </w:r>
      <w:r>
        <w:rPr>
          <w:b/>
          <w:spacing w:val="-3"/>
          <w:sz w:val="21"/>
        </w:rPr>
        <w:t>全</w:t>
      </w:r>
      <w:r>
        <w:rPr>
          <w:b/>
          <w:sz w:val="21"/>
        </w:rPr>
        <w:t>球风力发电领域高</w:t>
      </w:r>
      <w:r>
        <w:rPr>
          <w:b/>
          <w:spacing w:val="-3"/>
          <w:sz w:val="21"/>
        </w:rPr>
        <w:t>性</w:t>
      </w:r>
      <w:r>
        <w:rPr>
          <w:b/>
          <w:sz w:val="21"/>
        </w:rPr>
        <w:t>能</w:t>
      </w:r>
      <w:r>
        <w:rPr>
          <w:b/>
          <w:spacing w:val="-3"/>
          <w:sz w:val="21"/>
        </w:rPr>
        <w:t>钕</w:t>
      </w:r>
      <w:r>
        <w:rPr>
          <w:b/>
          <w:sz w:val="21"/>
        </w:rPr>
        <w:t>铁硼需求测算</w:t>
        <w:tab/>
        <w:t>27</w:t>
      </w:r>
    </w:p>
    <w:p>
      <w:pPr>
        <w:tabs>
          <w:tab w:val="left" w:leader="dot" w:pos="10175"/>
        </w:tabs>
        <w:spacing w:before="43"/>
        <w:ind w:left="2292" w:right="0" w:firstLine="0"/>
        <w:jc w:val="left"/>
        <w:rPr>
          <w:b/>
          <w:sz w:val="21"/>
        </w:rPr>
      </w:pPr>
      <w:r>
        <w:rPr>
          <w:b/>
          <w:sz w:val="21"/>
        </w:rPr>
        <w:t>图表</w:t>
      </w:r>
      <w:r>
        <w:rPr>
          <w:b/>
          <w:spacing w:val="-52"/>
          <w:sz w:val="21"/>
        </w:rPr>
        <w:t xml:space="preserve"> </w:t>
      </w:r>
      <w:r>
        <w:rPr>
          <w:b/>
          <w:sz w:val="21"/>
        </w:rPr>
        <w:t>44：2020-2025</w:t>
      </w:r>
      <w:r>
        <w:rPr>
          <w:b/>
          <w:spacing w:val="-51"/>
          <w:sz w:val="21"/>
        </w:rPr>
        <w:t xml:space="preserve"> </w:t>
      </w:r>
      <w:r>
        <w:rPr>
          <w:b/>
          <w:sz w:val="21"/>
        </w:rPr>
        <w:t>年</w:t>
      </w:r>
      <w:r>
        <w:rPr>
          <w:b/>
          <w:spacing w:val="-3"/>
          <w:sz w:val="21"/>
        </w:rPr>
        <w:t>全</w:t>
      </w:r>
      <w:r>
        <w:rPr>
          <w:b/>
          <w:sz w:val="21"/>
        </w:rPr>
        <w:t>球机器人及智能制</w:t>
      </w:r>
      <w:r>
        <w:rPr>
          <w:b/>
          <w:spacing w:val="-3"/>
          <w:sz w:val="21"/>
        </w:rPr>
        <w:t>造</w:t>
      </w:r>
      <w:r>
        <w:rPr>
          <w:b/>
          <w:sz w:val="21"/>
        </w:rPr>
        <w:t>领</w:t>
      </w:r>
      <w:r>
        <w:rPr>
          <w:b/>
          <w:spacing w:val="-3"/>
          <w:sz w:val="21"/>
        </w:rPr>
        <w:t>域</w:t>
      </w:r>
      <w:r>
        <w:rPr>
          <w:b/>
          <w:sz w:val="21"/>
        </w:rPr>
        <w:t>高性能钕铁硼需求</w:t>
      </w:r>
      <w:r>
        <w:rPr>
          <w:b/>
          <w:spacing w:val="-3"/>
          <w:sz w:val="21"/>
        </w:rPr>
        <w:t>测</w:t>
      </w:r>
      <w:r>
        <w:rPr>
          <w:b/>
          <w:sz w:val="21"/>
        </w:rPr>
        <w:t>算</w:t>
        <w:tab/>
        <w:t>27</w:t>
      </w:r>
    </w:p>
    <w:p>
      <w:pPr>
        <w:spacing w:after="0"/>
        <w:jc w:val="left"/>
        <w:rPr>
          <w:sz w:val="21"/>
        </w:rPr>
        <w:sectPr>
          <w:headerReference w:type="default" r:id="rId9"/>
          <w:footerReference w:type="default" r:id="rId10"/>
          <w:type w:val="nextPage"/>
          <w:pgSz w:w="11910" w:h="16840"/>
          <w:pgMar w:top="1360" w:right="520" w:bottom="660" w:left="660" w:header="708" w:footer="708"/>
          <w:pgNumType w:start="3"/>
          <w:cols w:space="708"/>
          <w:titlePg w:val="0"/>
        </w:sectPr>
      </w:pPr>
    </w:p>
    <w:p>
      <w:pPr>
        <w:tabs>
          <w:tab w:val="right" w:leader="dot" w:pos="10386"/>
        </w:tabs>
        <w:spacing w:before="61"/>
        <w:ind w:left="2292" w:right="0" w:firstLine="0"/>
        <w:jc w:val="left"/>
        <w:rPr>
          <w:b/>
          <w:sz w:val="21"/>
        </w:rPr>
      </w:pPr>
      <w:r>
        <w:pict>
          <v:shape id="_x0000_s1027" type="#_x0000_t202" style="width:60pt;height:12pt;margin-top:36.85pt;margin-left:488.98pt;mso-position-horizontal-relative:page;mso-position-vertical-relative:page;position:absolute;z-index:-251652096" filled="f" stroked="f">
            <v:textbox inset="0,0,0,0">
              <w:txbxContent>
                <w:p>
                  <w:pPr>
                    <w:spacing w:before="0" w:line="240" w:lineRule="exact"/>
                    <w:ind w:left="0" w:right="0" w:firstLine="0"/>
                    <w:jc w:val="left"/>
                    <w:rPr>
                      <w:sz w:val="24"/>
                    </w:rPr>
                  </w:pPr>
                  <w:r>
                    <w:rPr>
                      <w:sz w:val="24"/>
                    </w:rPr>
                    <w:t>丨公司名称</w:t>
                  </w:r>
                </w:p>
              </w:txbxContent>
            </v:textbox>
          </v:shape>
        </w:pict>
      </w:r>
      <w:r>
        <w:rPr>
          <w:b/>
          <w:sz w:val="21"/>
        </w:rPr>
        <w:t>图表</w:t>
      </w:r>
      <w:r>
        <w:rPr>
          <w:b/>
          <w:spacing w:val="-54"/>
          <w:sz w:val="21"/>
        </w:rPr>
        <w:t xml:space="preserve"> </w:t>
      </w:r>
      <w:r>
        <w:rPr>
          <w:b/>
          <w:sz w:val="21"/>
        </w:rPr>
        <w:t>45：2020-2025</w:t>
      </w:r>
      <w:r>
        <w:rPr>
          <w:b/>
          <w:spacing w:val="-53"/>
          <w:sz w:val="21"/>
        </w:rPr>
        <w:t xml:space="preserve"> </w:t>
      </w:r>
      <w:r>
        <w:rPr>
          <w:b/>
          <w:sz w:val="21"/>
        </w:rPr>
        <w:t>年</w:t>
      </w:r>
      <w:r>
        <w:rPr>
          <w:b/>
          <w:spacing w:val="-3"/>
          <w:sz w:val="21"/>
        </w:rPr>
        <w:t>全</w:t>
      </w:r>
      <w:r>
        <w:rPr>
          <w:b/>
          <w:sz w:val="21"/>
        </w:rPr>
        <w:t>球节能变频空调领</w:t>
      </w:r>
      <w:r>
        <w:rPr>
          <w:b/>
          <w:spacing w:val="-3"/>
          <w:sz w:val="21"/>
        </w:rPr>
        <w:t>域</w:t>
      </w:r>
      <w:r>
        <w:rPr>
          <w:b/>
          <w:sz w:val="21"/>
        </w:rPr>
        <w:t>高</w:t>
      </w:r>
      <w:r>
        <w:rPr>
          <w:b/>
          <w:spacing w:val="-3"/>
          <w:sz w:val="21"/>
        </w:rPr>
        <w:t>性</w:t>
      </w:r>
      <w:r>
        <w:rPr>
          <w:b/>
          <w:sz w:val="21"/>
        </w:rPr>
        <w:t>能钕铁硼需求测算</w:t>
        <w:tab/>
        <w:t>28</w:t>
      </w:r>
    </w:p>
    <w:p>
      <w:pPr>
        <w:tabs>
          <w:tab w:val="right" w:leader="dot" w:pos="10386"/>
        </w:tabs>
        <w:spacing w:before="44"/>
        <w:ind w:left="2292" w:right="0" w:firstLine="0"/>
        <w:jc w:val="left"/>
        <w:rPr>
          <w:b/>
          <w:sz w:val="21"/>
        </w:rPr>
      </w:pPr>
      <w:r>
        <w:rPr>
          <w:b/>
          <w:sz w:val="21"/>
        </w:rPr>
        <w:t>图表</w:t>
      </w:r>
      <w:r>
        <w:rPr>
          <w:b/>
          <w:spacing w:val="-54"/>
          <w:sz w:val="21"/>
        </w:rPr>
        <w:t xml:space="preserve"> </w:t>
      </w:r>
      <w:r>
        <w:rPr>
          <w:b/>
          <w:sz w:val="21"/>
        </w:rPr>
        <w:t>46：2020-2025</w:t>
      </w:r>
      <w:r>
        <w:rPr>
          <w:b/>
          <w:spacing w:val="-53"/>
          <w:sz w:val="21"/>
        </w:rPr>
        <w:t xml:space="preserve"> </w:t>
      </w:r>
      <w:r>
        <w:rPr>
          <w:b/>
          <w:sz w:val="21"/>
        </w:rPr>
        <w:t>年</w:t>
      </w:r>
      <w:r>
        <w:rPr>
          <w:b/>
          <w:spacing w:val="-3"/>
          <w:sz w:val="21"/>
        </w:rPr>
        <w:t>全</w:t>
      </w:r>
      <w:r>
        <w:rPr>
          <w:b/>
          <w:sz w:val="21"/>
        </w:rPr>
        <w:t>球节能电梯领域高</w:t>
      </w:r>
      <w:r>
        <w:rPr>
          <w:b/>
          <w:spacing w:val="-3"/>
          <w:sz w:val="21"/>
        </w:rPr>
        <w:t>性</w:t>
      </w:r>
      <w:r>
        <w:rPr>
          <w:b/>
          <w:sz w:val="21"/>
        </w:rPr>
        <w:t>能</w:t>
      </w:r>
      <w:r>
        <w:rPr>
          <w:b/>
          <w:spacing w:val="-3"/>
          <w:sz w:val="21"/>
        </w:rPr>
        <w:t>钕</w:t>
      </w:r>
      <w:r>
        <w:rPr>
          <w:b/>
          <w:sz w:val="21"/>
        </w:rPr>
        <w:t>铁硼需求测算</w:t>
        <w:tab/>
        <w:t>29</w:t>
      </w:r>
    </w:p>
    <w:p>
      <w:pPr>
        <w:tabs>
          <w:tab w:val="right" w:leader="dot" w:pos="10386"/>
        </w:tabs>
        <w:spacing w:before="42"/>
        <w:ind w:left="2292" w:right="0" w:firstLine="0"/>
        <w:jc w:val="left"/>
        <w:rPr>
          <w:b/>
          <w:sz w:val="21"/>
        </w:rPr>
      </w:pPr>
      <w:r>
        <w:rPr>
          <w:b/>
          <w:sz w:val="21"/>
        </w:rPr>
        <w:t>图表</w:t>
      </w:r>
      <w:r>
        <w:rPr>
          <w:b/>
          <w:spacing w:val="-54"/>
          <w:sz w:val="21"/>
        </w:rPr>
        <w:t xml:space="preserve"> </w:t>
      </w:r>
      <w:r>
        <w:rPr>
          <w:b/>
          <w:sz w:val="21"/>
        </w:rPr>
        <w:t>47：2020-2025</w:t>
      </w:r>
      <w:r>
        <w:rPr>
          <w:b/>
          <w:spacing w:val="-53"/>
          <w:sz w:val="21"/>
        </w:rPr>
        <w:t xml:space="preserve"> </w:t>
      </w:r>
      <w:r>
        <w:rPr>
          <w:b/>
          <w:sz w:val="21"/>
        </w:rPr>
        <w:t>年</w:t>
      </w:r>
      <w:r>
        <w:rPr>
          <w:b/>
          <w:spacing w:val="-3"/>
          <w:sz w:val="21"/>
        </w:rPr>
        <w:t>全</w:t>
      </w:r>
      <w:r>
        <w:rPr>
          <w:b/>
          <w:sz w:val="21"/>
        </w:rPr>
        <w:t>球智能手机出货量</w:t>
      </w:r>
      <w:r>
        <w:rPr>
          <w:b/>
          <w:spacing w:val="-3"/>
          <w:sz w:val="21"/>
        </w:rPr>
        <w:t>（</w:t>
      </w:r>
      <w:r>
        <w:rPr>
          <w:b/>
          <w:sz w:val="21"/>
        </w:rPr>
        <w:t>亿</w:t>
      </w:r>
      <w:r>
        <w:rPr>
          <w:b/>
          <w:spacing w:val="-3"/>
          <w:sz w:val="21"/>
        </w:rPr>
        <w:t>台</w:t>
      </w:r>
      <w:r>
        <w:rPr>
          <w:b/>
          <w:sz w:val="21"/>
        </w:rPr>
        <w:t>）</w:t>
        <w:tab/>
        <w:t>29</w:t>
      </w:r>
    </w:p>
    <w:p>
      <w:pPr>
        <w:tabs>
          <w:tab w:val="right" w:leader="dot" w:pos="10386"/>
        </w:tabs>
        <w:spacing w:before="43"/>
        <w:ind w:left="2292" w:right="0" w:firstLine="0"/>
        <w:jc w:val="left"/>
        <w:rPr>
          <w:b/>
          <w:sz w:val="21"/>
        </w:rPr>
      </w:pPr>
      <w:r>
        <w:rPr>
          <w:b/>
          <w:sz w:val="21"/>
        </w:rPr>
        <w:t>图表</w:t>
      </w:r>
      <w:r>
        <w:rPr>
          <w:b/>
          <w:spacing w:val="-54"/>
          <w:sz w:val="21"/>
        </w:rPr>
        <w:t xml:space="preserve"> </w:t>
      </w:r>
      <w:r>
        <w:rPr>
          <w:b/>
          <w:sz w:val="21"/>
        </w:rPr>
        <w:t>48：2020-2025</w:t>
      </w:r>
      <w:r>
        <w:rPr>
          <w:b/>
          <w:spacing w:val="-53"/>
          <w:sz w:val="21"/>
        </w:rPr>
        <w:t xml:space="preserve"> </w:t>
      </w:r>
      <w:r>
        <w:rPr>
          <w:b/>
          <w:sz w:val="21"/>
        </w:rPr>
        <w:t>年</w:t>
      </w:r>
      <w:r>
        <w:rPr>
          <w:b/>
          <w:spacing w:val="-3"/>
          <w:sz w:val="21"/>
        </w:rPr>
        <w:t>全</w:t>
      </w:r>
      <w:r>
        <w:rPr>
          <w:b/>
          <w:sz w:val="21"/>
        </w:rPr>
        <w:t>球</w:t>
      </w:r>
      <w:r>
        <w:rPr>
          <w:b/>
          <w:spacing w:val="-54"/>
          <w:sz w:val="21"/>
        </w:rPr>
        <w:t xml:space="preserve"> </w:t>
      </w:r>
      <w:r>
        <w:rPr>
          <w:b/>
          <w:sz w:val="21"/>
        </w:rPr>
        <w:t>PC</w:t>
      </w:r>
      <w:r>
        <w:rPr>
          <w:b/>
          <w:spacing w:val="-54"/>
          <w:sz w:val="21"/>
        </w:rPr>
        <w:t xml:space="preserve"> </w:t>
      </w:r>
      <w:r>
        <w:rPr>
          <w:b/>
          <w:sz w:val="21"/>
        </w:rPr>
        <w:t>季度出货量（亿台）</w:t>
        <w:tab/>
        <w:t>29</w:t>
      </w:r>
    </w:p>
    <w:p>
      <w:pPr>
        <w:tabs>
          <w:tab w:val="right" w:leader="dot" w:pos="10386"/>
        </w:tabs>
        <w:spacing w:before="43"/>
        <w:ind w:left="2292" w:right="0" w:firstLine="0"/>
        <w:jc w:val="left"/>
        <w:rPr>
          <w:b/>
          <w:sz w:val="21"/>
        </w:rPr>
      </w:pPr>
      <w:r>
        <w:rPr>
          <w:b/>
          <w:sz w:val="21"/>
        </w:rPr>
        <w:t>图表</w:t>
      </w:r>
      <w:r>
        <w:rPr>
          <w:b/>
          <w:spacing w:val="-54"/>
          <w:sz w:val="21"/>
        </w:rPr>
        <w:t xml:space="preserve"> </w:t>
      </w:r>
      <w:r>
        <w:rPr>
          <w:b/>
          <w:sz w:val="21"/>
        </w:rPr>
        <w:t>49：2020-2025</w:t>
      </w:r>
      <w:r>
        <w:rPr>
          <w:b/>
          <w:spacing w:val="-53"/>
          <w:sz w:val="21"/>
        </w:rPr>
        <w:t xml:space="preserve"> </w:t>
      </w:r>
      <w:r>
        <w:rPr>
          <w:b/>
          <w:sz w:val="21"/>
        </w:rPr>
        <w:t>年</w:t>
      </w:r>
      <w:r>
        <w:rPr>
          <w:b/>
          <w:spacing w:val="-3"/>
          <w:sz w:val="21"/>
        </w:rPr>
        <w:t>全</w:t>
      </w:r>
      <w:r>
        <w:rPr>
          <w:b/>
          <w:sz w:val="21"/>
        </w:rPr>
        <w:t>球高性能钕铁硼总</w:t>
      </w:r>
      <w:r>
        <w:rPr>
          <w:b/>
          <w:spacing w:val="-3"/>
          <w:sz w:val="21"/>
        </w:rPr>
        <w:t>需</w:t>
      </w:r>
      <w:r>
        <w:rPr>
          <w:b/>
          <w:sz w:val="21"/>
        </w:rPr>
        <w:t>求</w:t>
      </w:r>
      <w:r>
        <w:rPr>
          <w:b/>
          <w:spacing w:val="-3"/>
          <w:sz w:val="21"/>
        </w:rPr>
        <w:t>测</w:t>
      </w:r>
      <w:r>
        <w:rPr>
          <w:b/>
          <w:sz w:val="21"/>
        </w:rPr>
        <w:t>算（吨）</w:t>
        <w:tab/>
        <w:t>30</w:t>
      </w:r>
    </w:p>
    <w:p>
      <w:pPr>
        <w:tabs>
          <w:tab w:val="right" w:leader="dot" w:pos="10386"/>
        </w:tabs>
        <w:spacing w:before="43"/>
        <w:ind w:left="2292" w:right="0" w:firstLine="0"/>
        <w:jc w:val="left"/>
        <w:rPr>
          <w:b/>
          <w:sz w:val="21"/>
        </w:rPr>
      </w:pPr>
      <w:r>
        <w:rPr>
          <w:b/>
          <w:sz w:val="21"/>
        </w:rPr>
        <w:t>图表</w:t>
      </w:r>
      <w:r>
        <w:rPr>
          <w:b/>
          <w:spacing w:val="-54"/>
          <w:sz w:val="21"/>
        </w:rPr>
        <w:t xml:space="preserve"> </w:t>
      </w:r>
      <w:r>
        <w:rPr>
          <w:b/>
          <w:sz w:val="21"/>
        </w:rPr>
        <w:t>50：氧化镨钕供需</w:t>
      </w:r>
      <w:r>
        <w:rPr>
          <w:b/>
          <w:spacing w:val="-3"/>
          <w:sz w:val="21"/>
        </w:rPr>
        <w:t>平</w:t>
      </w:r>
      <w:r>
        <w:rPr>
          <w:b/>
          <w:sz w:val="21"/>
        </w:rPr>
        <w:t>衡表（万吨</w:t>
      </w:r>
      <w:r>
        <w:rPr>
          <w:b/>
          <w:spacing w:val="-53"/>
          <w:sz w:val="21"/>
        </w:rPr>
        <w:t xml:space="preserve"> </w:t>
      </w:r>
      <w:r>
        <w:rPr>
          <w:b/>
          <w:sz w:val="21"/>
        </w:rPr>
        <w:t>REO）</w:t>
        <w:tab/>
        <w:t>31</w:t>
      </w:r>
    </w:p>
    <w:p>
      <w:pPr>
        <w:tabs>
          <w:tab w:val="right" w:leader="dot" w:pos="10386"/>
        </w:tabs>
        <w:spacing w:before="43"/>
        <w:ind w:left="2292" w:right="0" w:firstLine="0"/>
        <w:jc w:val="left"/>
        <w:rPr>
          <w:b/>
          <w:sz w:val="21"/>
        </w:rPr>
      </w:pPr>
      <w:r>
        <w:rPr>
          <w:b/>
          <w:sz w:val="21"/>
        </w:rPr>
        <w:t>图表</w:t>
      </w:r>
      <w:r>
        <w:rPr>
          <w:b/>
          <w:spacing w:val="-54"/>
          <w:sz w:val="21"/>
        </w:rPr>
        <w:t xml:space="preserve"> </w:t>
      </w:r>
      <w:r>
        <w:rPr>
          <w:b/>
          <w:sz w:val="21"/>
        </w:rPr>
        <w:t>51：氧化镨钕历史</w:t>
      </w:r>
      <w:r>
        <w:rPr>
          <w:b/>
          <w:spacing w:val="-3"/>
          <w:sz w:val="21"/>
        </w:rPr>
        <w:t>价</w:t>
      </w:r>
      <w:r>
        <w:rPr>
          <w:b/>
          <w:sz w:val="21"/>
        </w:rPr>
        <w:t>格复盘（万元/吨）</w:t>
        <w:tab/>
        <w:t>32</w:t>
      </w:r>
    </w:p>
    <w:p>
      <w:pPr>
        <w:tabs>
          <w:tab w:val="right" w:leader="dot" w:pos="10386"/>
        </w:tabs>
        <w:spacing w:before="43"/>
        <w:ind w:left="2292" w:right="0" w:firstLine="0"/>
        <w:jc w:val="left"/>
        <w:rPr>
          <w:b/>
          <w:sz w:val="21"/>
        </w:rPr>
      </w:pPr>
      <w:r>
        <w:rPr>
          <w:b/>
          <w:sz w:val="21"/>
        </w:rPr>
        <w:t>图表</w:t>
      </w:r>
      <w:r>
        <w:rPr>
          <w:b/>
          <w:spacing w:val="-54"/>
          <w:sz w:val="21"/>
        </w:rPr>
        <w:t xml:space="preserve"> </w:t>
      </w:r>
      <w:r>
        <w:rPr>
          <w:b/>
          <w:sz w:val="21"/>
        </w:rPr>
        <w:t>52：中国稀土集团</w:t>
      </w:r>
      <w:r>
        <w:rPr>
          <w:b/>
          <w:spacing w:val="-3"/>
          <w:sz w:val="21"/>
        </w:rPr>
        <w:t>现</w:t>
      </w:r>
      <w:r>
        <w:rPr>
          <w:b/>
          <w:sz w:val="21"/>
        </w:rPr>
        <w:t>有稀土矿端概况</w:t>
        <w:tab/>
        <w:t>33</w:t>
      </w:r>
    </w:p>
    <w:p>
      <w:pPr>
        <w:spacing w:after="0"/>
        <w:jc w:val="left"/>
        <w:rPr>
          <w:sz w:val="21"/>
        </w:rPr>
        <w:sectPr>
          <w:headerReference w:type="default" r:id="rId11"/>
          <w:footerReference w:type="default" r:id="rId12"/>
          <w:pgSz w:w="11910" w:h="16840"/>
          <w:pgMar w:top="1360" w:right="520" w:bottom="660" w:left="660" w:header="708" w:footer="708"/>
          <w:pgNumType w:start="4"/>
          <w:cols w:space="708"/>
        </w:sectPr>
      </w:pPr>
    </w:p>
    <w:p>
      <w:pPr>
        <w:pStyle w:val="BodyText"/>
        <w:spacing w:before="4"/>
        <w:rPr>
          <w:b/>
          <w:sz w:val="12"/>
        </w:rPr>
      </w:pPr>
    </w:p>
    <w:p>
      <w:pPr>
        <w:pStyle w:val="Heading1"/>
        <w:numPr>
          <w:ilvl w:val="0"/>
          <w:numId w:val="2"/>
        </w:numPr>
        <w:tabs>
          <w:tab w:val="left" w:pos="3596"/>
          <w:tab w:val="left" w:pos="3597"/>
        </w:tabs>
        <w:spacing w:before="78" w:after="0" w:line="240" w:lineRule="auto"/>
        <w:ind w:left="3596" w:right="0" w:hanging="854"/>
        <w:jc w:val="left"/>
      </w:pPr>
      <w:bookmarkStart w:id="0" w:name="_TOC_250024"/>
      <w:bookmarkEnd w:id="0"/>
      <w:r>
        <w:t>供给：中国主导稀土产业，海外冶炼分离产能发展迅速</w:t>
      </w:r>
    </w:p>
    <w:p>
      <w:pPr>
        <w:pStyle w:val="BodyText"/>
        <w:spacing w:before="1"/>
        <w:rPr>
          <w:b/>
          <w:sz w:val="20"/>
        </w:rPr>
      </w:pPr>
    </w:p>
    <w:p>
      <w:pPr>
        <w:pStyle w:val="ListParagraph"/>
        <w:numPr>
          <w:ilvl w:val="1"/>
          <w:numId w:val="2"/>
        </w:numPr>
        <w:tabs>
          <w:tab w:val="left" w:pos="3596"/>
          <w:tab w:val="left" w:pos="3597"/>
        </w:tabs>
        <w:spacing w:before="0" w:after="0" w:line="240" w:lineRule="auto"/>
        <w:ind w:left="3596" w:right="0" w:hanging="854"/>
        <w:jc w:val="left"/>
        <w:rPr>
          <w:b/>
          <w:sz w:val="21"/>
        </w:rPr>
      </w:pPr>
      <w:bookmarkStart w:id="1" w:name="_TOC_250023"/>
      <w:bookmarkEnd w:id="1"/>
      <w:r>
        <w:rPr>
          <w:b/>
          <w:spacing w:val="-2"/>
          <w:sz w:val="21"/>
        </w:rPr>
        <w:t>稀土行业具有较强的技术和环保壁垒</w:t>
      </w:r>
    </w:p>
    <w:p>
      <w:pPr>
        <w:pStyle w:val="BodyText"/>
        <w:spacing w:before="3"/>
        <w:rPr>
          <w:b/>
          <w:sz w:val="31"/>
        </w:rPr>
      </w:pPr>
    </w:p>
    <w:p>
      <w:pPr>
        <w:pStyle w:val="BodyText"/>
        <w:spacing w:before="1" w:line="348" w:lineRule="auto"/>
        <w:ind w:left="2712" w:right="218" w:firstLine="420"/>
      </w:pPr>
      <w:r>
        <w:rPr>
          <w:spacing w:val="-19"/>
        </w:rPr>
        <w:t>“稀土”一词是十八世纪沿用下来的名称，其外观酷似“土壤”，而称之为稀土。</w:t>
      </w:r>
      <w:r>
        <w:rPr>
          <w:spacing w:val="-13"/>
        </w:rPr>
        <w:t>稀土是化学周期表中镧系元素和钪、钇共十七种金属元素的总称，包含轻稀土和重稀</w:t>
      </w:r>
      <w:r>
        <w:rPr>
          <w:spacing w:val="-9"/>
        </w:rPr>
        <w:t>土。轻稀土包括镧、铈、镨、钕、钷、钐、铕，相对较为丰富，地壳中的含量较高； 重稀土包括钆、铽、镝、钬、铒、铥、镱、镥、钪、钇，相对较为稀有，地壳中的含</w:t>
      </w:r>
      <w:r>
        <w:rPr>
          <w:spacing w:val="-7"/>
        </w:rPr>
        <w:t>量较低，不同的稀土元素所应用的领域不完全一样。</w:t>
      </w:r>
    </w:p>
    <w:p>
      <w:pPr>
        <w:spacing w:before="127"/>
        <w:ind w:left="307" w:right="0" w:firstLine="0"/>
        <w:jc w:val="left"/>
        <w:rPr>
          <w:b/>
          <w:i/>
          <w:sz w:val="22"/>
        </w:rPr>
      </w:pPr>
      <w:r>
        <w:pict>
          <v:group id="_x0000_s1028" style="width:510.6pt;height:21.05pt;margin-top:24.67pt;margin-left:42.24pt;mso-position-horizontal-relative:page;mso-wrap-distance-left:0;mso-wrap-distance-right:0;position:absolute;z-index:-251651072" coordorigin="845,493" coordsize="10212,421">
            <v:rect id="_x0000_s1029" style="width:108;height:392;left:1942;position:absolute;top:512" filled="t" fillcolor="#4774ca" stroked="f">
              <v:fill type="solid"/>
            </v:rect>
            <v:rect id="_x0000_s1030" style="width:108;height:392;left:964;position:absolute;top:512" filled="t" fillcolor="#4774ca" stroked="f">
              <v:fill type="solid"/>
            </v:rect>
            <v:rect id="_x0000_s1031" style="width:870;height:392;left:1072;position:absolute;top:512" filled="t" fillcolor="#4774ca" stroked="f">
              <v:fill type="solid"/>
            </v:rect>
            <v:rect id="_x0000_s1032" style="width:108;height:392;left:2050;position:absolute;top:512" filled="t" fillcolor="#4774ca" stroked="f">
              <v:fill type="solid"/>
            </v:rect>
            <v:rect id="_x0000_s1033" style="width:108;height:392;left:2873;position:absolute;top:512" filled="t" fillcolor="#4774ca" stroked="f">
              <v:fill type="solid"/>
            </v:rect>
            <v:rect id="_x0000_s1034" style="width:716;height:392;left:2158;position:absolute;top:512" filled="t" fillcolor="#4774ca" stroked="f">
              <v:fill type="solid"/>
            </v:rect>
            <v:rect id="_x0000_s1035" style="width:108;height:392;left:2981;position:absolute;top:512" filled="t" fillcolor="#4774ca" stroked="f">
              <v:fill type="solid"/>
            </v:rect>
            <v:rect id="_x0000_s1036" style="width:108;height:392;left:10835;position:absolute;top:512" filled="t" fillcolor="#4774ca" stroked="f">
              <v:fill type="solid"/>
            </v:rect>
            <v:rect id="_x0000_s1037" style="width:7747;height:392;left:3089;position:absolute;top:512" filled="t" fillcolor="#4774ca" stroked="f">
              <v:fill type="solid"/>
            </v:rect>
            <v:line id="_x0000_s1038" style="position:absolute" from="965,909" to="2050,909" stroked="t" strokecolor="black" strokeweight="0.48pt">
              <v:stroke dashstyle="solid"/>
            </v:line>
            <v:rect id="_x0000_s1039" style="width:10;height:10;left:2050;position:absolute;top:904" filled="t" fillcolor="black" stroked="f">
              <v:fill type="solid"/>
            </v:rect>
            <v:line id="_x0000_s1040" style="position:absolute" from="2060,909" to="2984,909" stroked="t" strokecolor="black" strokeweight="0.48pt">
              <v:stroke dashstyle="solid"/>
            </v:line>
            <v:rect id="_x0000_s1041" style="width:10;height:10;left:2983;position:absolute;top:904" filled="t" fillcolor="black" stroked="f">
              <v:fill type="solid"/>
            </v:rect>
            <v:line id="_x0000_s1042" style="position:absolute" from="2993,909" to="10946,909" stroked="t" strokecolor="black" strokeweight="0.48pt">
              <v:stroke dashstyle="solid"/>
            </v:line>
            <v:line id="_x0000_s1043" style="position:absolute" from="857,508" to="11054,508" stroked="t" strokecolor="#013e96" strokeweight="0.48pt">
              <v:stroke dashstyle="solid"/>
            </v:line>
            <v:line id="_x0000_s1044" style="position:absolute" from="845,498" to="11056,498" stroked="t" strokecolor="#013e96" strokeweight="0.48pt">
              <v:stroke dashstyle="solid"/>
            </v:line>
            <v:shape id="_x0000_s1045" type="#_x0000_t202" style="width:9979;height:402;left:964;position:absolute;top:503" filled="f" stroked="f">
              <v:textbox inset="0,0,0,0">
                <w:txbxContent>
                  <w:p>
                    <w:pPr>
                      <w:tabs>
                        <w:tab w:val="left" w:pos="1231"/>
                        <w:tab w:val="left" w:pos="5677"/>
                      </w:tabs>
                      <w:spacing w:before="102"/>
                      <w:ind w:left="382" w:right="0" w:firstLine="0"/>
                      <w:jc w:val="left"/>
                      <w:rPr>
                        <w:sz w:val="16"/>
                      </w:rPr>
                    </w:pPr>
                    <w:r>
                      <w:rPr>
                        <w:color w:val="FFFFFF"/>
                        <w:sz w:val="16"/>
                      </w:rPr>
                      <w:t>类型</w:t>
                      <w:tab/>
                      <w:t>稀土元素</w:t>
                      <w:tab/>
                      <w:t>主要用途</w:t>
                    </w:r>
                  </w:p>
                </w:txbxContent>
              </v:textbox>
            </v:shape>
            <w10:wrap type="topAndBottom"/>
          </v:group>
        </w:pict>
      </w:r>
      <w:r>
        <w:rPr>
          <w:b/>
          <w:i/>
          <w:sz w:val="22"/>
        </w:rPr>
        <w:t xml:space="preserve">图表 </w:t>
      </w:r>
      <w:r>
        <w:rPr>
          <w:rFonts w:ascii="Arial" w:eastAsia="Arial"/>
          <w:b/>
          <w:i/>
          <w:sz w:val="21"/>
        </w:rPr>
        <w:t>1</w:t>
      </w:r>
      <w:r>
        <w:rPr>
          <w:b/>
          <w:i/>
          <w:sz w:val="22"/>
        </w:rPr>
        <w:t>：</w:t>
      </w:r>
      <w:r>
        <w:rPr>
          <w:rFonts w:ascii="Arial" w:eastAsia="Arial"/>
          <w:b/>
          <w:i/>
          <w:sz w:val="21"/>
        </w:rPr>
        <w:t xml:space="preserve">17 </w:t>
      </w:r>
      <w:r>
        <w:rPr>
          <w:b/>
          <w:i/>
          <w:sz w:val="22"/>
        </w:rPr>
        <w:t>种稀土元素种类以及主要用途</w:t>
      </w:r>
    </w:p>
    <w:p>
      <w:pPr>
        <w:tabs>
          <w:tab w:val="left" w:pos="2551"/>
        </w:tabs>
        <w:spacing w:before="32" w:after="58"/>
        <w:ind w:left="1555" w:right="0" w:firstLine="0"/>
        <w:jc w:val="left"/>
        <w:rPr>
          <w:sz w:val="15"/>
        </w:rPr>
      </w:pPr>
      <w:r>
        <w:rPr>
          <w:sz w:val="15"/>
        </w:rPr>
        <w:t>钪（Sc）</w:t>
        <w:tab/>
        <w:t>制造</w:t>
      </w:r>
      <w:r>
        <w:rPr>
          <w:spacing w:val="-3"/>
          <w:sz w:val="15"/>
        </w:rPr>
        <w:t>合</w:t>
      </w:r>
      <w:r>
        <w:rPr>
          <w:sz w:val="15"/>
        </w:rPr>
        <w:t>金</w:t>
      </w:r>
      <w:r>
        <w:rPr>
          <w:spacing w:val="-3"/>
          <w:sz w:val="15"/>
        </w:rPr>
        <w:t>、</w:t>
      </w:r>
      <w:r>
        <w:rPr>
          <w:sz w:val="15"/>
        </w:rPr>
        <w:t>半</w:t>
      </w:r>
      <w:r>
        <w:rPr>
          <w:spacing w:val="-3"/>
          <w:sz w:val="15"/>
        </w:rPr>
        <w:t>导</w:t>
      </w:r>
      <w:r>
        <w:rPr>
          <w:sz w:val="15"/>
        </w:rPr>
        <w:t>体</w:t>
      </w:r>
      <w:r>
        <w:rPr>
          <w:spacing w:val="-3"/>
          <w:sz w:val="15"/>
        </w:rPr>
        <w:t>器</w:t>
      </w:r>
      <w:r>
        <w:rPr>
          <w:sz w:val="15"/>
        </w:rPr>
        <w:t>件</w:t>
      </w:r>
      <w:r>
        <w:rPr>
          <w:spacing w:val="-3"/>
          <w:sz w:val="15"/>
        </w:rPr>
        <w:t>、</w:t>
      </w:r>
      <w:r>
        <w:rPr>
          <w:sz w:val="15"/>
        </w:rPr>
        <w:t>计</w:t>
      </w:r>
      <w:r>
        <w:rPr>
          <w:spacing w:val="-3"/>
          <w:sz w:val="15"/>
        </w:rPr>
        <w:t>算</w:t>
      </w:r>
      <w:r>
        <w:rPr>
          <w:sz w:val="15"/>
        </w:rPr>
        <w:t>机</w:t>
      </w:r>
      <w:r>
        <w:rPr>
          <w:spacing w:val="-3"/>
          <w:sz w:val="15"/>
        </w:rPr>
        <w:t>磁芯</w:t>
      </w:r>
      <w:r>
        <w:rPr>
          <w:sz w:val="15"/>
        </w:rPr>
        <w:t>、酒</w:t>
      </w:r>
      <w:r>
        <w:rPr>
          <w:spacing w:val="-3"/>
          <w:sz w:val="15"/>
        </w:rPr>
        <w:t>精</w:t>
      </w:r>
      <w:r>
        <w:rPr>
          <w:sz w:val="15"/>
        </w:rPr>
        <w:t>脱</w:t>
      </w:r>
      <w:r>
        <w:rPr>
          <w:spacing w:val="-3"/>
          <w:sz w:val="15"/>
        </w:rPr>
        <w:t>氢</w:t>
      </w:r>
      <w:r>
        <w:rPr>
          <w:sz w:val="15"/>
        </w:rPr>
        <w:t>及</w:t>
      </w:r>
      <w:r>
        <w:rPr>
          <w:spacing w:val="-3"/>
          <w:sz w:val="15"/>
        </w:rPr>
        <w:t>脱</w:t>
      </w:r>
      <w:r>
        <w:rPr>
          <w:sz w:val="15"/>
        </w:rPr>
        <w:t>水</w:t>
      </w:r>
      <w:r>
        <w:rPr>
          <w:spacing w:val="-3"/>
          <w:sz w:val="15"/>
        </w:rPr>
        <w:t>剂</w:t>
      </w:r>
      <w:r>
        <w:rPr>
          <w:sz w:val="15"/>
        </w:rPr>
        <w:t>、</w:t>
      </w:r>
      <w:r>
        <w:rPr>
          <w:spacing w:val="-3"/>
          <w:sz w:val="15"/>
        </w:rPr>
        <w:t>高</w:t>
      </w:r>
      <w:r>
        <w:rPr>
          <w:sz w:val="15"/>
        </w:rPr>
        <w:t>效</w:t>
      </w:r>
      <w:r>
        <w:rPr>
          <w:spacing w:val="-3"/>
          <w:sz w:val="15"/>
        </w:rPr>
        <w:t>催</w:t>
      </w:r>
      <w:r>
        <w:rPr>
          <w:sz w:val="15"/>
        </w:rPr>
        <w:t>化</w:t>
      </w:r>
      <w:r>
        <w:rPr>
          <w:spacing w:val="-3"/>
          <w:sz w:val="15"/>
        </w:rPr>
        <w:t>剂、</w:t>
      </w:r>
      <w:r>
        <w:rPr>
          <w:sz w:val="15"/>
        </w:rPr>
        <w:t>特种</w:t>
      </w:r>
      <w:r>
        <w:rPr>
          <w:spacing w:val="-3"/>
          <w:sz w:val="15"/>
        </w:rPr>
        <w:t>玻</w:t>
      </w:r>
      <w:r>
        <w:rPr>
          <w:sz w:val="15"/>
        </w:rPr>
        <w:t>璃</w:t>
      </w:r>
      <w:r>
        <w:rPr>
          <w:spacing w:val="-3"/>
          <w:sz w:val="15"/>
        </w:rPr>
        <w:t>、</w:t>
      </w:r>
      <w:r>
        <w:rPr>
          <w:sz w:val="15"/>
        </w:rPr>
        <w:t>钪</w:t>
      </w:r>
      <w:r>
        <w:rPr>
          <w:spacing w:val="-3"/>
          <w:sz w:val="15"/>
        </w:rPr>
        <w:t>钠</w:t>
      </w:r>
      <w:r>
        <w:rPr>
          <w:sz w:val="15"/>
        </w:rPr>
        <w:t>灯</w:t>
      </w:r>
      <w:r>
        <w:rPr>
          <w:spacing w:val="-3"/>
          <w:sz w:val="15"/>
        </w:rPr>
        <w:t>、</w:t>
      </w:r>
      <w:r>
        <w:rPr>
          <w:sz w:val="15"/>
        </w:rPr>
        <w:t>示</w:t>
      </w:r>
      <w:r>
        <w:rPr>
          <w:spacing w:val="-3"/>
          <w:sz w:val="15"/>
        </w:rPr>
        <w:t>踪</w:t>
      </w:r>
      <w:r>
        <w:rPr>
          <w:sz w:val="15"/>
        </w:rPr>
        <w:t>剂</w:t>
      </w:r>
      <w:r>
        <w:rPr>
          <w:spacing w:val="-3"/>
          <w:sz w:val="15"/>
        </w:rPr>
        <w:t>、</w:t>
      </w:r>
      <w:r>
        <w:rPr>
          <w:sz w:val="15"/>
        </w:rPr>
        <w:t>癌</w:t>
      </w:r>
      <w:r>
        <w:rPr>
          <w:spacing w:val="-3"/>
          <w:sz w:val="15"/>
        </w:rPr>
        <w:t>症治</w:t>
      </w:r>
      <w:r>
        <w:rPr>
          <w:sz w:val="15"/>
        </w:rPr>
        <w:t>疗。</w:t>
      </w:r>
    </w:p>
    <w:p>
      <w:pPr>
        <w:pStyle w:val="BodyText"/>
        <w:spacing w:line="20" w:lineRule="exact"/>
        <w:ind w:left="1385"/>
        <w:rPr>
          <w:sz w:val="2"/>
        </w:rPr>
      </w:pPr>
      <w:r>
        <w:rPr>
          <w:sz w:val="2"/>
        </w:rPr>
        <w:pict>
          <v:group id="_x0000_i1046" style="width:444.8pt;height:0.5pt;mso-position-horizontal-relative:char;mso-position-vertical-relative:line" coordorigin="0,0" coordsize="8896,10">
            <v:line id="_x0000_s1047" style="position:absolute" from="0,5" to="934,5" stroked="t" strokecolor="black" strokeweight="0.48pt">
              <v:stroke dashstyle="solid"/>
            </v:line>
            <v:rect id="_x0000_s1048" style="width:10;height:10;left:933;position:absolute" filled="t" fillcolor="black" stroked="f">
              <v:fill type="solid"/>
            </v:rect>
            <v:line id="_x0000_s1049" style="position:absolute" from="943,5" to="8896,5" stroked="t" strokecolor="black" strokeweight="0.48pt">
              <v:stroke dashstyle="solid"/>
            </v:line>
            <w10:wrap type="none"/>
          </v:group>
        </w:pict>
      </w:r>
    </w:p>
    <w:p>
      <w:pPr>
        <w:tabs>
          <w:tab w:val="left" w:pos="2551"/>
        </w:tabs>
        <w:spacing w:before="51"/>
        <w:ind w:left="1594" w:right="0" w:firstLine="0"/>
        <w:jc w:val="left"/>
        <w:rPr>
          <w:sz w:val="15"/>
        </w:rPr>
      </w:pPr>
      <w:r>
        <w:pict>
          <v:group id="_x0000_s1050" style="width:444.8pt;height:0.5pt;margin-top:15.09pt;margin-left:102.5pt;mso-position-horizontal-relative:page;mso-wrap-distance-left:0;mso-wrap-distance-right:0;position:absolute;z-index:-251650048" coordorigin="2050,302" coordsize="8896,10">
            <v:line id="_x0000_s1051" style="position:absolute" from="2050,307" to="2984,307" stroked="t" strokecolor="black" strokeweight="0.48pt">
              <v:stroke dashstyle="solid"/>
            </v:line>
            <v:rect id="_x0000_s1052" style="width:10;height:10;left:2983;position:absolute;top:301" filled="t" fillcolor="black" stroked="f">
              <v:fill type="solid"/>
            </v:rect>
            <v:line id="_x0000_s1053" style="position:absolute" from="2993,307" to="10946,307" stroked="t" strokecolor="black" strokeweight="0.48pt">
              <v:stroke dashstyle="solid"/>
            </v:line>
            <w10:wrap type="topAndBottom"/>
          </v:group>
        </w:pict>
      </w:r>
      <w:r>
        <w:rPr>
          <w:sz w:val="15"/>
        </w:rPr>
        <w:t>钇（Y）</w:t>
        <w:tab/>
        <w:t>钢铁</w:t>
      </w:r>
      <w:r>
        <w:rPr>
          <w:spacing w:val="-3"/>
          <w:sz w:val="15"/>
        </w:rPr>
        <w:t>及</w:t>
      </w:r>
      <w:r>
        <w:rPr>
          <w:sz w:val="15"/>
        </w:rPr>
        <w:t>有</w:t>
      </w:r>
      <w:r>
        <w:rPr>
          <w:spacing w:val="-3"/>
          <w:sz w:val="15"/>
        </w:rPr>
        <w:t>色</w:t>
      </w:r>
      <w:r>
        <w:rPr>
          <w:sz w:val="15"/>
        </w:rPr>
        <w:t>合</w:t>
      </w:r>
      <w:r>
        <w:rPr>
          <w:spacing w:val="-3"/>
          <w:sz w:val="15"/>
        </w:rPr>
        <w:t>金</w:t>
      </w:r>
      <w:r>
        <w:rPr>
          <w:sz w:val="15"/>
        </w:rPr>
        <w:t>添</w:t>
      </w:r>
      <w:r>
        <w:rPr>
          <w:spacing w:val="-3"/>
          <w:sz w:val="15"/>
        </w:rPr>
        <w:t>加</w:t>
      </w:r>
      <w:r>
        <w:rPr>
          <w:sz w:val="15"/>
        </w:rPr>
        <w:t>剂</w:t>
      </w:r>
      <w:r>
        <w:rPr>
          <w:spacing w:val="-3"/>
          <w:sz w:val="15"/>
        </w:rPr>
        <w:t>、</w:t>
      </w:r>
      <w:r>
        <w:rPr>
          <w:sz w:val="15"/>
        </w:rPr>
        <w:t>飞</w:t>
      </w:r>
      <w:r>
        <w:rPr>
          <w:spacing w:val="-3"/>
          <w:sz w:val="15"/>
        </w:rPr>
        <w:t>机</w:t>
      </w:r>
      <w:r>
        <w:rPr>
          <w:sz w:val="15"/>
        </w:rPr>
        <w:t>受</w:t>
      </w:r>
      <w:r>
        <w:rPr>
          <w:spacing w:val="-3"/>
          <w:sz w:val="15"/>
        </w:rPr>
        <w:t>力构</w:t>
      </w:r>
      <w:r>
        <w:rPr>
          <w:sz w:val="15"/>
        </w:rPr>
        <w:t>件、</w:t>
      </w:r>
      <w:r>
        <w:rPr>
          <w:spacing w:val="-3"/>
          <w:sz w:val="15"/>
        </w:rPr>
        <w:t>气</w:t>
      </w:r>
      <w:r>
        <w:rPr>
          <w:sz w:val="15"/>
        </w:rPr>
        <w:t>敏</w:t>
      </w:r>
      <w:r>
        <w:rPr>
          <w:spacing w:val="-3"/>
          <w:sz w:val="15"/>
        </w:rPr>
        <w:t>元</w:t>
      </w:r>
      <w:r>
        <w:rPr>
          <w:sz w:val="15"/>
        </w:rPr>
        <w:t>件</w:t>
      </w:r>
      <w:r>
        <w:rPr>
          <w:spacing w:val="-3"/>
          <w:sz w:val="15"/>
        </w:rPr>
        <w:t>、</w:t>
      </w:r>
      <w:r>
        <w:rPr>
          <w:sz w:val="15"/>
        </w:rPr>
        <w:t>耐</w:t>
      </w:r>
      <w:r>
        <w:rPr>
          <w:spacing w:val="-3"/>
          <w:sz w:val="15"/>
        </w:rPr>
        <w:t>高</w:t>
      </w:r>
      <w:r>
        <w:rPr>
          <w:sz w:val="15"/>
        </w:rPr>
        <w:t>温</w:t>
      </w:r>
      <w:r>
        <w:rPr>
          <w:spacing w:val="-3"/>
          <w:sz w:val="15"/>
        </w:rPr>
        <w:t>喷</w:t>
      </w:r>
      <w:r>
        <w:rPr>
          <w:sz w:val="15"/>
        </w:rPr>
        <w:t>涂</w:t>
      </w:r>
      <w:r>
        <w:rPr>
          <w:spacing w:val="-3"/>
          <w:sz w:val="15"/>
        </w:rPr>
        <w:t>材</w:t>
      </w:r>
      <w:r>
        <w:rPr>
          <w:sz w:val="15"/>
        </w:rPr>
        <w:t>料</w:t>
      </w:r>
      <w:r>
        <w:rPr>
          <w:spacing w:val="-3"/>
          <w:sz w:val="15"/>
        </w:rPr>
        <w:t>、原</w:t>
      </w:r>
      <w:r>
        <w:rPr>
          <w:sz w:val="15"/>
        </w:rPr>
        <w:t>子能</w:t>
      </w:r>
      <w:r>
        <w:rPr>
          <w:spacing w:val="-3"/>
          <w:sz w:val="15"/>
        </w:rPr>
        <w:t>反</w:t>
      </w:r>
      <w:r>
        <w:rPr>
          <w:sz w:val="15"/>
        </w:rPr>
        <w:t>应</w:t>
      </w:r>
      <w:r>
        <w:rPr>
          <w:spacing w:val="-3"/>
          <w:sz w:val="15"/>
        </w:rPr>
        <w:t>堆</w:t>
      </w:r>
      <w:r>
        <w:rPr>
          <w:sz w:val="15"/>
        </w:rPr>
        <w:t>燃</w:t>
      </w:r>
      <w:r>
        <w:rPr>
          <w:spacing w:val="-3"/>
          <w:sz w:val="15"/>
        </w:rPr>
        <w:t>料</w:t>
      </w:r>
      <w:r>
        <w:rPr>
          <w:sz w:val="15"/>
        </w:rPr>
        <w:t>稀</w:t>
      </w:r>
      <w:r>
        <w:rPr>
          <w:spacing w:val="-3"/>
          <w:sz w:val="15"/>
        </w:rPr>
        <w:t>释</w:t>
      </w:r>
      <w:r>
        <w:rPr>
          <w:sz w:val="15"/>
        </w:rPr>
        <w:t>剂</w:t>
      </w:r>
      <w:r>
        <w:rPr>
          <w:spacing w:val="-3"/>
          <w:sz w:val="15"/>
        </w:rPr>
        <w:t>、</w:t>
      </w:r>
      <w:r>
        <w:rPr>
          <w:sz w:val="15"/>
        </w:rPr>
        <w:t>永</w:t>
      </w:r>
      <w:r>
        <w:rPr>
          <w:spacing w:val="-3"/>
          <w:sz w:val="15"/>
        </w:rPr>
        <w:t>磁</w:t>
      </w:r>
      <w:r>
        <w:rPr>
          <w:sz w:val="15"/>
        </w:rPr>
        <w:t>材</w:t>
      </w:r>
      <w:r>
        <w:rPr>
          <w:spacing w:val="-3"/>
          <w:sz w:val="15"/>
        </w:rPr>
        <w:t>料添</w:t>
      </w:r>
      <w:r>
        <w:rPr>
          <w:sz w:val="15"/>
        </w:rPr>
        <w:t>加剂</w:t>
      </w:r>
    </w:p>
    <w:p>
      <w:pPr>
        <w:tabs>
          <w:tab w:val="left" w:pos="2625"/>
        </w:tabs>
        <w:spacing w:before="32" w:after="58"/>
        <w:ind w:left="1555" w:right="0" w:firstLine="0"/>
        <w:jc w:val="left"/>
        <w:rPr>
          <w:sz w:val="15"/>
        </w:rPr>
      </w:pPr>
      <w:r>
        <w:rPr>
          <w:sz w:val="15"/>
        </w:rPr>
        <w:t>镧（La）</w:t>
        <w:tab/>
        <w:t>压电</w:t>
      </w:r>
      <w:r>
        <w:rPr>
          <w:spacing w:val="-3"/>
          <w:sz w:val="15"/>
        </w:rPr>
        <w:t>材</w:t>
      </w:r>
      <w:r>
        <w:rPr>
          <w:sz w:val="15"/>
        </w:rPr>
        <w:t>料</w:t>
      </w:r>
      <w:r>
        <w:rPr>
          <w:spacing w:val="-3"/>
          <w:sz w:val="15"/>
        </w:rPr>
        <w:t>、</w:t>
      </w:r>
      <w:r>
        <w:rPr>
          <w:sz w:val="15"/>
        </w:rPr>
        <w:t>热</w:t>
      </w:r>
      <w:r>
        <w:rPr>
          <w:spacing w:val="-3"/>
          <w:sz w:val="15"/>
        </w:rPr>
        <w:t>电</w:t>
      </w:r>
      <w:r>
        <w:rPr>
          <w:sz w:val="15"/>
        </w:rPr>
        <w:t>材</w:t>
      </w:r>
      <w:r>
        <w:rPr>
          <w:spacing w:val="-3"/>
          <w:sz w:val="15"/>
        </w:rPr>
        <w:t>料</w:t>
      </w:r>
      <w:r>
        <w:rPr>
          <w:sz w:val="15"/>
        </w:rPr>
        <w:t>、</w:t>
      </w:r>
      <w:r>
        <w:rPr>
          <w:spacing w:val="-3"/>
          <w:sz w:val="15"/>
        </w:rPr>
        <w:t>磁</w:t>
      </w:r>
      <w:r>
        <w:rPr>
          <w:sz w:val="15"/>
        </w:rPr>
        <w:t>阻</w:t>
      </w:r>
      <w:r>
        <w:rPr>
          <w:spacing w:val="-3"/>
          <w:sz w:val="15"/>
        </w:rPr>
        <w:t>材</w:t>
      </w:r>
      <w:r>
        <w:rPr>
          <w:sz w:val="15"/>
        </w:rPr>
        <w:t>料</w:t>
      </w:r>
      <w:r>
        <w:rPr>
          <w:spacing w:val="-3"/>
          <w:sz w:val="15"/>
        </w:rPr>
        <w:t>、发</w:t>
      </w:r>
      <w:r>
        <w:rPr>
          <w:sz w:val="15"/>
        </w:rPr>
        <w:t>光材料(兰粉)</w:t>
      </w:r>
      <w:r>
        <w:rPr>
          <w:spacing w:val="-3"/>
          <w:sz w:val="15"/>
        </w:rPr>
        <w:t>、</w:t>
      </w:r>
      <w:r>
        <w:rPr>
          <w:sz w:val="15"/>
        </w:rPr>
        <w:t>贮</w:t>
      </w:r>
      <w:r>
        <w:rPr>
          <w:spacing w:val="-3"/>
          <w:sz w:val="15"/>
        </w:rPr>
        <w:t>氢</w:t>
      </w:r>
      <w:r>
        <w:rPr>
          <w:sz w:val="15"/>
        </w:rPr>
        <w:t>材</w:t>
      </w:r>
      <w:r>
        <w:rPr>
          <w:spacing w:val="-3"/>
          <w:sz w:val="15"/>
        </w:rPr>
        <w:t>料</w:t>
      </w:r>
      <w:r>
        <w:rPr>
          <w:sz w:val="15"/>
        </w:rPr>
        <w:t>、</w:t>
      </w:r>
      <w:r>
        <w:rPr>
          <w:spacing w:val="-3"/>
          <w:sz w:val="15"/>
        </w:rPr>
        <w:t>光</w:t>
      </w:r>
      <w:r>
        <w:rPr>
          <w:sz w:val="15"/>
        </w:rPr>
        <w:t>学</w:t>
      </w:r>
      <w:r>
        <w:rPr>
          <w:spacing w:val="-3"/>
          <w:sz w:val="15"/>
        </w:rPr>
        <w:t>玻璃</w:t>
      </w:r>
      <w:r>
        <w:rPr>
          <w:sz w:val="15"/>
        </w:rPr>
        <w:t>、激</w:t>
      </w:r>
      <w:r>
        <w:rPr>
          <w:spacing w:val="-3"/>
          <w:sz w:val="15"/>
        </w:rPr>
        <w:t>光</w:t>
      </w:r>
      <w:r>
        <w:rPr>
          <w:sz w:val="15"/>
        </w:rPr>
        <w:t>材</w:t>
      </w:r>
      <w:r>
        <w:rPr>
          <w:spacing w:val="-3"/>
          <w:sz w:val="15"/>
        </w:rPr>
        <w:t>料</w:t>
      </w:r>
      <w:r>
        <w:rPr>
          <w:sz w:val="15"/>
        </w:rPr>
        <w:t>、</w:t>
      </w:r>
      <w:r>
        <w:rPr>
          <w:spacing w:val="-3"/>
          <w:sz w:val="15"/>
        </w:rPr>
        <w:t>制</w:t>
      </w:r>
      <w:r>
        <w:rPr>
          <w:sz w:val="15"/>
        </w:rPr>
        <w:t>备</w:t>
      </w:r>
      <w:r>
        <w:rPr>
          <w:spacing w:val="-3"/>
          <w:sz w:val="15"/>
        </w:rPr>
        <w:t>有</w:t>
      </w:r>
      <w:r>
        <w:rPr>
          <w:sz w:val="15"/>
        </w:rPr>
        <w:t>机</w:t>
      </w:r>
      <w:r>
        <w:rPr>
          <w:spacing w:val="-3"/>
          <w:sz w:val="15"/>
        </w:rPr>
        <w:t>化</w:t>
      </w:r>
      <w:r>
        <w:rPr>
          <w:sz w:val="15"/>
        </w:rPr>
        <w:t>工</w:t>
      </w:r>
      <w:r>
        <w:rPr>
          <w:spacing w:val="-3"/>
          <w:sz w:val="15"/>
        </w:rPr>
        <w:t>产</w:t>
      </w:r>
      <w:r>
        <w:rPr>
          <w:sz w:val="15"/>
        </w:rPr>
        <w:t>品</w:t>
      </w:r>
      <w:r>
        <w:rPr>
          <w:spacing w:val="-3"/>
          <w:sz w:val="15"/>
        </w:rPr>
        <w:t>催化</w:t>
      </w:r>
      <w:r>
        <w:rPr>
          <w:sz w:val="15"/>
        </w:rPr>
        <w:t>剂</w:t>
      </w:r>
    </w:p>
    <w:p>
      <w:pPr>
        <w:pStyle w:val="BodyText"/>
        <w:spacing w:line="20" w:lineRule="exact"/>
        <w:ind w:left="1385"/>
        <w:rPr>
          <w:sz w:val="2"/>
        </w:rPr>
      </w:pPr>
      <w:r>
        <w:rPr>
          <w:sz w:val="2"/>
        </w:rPr>
        <w:pict>
          <v:group id="_x0000_i1054" style="width:444.8pt;height:0.5pt;mso-position-horizontal-relative:char;mso-position-vertical-relative:line" coordorigin="0,0" coordsize="8896,10">
            <v:line id="_x0000_s1055" style="position:absolute" from="0,5" to="934,5" stroked="t" strokecolor="black" strokeweight="0.48pt">
              <v:stroke dashstyle="solid"/>
            </v:line>
            <v:rect id="_x0000_s1056" style="width:10;height:10;left:933;position:absolute" filled="t" fillcolor="black" stroked="f">
              <v:fill type="solid"/>
            </v:rect>
            <v:line id="_x0000_s1057" style="position:absolute" from="943,5" to="8896,5" stroked="t" strokecolor="black" strokeweight="0.48pt">
              <v:stroke dashstyle="solid"/>
            </v:line>
            <w10:wrap type="none"/>
          </v:group>
        </w:pict>
      </w:r>
    </w:p>
    <w:p>
      <w:pPr>
        <w:tabs>
          <w:tab w:val="left" w:pos="2925"/>
        </w:tabs>
        <w:spacing w:before="51"/>
        <w:ind w:left="1555" w:right="0" w:firstLine="0"/>
        <w:jc w:val="left"/>
        <w:rPr>
          <w:sz w:val="15"/>
        </w:rPr>
      </w:pPr>
      <w:r>
        <w:pict>
          <v:group id="_x0000_s1058" style="width:444.8pt;height:0.5pt;margin-top:15.09pt;margin-left:102.5pt;mso-position-horizontal-relative:page;mso-wrap-distance-left:0;mso-wrap-distance-right:0;position:absolute;z-index:-251649024" coordorigin="2050,302" coordsize="8896,10">
            <v:line id="_x0000_s1059" style="position:absolute" from="2050,307" to="2984,307" stroked="t" strokecolor="black" strokeweight="0.48pt">
              <v:stroke dashstyle="solid"/>
            </v:line>
            <v:rect id="_x0000_s1060" style="width:10;height:10;left:2983;position:absolute;top:301" filled="t" fillcolor="black" stroked="f">
              <v:fill type="solid"/>
            </v:rect>
            <v:line id="_x0000_s1061" style="position:absolute" from="2993,307" to="10946,307" stroked="t" strokecolor="black" strokeweight="0.48pt">
              <v:stroke dashstyle="solid"/>
            </v:line>
            <w10:wrap type="topAndBottom"/>
          </v:group>
        </w:pict>
      </w:r>
      <w:r>
        <w:rPr>
          <w:sz w:val="15"/>
        </w:rPr>
        <w:t>铈（Ce）</w:t>
        <w:tab/>
        <w:t>玻璃</w:t>
      </w:r>
      <w:r>
        <w:rPr>
          <w:spacing w:val="-3"/>
          <w:sz w:val="15"/>
        </w:rPr>
        <w:t>添</w:t>
      </w:r>
      <w:r>
        <w:rPr>
          <w:sz w:val="15"/>
        </w:rPr>
        <w:t>加</w:t>
      </w:r>
      <w:r>
        <w:rPr>
          <w:spacing w:val="-3"/>
          <w:sz w:val="15"/>
        </w:rPr>
        <w:t>剂</w:t>
      </w:r>
      <w:r>
        <w:rPr>
          <w:sz w:val="15"/>
        </w:rPr>
        <w:t>、</w:t>
      </w:r>
      <w:r>
        <w:rPr>
          <w:spacing w:val="-3"/>
          <w:sz w:val="15"/>
        </w:rPr>
        <w:t>汽</w:t>
      </w:r>
      <w:r>
        <w:rPr>
          <w:sz w:val="15"/>
        </w:rPr>
        <w:t>车</w:t>
      </w:r>
      <w:r>
        <w:rPr>
          <w:spacing w:val="-3"/>
          <w:sz w:val="15"/>
        </w:rPr>
        <w:t>尾</w:t>
      </w:r>
      <w:r>
        <w:rPr>
          <w:sz w:val="15"/>
        </w:rPr>
        <w:t>气</w:t>
      </w:r>
      <w:r>
        <w:rPr>
          <w:spacing w:val="-3"/>
          <w:sz w:val="15"/>
        </w:rPr>
        <w:t>净</w:t>
      </w:r>
      <w:r>
        <w:rPr>
          <w:sz w:val="15"/>
        </w:rPr>
        <w:t>化</w:t>
      </w:r>
      <w:r>
        <w:rPr>
          <w:spacing w:val="-3"/>
          <w:sz w:val="15"/>
        </w:rPr>
        <w:t>催</w:t>
      </w:r>
      <w:r>
        <w:rPr>
          <w:sz w:val="15"/>
        </w:rPr>
        <w:t>化</w:t>
      </w:r>
      <w:r>
        <w:rPr>
          <w:spacing w:val="-3"/>
          <w:sz w:val="15"/>
        </w:rPr>
        <w:t>剂、</w:t>
      </w:r>
      <w:r>
        <w:rPr>
          <w:sz w:val="15"/>
        </w:rPr>
        <w:t>塑料</w:t>
      </w:r>
      <w:r>
        <w:rPr>
          <w:spacing w:val="-3"/>
          <w:sz w:val="15"/>
        </w:rPr>
        <w:t>着</w:t>
      </w:r>
      <w:r>
        <w:rPr>
          <w:sz w:val="15"/>
        </w:rPr>
        <w:t>色</w:t>
      </w:r>
      <w:r>
        <w:rPr>
          <w:spacing w:val="-3"/>
          <w:sz w:val="15"/>
        </w:rPr>
        <w:t>、</w:t>
      </w:r>
      <w:r>
        <w:rPr>
          <w:sz w:val="15"/>
        </w:rPr>
        <w:t>抛</w:t>
      </w:r>
      <w:r>
        <w:rPr>
          <w:spacing w:val="-3"/>
          <w:sz w:val="15"/>
        </w:rPr>
        <w:t>光</w:t>
      </w:r>
      <w:r>
        <w:rPr>
          <w:sz w:val="15"/>
        </w:rPr>
        <w:t>粉</w:t>
      </w:r>
      <w:r>
        <w:rPr>
          <w:spacing w:val="-3"/>
          <w:sz w:val="15"/>
        </w:rPr>
        <w:t>、</w:t>
      </w:r>
      <w:r>
        <w:rPr>
          <w:sz w:val="15"/>
        </w:rPr>
        <w:t>储</w:t>
      </w:r>
      <w:r>
        <w:rPr>
          <w:spacing w:val="-3"/>
          <w:sz w:val="15"/>
        </w:rPr>
        <w:t>氢</w:t>
      </w:r>
      <w:r>
        <w:rPr>
          <w:sz w:val="15"/>
        </w:rPr>
        <w:t>材</w:t>
      </w:r>
      <w:r>
        <w:rPr>
          <w:spacing w:val="-3"/>
          <w:sz w:val="15"/>
        </w:rPr>
        <w:t>料</w:t>
      </w:r>
      <w:r>
        <w:rPr>
          <w:sz w:val="15"/>
        </w:rPr>
        <w:t>、</w:t>
      </w:r>
      <w:r>
        <w:rPr>
          <w:spacing w:val="-3"/>
          <w:sz w:val="15"/>
        </w:rPr>
        <w:t>铈钨</w:t>
      </w:r>
      <w:r>
        <w:rPr>
          <w:sz w:val="15"/>
        </w:rPr>
        <w:t>电极</w:t>
      </w:r>
      <w:r>
        <w:rPr>
          <w:spacing w:val="-3"/>
          <w:sz w:val="15"/>
        </w:rPr>
        <w:t>、</w:t>
      </w:r>
      <w:r>
        <w:rPr>
          <w:sz w:val="15"/>
        </w:rPr>
        <w:t>陶</w:t>
      </w:r>
      <w:r>
        <w:rPr>
          <w:spacing w:val="-3"/>
          <w:sz w:val="15"/>
        </w:rPr>
        <w:t>瓷</w:t>
      </w:r>
      <w:r>
        <w:rPr>
          <w:sz w:val="15"/>
        </w:rPr>
        <w:t>电</w:t>
      </w:r>
      <w:r>
        <w:rPr>
          <w:spacing w:val="-3"/>
          <w:sz w:val="15"/>
        </w:rPr>
        <w:t>容</w:t>
      </w:r>
      <w:r>
        <w:rPr>
          <w:sz w:val="15"/>
        </w:rPr>
        <w:t>器</w:t>
      </w:r>
      <w:r>
        <w:rPr>
          <w:spacing w:val="-3"/>
          <w:sz w:val="15"/>
        </w:rPr>
        <w:t>、</w:t>
      </w:r>
      <w:r>
        <w:rPr>
          <w:sz w:val="15"/>
        </w:rPr>
        <w:t>永</w:t>
      </w:r>
      <w:r>
        <w:rPr>
          <w:spacing w:val="-3"/>
          <w:sz w:val="15"/>
        </w:rPr>
        <w:t>磁</w:t>
      </w:r>
      <w:r>
        <w:rPr>
          <w:sz w:val="15"/>
        </w:rPr>
        <w:t>材料</w:t>
      </w:r>
    </w:p>
    <w:p>
      <w:pPr>
        <w:tabs>
          <w:tab w:val="left" w:pos="1555"/>
          <w:tab w:val="left" w:pos="2685"/>
        </w:tabs>
        <w:spacing w:before="32" w:after="58"/>
        <w:ind w:left="622" w:right="0" w:firstLine="0"/>
        <w:jc w:val="left"/>
        <w:rPr>
          <w:b/>
          <w:sz w:val="15"/>
        </w:rPr>
      </w:pPr>
      <w:r>
        <w:rPr>
          <w:sz w:val="15"/>
        </w:rPr>
        <w:t>轻稀土</w:t>
        <w:tab/>
      </w:r>
      <w:r>
        <w:rPr>
          <w:b/>
          <w:sz w:val="15"/>
        </w:rPr>
        <w:t>镨（Pr）</w:t>
        <w:tab/>
        <w:t>钕铁硼永</w:t>
      </w:r>
      <w:r>
        <w:rPr>
          <w:b/>
          <w:spacing w:val="-3"/>
          <w:sz w:val="15"/>
        </w:rPr>
        <w:t>磁</w:t>
      </w:r>
      <w:r>
        <w:rPr>
          <w:b/>
          <w:sz w:val="15"/>
        </w:rPr>
        <w:t>材料、</w:t>
      </w:r>
      <w:r>
        <w:rPr>
          <w:b/>
          <w:spacing w:val="-3"/>
          <w:sz w:val="15"/>
        </w:rPr>
        <w:t>建</w:t>
      </w:r>
      <w:r>
        <w:rPr>
          <w:b/>
          <w:sz w:val="15"/>
        </w:rPr>
        <w:t>筑陶瓷</w:t>
      </w:r>
      <w:r>
        <w:rPr>
          <w:b/>
          <w:spacing w:val="-3"/>
          <w:sz w:val="15"/>
        </w:rPr>
        <w:t>、</w:t>
      </w:r>
      <w:r>
        <w:rPr>
          <w:b/>
          <w:sz w:val="15"/>
        </w:rPr>
        <w:t>日用</w:t>
      </w:r>
      <w:r>
        <w:rPr>
          <w:b/>
          <w:spacing w:val="-3"/>
          <w:sz w:val="15"/>
        </w:rPr>
        <w:t>陶</w:t>
      </w:r>
      <w:r>
        <w:rPr>
          <w:b/>
          <w:sz w:val="15"/>
        </w:rPr>
        <w:t>瓷、釉下</w:t>
      </w:r>
      <w:r>
        <w:rPr>
          <w:b/>
          <w:spacing w:val="-3"/>
          <w:sz w:val="15"/>
        </w:rPr>
        <w:t>颜</w:t>
      </w:r>
      <w:r>
        <w:rPr>
          <w:b/>
          <w:sz w:val="15"/>
        </w:rPr>
        <w:t>料、永</w:t>
      </w:r>
      <w:r>
        <w:rPr>
          <w:b/>
          <w:spacing w:val="-3"/>
          <w:sz w:val="15"/>
        </w:rPr>
        <w:t>磁</w:t>
      </w:r>
      <w:r>
        <w:rPr>
          <w:b/>
          <w:sz w:val="15"/>
        </w:rPr>
        <w:t>体、各</w:t>
      </w:r>
      <w:r>
        <w:rPr>
          <w:b/>
          <w:spacing w:val="-3"/>
          <w:sz w:val="15"/>
        </w:rPr>
        <w:t>类</w:t>
      </w:r>
      <w:r>
        <w:rPr>
          <w:b/>
          <w:sz w:val="15"/>
        </w:rPr>
        <w:t>电子</w:t>
      </w:r>
      <w:r>
        <w:rPr>
          <w:b/>
          <w:spacing w:val="-3"/>
          <w:sz w:val="15"/>
        </w:rPr>
        <w:t>器</w:t>
      </w:r>
      <w:r>
        <w:rPr>
          <w:b/>
          <w:sz w:val="15"/>
        </w:rPr>
        <w:t>件和马达</w:t>
      </w:r>
      <w:r>
        <w:rPr>
          <w:b/>
          <w:spacing w:val="-3"/>
          <w:sz w:val="15"/>
        </w:rPr>
        <w:t>、</w:t>
      </w:r>
      <w:r>
        <w:rPr>
          <w:b/>
          <w:sz w:val="15"/>
        </w:rPr>
        <w:t>石油催</w:t>
      </w:r>
      <w:r>
        <w:rPr>
          <w:b/>
          <w:spacing w:val="-3"/>
          <w:sz w:val="15"/>
        </w:rPr>
        <w:t>化</w:t>
      </w:r>
      <w:r>
        <w:rPr>
          <w:b/>
          <w:sz w:val="15"/>
        </w:rPr>
        <w:t>裂化、</w:t>
      </w:r>
      <w:r>
        <w:rPr>
          <w:b/>
          <w:spacing w:val="-3"/>
          <w:sz w:val="15"/>
        </w:rPr>
        <w:t>磨</w:t>
      </w:r>
      <w:r>
        <w:rPr>
          <w:b/>
          <w:sz w:val="15"/>
        </w:rPr>
        <w:t>料抛光</w:t>
      </w:r>
    </w:p>
    <w:p>
      <w:pPr>
        <w:pStyle w:val="BodyText"/>
        <w:spacing w:line="20" w:lineRule="exact"/>
        <w:ind w:left="1385"/>
        <w:rPr>
          <w:sz w:val="2"/>
        </w:rPr>
      </w:pPr>
      <w:r>
        <w:rPr>
          <w:sz w:val="2"/>
        </w:rPr>
        <w:pict>
          <v:group id="_x0000_i1062" style="width:444.8pt;height:0.5pt;mso-position-horizontal-relative:char;mso-position-vertical-relative:line" coordorigin="0,0" coordsize="8896,10">
            <v:line id="_x0000_s1063" style="position:absolute" from="0,5" to="934,5" stroked="t" strokecolor="black" strokeweight="0.48pt">
              <v:stroke dashstyle="solid"/>
            </v:line>
            <v:rect id="_x0000_s1064" style="width:10;height:10;left:933;position:absolute" filled="t" fillcolor="black" stroked="f">
              <v:fill type="solid"/>
            </v:rect>
            <v:line id="_x0000_s1065" style="position:absolute" from="943,5" to="8896,5" stroked="t" strokecolor="black" strokeweight="0.48pt">
              <v:stroke dashstyle="solid"/>
            </v:line>
            <w10:wrap type="none"/>
          </v:group>
        </w:pict>
      </w:r>
    </w:p>
    <w:p>
      <w:pPr>
        <w:tabs>
          <w:tab w:val="left" w:pos="2911"/>
        </w:tabs>
        <w:spacing w:before="53"/>
        <w:ind w:left="1555" w:right="0" w:firstLine="0"/>
        <w:jc w:val="left"/>
        <w:rPr>
          <w:b/>
          <w:sz w:val="15"/>
        </w:rPr>
      </w:pPr>
      <w:r>
        <w:pict>
          <v:group id="_x0000_s1066" style="width:444.8pt;height:0.5pt;margin-top:15.19pt;margin-left:102.5pt;mso-position-horizontal-relative:page;mso-wrap-distance-left:0;mso-wrap-distance-right:0;position:absolute;z-index:-251648000" coordorigin="2050,304" coordsize="8896,10">
            <v:line id="_x0000_s1067" style="position:absolute" from="2050,309" to="2984,309" stroked="t" strokecolor="black" strokeweight="0.48pt">
              <v:stroke dashstyle="solid"/>
            </v:line>
            <v:rect id="_x0000_s1068" style="width:10;height:10;left:2983;position:absolute;top:303" filled="t" fillcolor="black" stroked="f">
              <v:fill type="solid"/>
            </v:rect>
            <v:line id="_x0000_s1069" style="position:absolute" from="2993,309" to="10946,309" stroked="t" strokecolor="black" strokeweight="0.48pt">
              <v:stroke dashstyle="solid"/>
            </v:line>
            <w10:wrap type="topAndBottom"/>
          </v:group>
        </w:pict>
      </w:r>
      <w:r>
        <w:rPr>
          <w:b/>
          <w:sz w:val="15"/>
        </w:rPr>
        <w:t>钕（Nd）</w:t>
        <w:tab/>
        <w:t>钕铁硼永</w:t>
      </w:r>
      <w:r>
        <w:rPr>
          <w:b/>
          <w:spacing w:val="-3"/>
          <w:sz w:val="15"/>
        </w:rPr>
        <w:t>磁</w:t>
      </w:r>
      <w:r>
        <w:rPr>
          <w:b/>
          <w:sz w:val="15"/>
        </w:rPr>
        <w:t>材料、</w:t>
      </w:r>
      <w:r>
        <w:rPr>
          <w:b/>
          <w:spacing w:val="-3"/>
          <w:sz w:val="15"/>
        </w:rPr>
        <w:t>航</w:t>
      </w:r>
      <w:r>
        <w:rPr>
          <w:b/>
          <w:sz w:val="15"/>
        </w:rPr>
        <w:t>空航天</w:t>
      </w:r>
      <w:r>
        <w:rPr>
          <w:b/>
          <w:spacing w:val="-3"/>
          <w:sz w:val="15"/>
        </w:rPr>
        <w:t>材</w:t>
      </w:r>
      <w:r>
        <w:rPr>
          <w:b/>
          <w:sz w:val="15"/>
        </w:rPr>
        <w:t>料、</w:t>
      </w:r>
      <w:r>
        <w:rPr>
          <w:b/>
          <w:spacing w:val="-3"/>
          <w:sz w:val="15"/>
        </w:rPr>
        <w:t>薄</w:t>
      </w:r>
      <w:r>
        <w:rPr>
          <w:b/>
          <w:sz w:val="15"/>
        </w:rPr>
        <w:t>型材料焊</w:t>
      </w:r>
      <w:r>
        <w:rPr>
          <w:b/>
          <w:spacing w:val="-3"/>
          <w:sz w:val="15"/>
        </w:rPr>
        <w:t>接</w:t>
      </w:r>
      <w:r>
        <w:rPr>
          <w:b/>
          <w:sz w:val="15"/>
        </w:rPr>
        <w:t>和切削</w:t>
      </w:r>
      <w:r>
        <w:rPr>
          <w:b/>
          <w:spacing w:val="-3"/>
          <w:sz w:val="15"/>
        </w:rPr>
        <w:t>、</w:t>
      </w:r>
      <w:r>
        <w:rPr>
          <w:b/>
          <w:sz w:val="15"/>
        </w:rPr>
        <w:t>手术、</w:t>
      </w:r>
      <w:r>
        <w:rPr>
          <w:b/>
          <w:spacing w:val="-3"/>
          <w:sz w:val="15"/>
        </w:rPr>
        <w:t>玻</w:t>
      </w:r>
      <w:r>
        <w:rPr>
          <w:b/>
          <w:sz w:val="15"/>
        </w:rPr>
        <w:t>璃和</w:t>
      </w:r>
      <w:r>
        <w:rPr>
          <w:b/>
          <w:spacing w:val="-3"/>
          <w:sz w:val="15"/>
        </w:rPr>
        <w:t>陶</w:t>
      </w:r>
      <w:r>
        <w:rPr>
          <w:b/>
          <w:sz w:val="15"/>
        </w:rPr>
        <w:t>瓷材料着</w:t>
      </w:r>
      <w:r>
        <w:rPr>
          <w:b/>
          <w:spacing w:val="-3"/>
          <w:sz w:val="15"/>
        </w:rPr>
        <w:t>色</w:t>
      </w:r>
      <w:r>
        <w:rPr>
          <w:b/>
          <w:sz w:val="15"/>
        </w:rPr>
        <w:t>、橡胶</w:t>
      </w:r>
      <w:r>
        <w:rPr>
          <w:b/>
          <w:spacing w:val="-3"/>
          <w:sz w:val="15"/>
        </w:rPr>
        <w:t>制</w:t>
      </w:r>
      <w:r>
        <w:rPr>
          <w:b/>
          <w:sz w:val="15"/>
        </w:rPr>
        <w:t>品添加剂</w:t>
      </w:r>
    </w:p>
    <w:p>
      <w:pPr>
        <w:tabs>
          <w:tab w:val="left" w:pos="3132"/>
        </w:tabs>
        <w:spacing w:before="32" w:after="58"/>
        <w:ind w:left="1555" w:right="0" w:firstLine="0"/>
        <w:jc w:val="left"/>
        <w:rPr>
          <w:sz w:val="15"/>
        </w:rPr>
      </w:pPr>
      <w:r>
        <w:rPr>
          <w:sz w:val="15"/>
        </w:rPr>
        <w:t>钷（Pm）</w:t>
        <w:tab/>
        <w:t>真空</w:t>
      </w:r>
      <w:r>
        <w:rPr>
          <w:spacing w:val="-3"/>
          <w:sz w:val="15"/>
        </w:rPr>
        <w:t>探</w:t>
      </w:r>
      <w:r>
        <w:rPr>
          <w:sz w:val="15"/>
        </w:rPr>
        <w:t>测</w:t>
      </w:r>
      <w:r>
        <w:rPr>
          <w:spacing w:val="-3"/>
          <w:sz w:val="15"/>
        </w:rPr>
        <w:t>和</w:t>
      </w:r>
      <w:r>
        <w:rPr>
          <w:sz w:val="15"/>
        </w:rPr>
        <w:t>人</w:t>
      </w:r>
      <w:r>
        <w:rPr>
          <w:spacing w:val="-3"/>
          <w:sz w:val="15"/>
        </w:rPr>
        <w:t>造</w:t>
      </w:r>
      <w:r>
        <w:rPr>
          <w:sz w:val="15"/>
        </w:rPr>
        <w:t>卫</w:t>
      </w:r>
      <w:r>
        <w:rPr>
          <w:spacing w:val="-3"/>
          <w:sz w:val="15"/>
        </w:rPr>
        <w:t>星</w:t>
      </w:r>
      <w:r>
        <w:rPr>
          <w:sz w:val="15"/>
        </w:rPr>
        <w:t>、</w:t>
      </w:r>
      <w:r>
        <w:rPr>
          <w:spacing w:val="-3"/>
          <w:sz w:val="15"/>
        </w:rPr>
        <w:t>导</w:t>
      </w:r>
      <w:r>
        <w:rPr>
          <w:sz w:val="15"/>
        </w:rPr>
        <w:t>弹</w:t>
      </w:r>
      <w:r>
        <w:rPr>
          <w:spacing w:val="-3"/>
          <w:sz w:val="15"/>
        </w:rPr>
        <w:t>制</w:t>
      </w:r>
      <w:r>
        <w:rPr>
          <w:sz w:val="15"/>
        </w:rPr>
        <w:t>导</w:t>
      </w:r>
      <w:r>
        <w:rPr>
          <w:spacing w:val="-3"/>
          <w:sz w:val="15"/>
        </w:rPr>
        <w:t>仪器</w:t>
      </w:r>
      <w:r>
        <w:rPr>
          <w:sz w:val="15"/>
        </w:rPr>
        <w:t>及钟</w:t>
      </w:r>
      <w:r>
        <w:rPr>
          <w:spacing w:val="-3"/>
          <w:sz w:val="15"/>
        </w:rPr>
        <w:t>表</w:t>
      </w:r>
      <w:r>
        <w:rPr>
          <w:sz w:val="15"/>
        </w:rPr>
        <w:t>电</w:t>
      </w:r>
      <w:r>
        <w:rPr>
          <w:spacing w:val="-3"/>
          <w:sz w:val="15"/>
        </w:rPr>
        <w:t>源</w:t>
      </w:r>
      <w:r>
        <w:rPr>
          <w:sz w:val="15"/>
        </w:rPr>
        <w:t>、</w:t>
      </w:r>
      <w:r>
        <w:rPr>
          <w:spacing w:val="-3"/>
          <w:sz w:val="15"/>
        </w:rPr>
        <w:t>便携</w:t>
      </w:r>
      <w:r>
        <w:rPr>
          <w:spacing w:val="36"/>
          <w:sz w:val="15"/>
        </w:rPr>
        <w:t>式</w:t>
      </w:r>
      <w:r>
        <w:rPr>
          <w:sz w:val="15"/>
        </w:rPr>
        <w:t>X-射</w:t>
      </w:r>
      <w:r>
        <w:rPr>
          <w:spacing w:val="-3"/>
          <w:sz w:val="15"/>
        </w:rPr>
        <w:t>线</w:t>
      </w:r>
      <w:r>
        <w:rPr>
          <w:sz w:val="15"/>
        </w:rPr>
        <w:t>仪</w:t>
      </w:r>
      <w:r>
        <w:rPr>
          <w:spacing w:val="-3"/>
          <w:sz w:val="15"/>
        </w:rPr>
        <w:t>、</w:t>
      </w:r>
      <w:r>
        <w:rPr>
          <w:sz w:val="15"/>
        </w:rPr>
        <w:t>荧</w:t>
      </w:r>
      <w:r>
        <w:rPr>
          <w:spacing w:val="-3"/>
          <w:sz w:val="15"/>
        </w:rPr>
        <w:t>光</w:t>
      </w:r>
      <w:r>
        <w:rPr>
          <w:sz w:val="15"/>
        </w:rPr>
        <w:t>粉、</w:t>
      </w:r>
      <w:r>
        <w:rPr>
          <w:spacing w:val="-3"/>
          <w:sz w:val="15"/>
        </w:rPr>
        <w:t>度</w:t>
      </w:r>
      <w:r>
        <w:rPr>
          <w:sz w:val="15"/>
        </w:rPr>
        <w:t>量</w:t>
      </w:r>
      <w:r>
        <w:rPr>
          <w:spacing w:val="-3"/>
          <w:sz w:val="15"/>
        </w:rPr>
        <w:t>厚</w:t>
      </w:r>
      <w:r>
        <w:rPr>
          <w:sz w:val="15"/>
        </w:rPr>
        <w:t>度</w:t>
      </w:r>
      <w:r>
        <w:rPr>
          <w:spacing w:val="-3"/>
          <w:sz w:val="15"/>
        </w:rPr>
        <w:t>、</w:t>
      </w:r>
      <w:r>
        <w:rPr>
          <w:sz w:val="15"/>
        </w:rPr>
        <w:t>航</w:t>
      </w:r>
      <w:r>
        <w:rPr>
          <w:spacing w:val="-3"/>
          <w:sz w:val="15"/>
        </w:rPr>
        <w:t>标</w:t>
      </w:r>
      <w:r>
        <w:rPr>
          <w:sz w:val="15"/>
        </w:rPr>
        <w:t>灯</w:t>
      </w:r>
    </w:p>
    <w:p>
      <w:pPr>
        <w:pStyle w:val="BodyText"/>
        <w:spacing w:line="20" w:lineRule="exact"/>
        <w:ind w:left="1385"/>
        <w:rPr>
          <w:sz w:val="2"/>
        </w:rPr>
      </w:pPr>
      <w:r>
        <w:rPr>
          <w:sz w:val="2"/>
        </w:rPr>
        <w:pict>
          <v:group id="_x0000_i1070" style="width:444.8pt;height:0.5pt;mso-position-horizontal-relative:char;mso-position-vertical-relative:line" coordorigin="0,0" coordsize="8896,10">
            <v:line id="_x0000_s1071" style="position:absolute" from="0,5" to="934,5" stroked="t" strokecolor="black" strokeweight="0.48pt">
              <v:stroke dashstyle="solid"/>
            </v:line>
            <v:rect id="_x0000_s1072" style="width:10;height:10;left:933;position:absolute" filled="t" fillcolor="black" stroked="f">
              <v:fill type="solid"/>
            </v:rect>
            <v:line id="_x0000_s1073" style="position:absolute" from="943,5" to="8896,5" stroked="t" strokecolor="black" strokeweight="0.48pt">
              <v:stroke dashstyle="solid"/>
            </v:line>
            <w10:wrap type="none"/>
          </v:group>
        </w:pict>
      </w:r>
    </w:p>
    <w:p>
      <w:pPr>
        <w:tabs>
          <w:tab w:val="left" w:pos="4426"/>
        </w:tabs>
        <w:spacing w:before="51"/>
        <w:ind w:left="1555" w:right="0" w:firstLine="0"/>
        <w:jc w:val="left"/>
        <w:rPr>
          <w:sz w:val="15"/>
        </w:rPr>
      </w:pPr>
      <w:r>
        <w:pict>
          <v:group id="_x0000_s1074" style="width:444.8pt;height:0.5pt;margin-top:15.09pt;margin-left:102.5pt;mso-position-horizontal-relative:page;mso-wrap-distance-left:0;mso-wrap-distance-right:0;position:absolute;z-index:-251646976" coordorigin="2050,302" coordsize="8896,10">
            <v:line id="_x0000_s1075" style="position:absolute" from="2050,307" to="2984,307" stroked="t" strokecolor="black" strokeweight="0.48pt">
              <v:stroke dashstyle="solid"/>
            </v:line>
            <v:rect id="_x0000_s1076" style="width:10;height:10;left:2983;position:absolute;top:301" filled="t" fillcolor="black" stroked="f">
              <v:fill type="solid"/>
            </v:rect>
            <v:line id="_x0000_s1077" style="position:absolute" from="2993,307" to="10946,307" stroked="t" strokecolor="black" strokeweight="0.48pt">
              <v:stroke dashstyle="solid"/>
            </v:line>
            <w10:wrap type="topAndBottom"/>
          </v:group>
        </w:pict>
      </w:r>
      <w:r>
        <w:rPr>
          <w:sz w:val="15"/>
        </w:rPr>
        <w:t>钐（Sm）</w:t>
        <w:tab/>
        <w:t>钐钴</w:t>
      </w:r>
      <w:r>
        <w:rPr>
          <w:spacing w:val="-3"/>
          <w:sz w:val="15"/>
        </w:rPr>
        <w:t>系</w:t>
      </w:r>
      <w:r>
        <w:rPr>
          <w:sz w:val="15"/>
        </w:rPr>
        <w:t>永</w:t>
      </w:r>
      <w:r>
        <w:rPr>
          <w:spacing w:val="-3"/>
          <w:sz w:val="15"/>
        </w:rPr>
        <w:t>磁</w:t>
      </w:r>
      <w:r>
        <w:rPr>
          <w:sz w:val="15"/>
        </w:rPr>
        <w:t>体</w:t>
      </w:r>
      <w:r>
        <w:rPr>
          <w:spacing w:val="-3"/>
          <w:sz w:val="15"/>
        </w:rPr>
        <w:t>、</w:t>
      </w:r>
      <w:r>
        <w:rPr>
          <w:sz w:val="15"/>
        </w:rPr>
        <w:t>陶</w:t>
      </w:r>
      <w:r>
        <w:rPr>
          <w:spacing w:val="-3"/>
          <w:sz w:val="15"/>
        </w:rPr>
        <w:t>瓷</w:t>
      </w:r>
      <w:r>
        <w:rPr>
          <w:sz w:val="15"/>
        </w:rPr>
        <w:t>电</w:t>
      </w:r>
      <w:r>
        <w:rPr>
          <w:spacing w:val="-3"/>
          <w:sz w:val="15"/>
        </w:rPr>
        <w:t>容</w:t>
      </w:r>
      <w:r>
        <w:rPr>
          <w:sz w:val="15"/>
        </w:rPr>
        <w:t>器</w:t>
      </w:r>
      <w:r>
        <w:rPr>
          <w:spacing w:val="-3"/>
          <w:sz w:val="15"/>
        </w:rPr>
        <w:t>、</w:t>
      </w:r>
      <w:r>
        <w:rPr>
          <w:sz w:val="15"/>
        </w:rPr>
        <w:t>催</w:t>
      </w:r>
      <w:r>
        <w:rPr>
          <w:spacing w:val="-3"/>
          <w:sz w:val="15"/>
        </w:rPr>
        <w:t>化剂</w:t>
      </w:r>
      <w:r>
        <w:rPr>
          <w:sz w:val="15"/>
        </w:rPr>
        <w:t>、原</w:t>
      </w:r>
      <w:r>
        <w:rPr>
          <w:spacing w:val="-3"/>
          <w:sz w:val="15"/>
        </w:rPr>
        <w:t>子</w:t>
      </w:r>
      <w:r>
        <w:rPr>
          <w:sz w:val="15"/>
        </w:rPr>
        <w:t>能</w:t>
      </w:r>
      <w:r>
        <w:rPr>
          <w:spacing w:val="-3"/>
          <w:sz w:val="15"/>
        </w:rPr>
        <w:t>反</w:t>
      </w:r>
      <w:r>
        <w:rPr>
          <w:sz w:val="15"/>
        </w:rPr>
        <w:t>应</w:t>
      </w:r>
      <w:r>
        <w:rPr>
          <w:spacing w:val="-3"/>
          <w:sz w:val="15"/>
        </w:rPr>
        <w:t>堆</w:t>
      </w:r>
      <w:r>
        <w:rPr>
          <w:sz w:val="15"/>
        </w:rPr>
        <w:t>材料</w:t>
      </w:r>
    </w:p>
    <w:p>
      <w:pPr>
        <w:tabs>
          <w:tab w:val="left" w:pos="1877"/>
        </w:tabs>
        <w:spacing w:before="32"/>
        <w:ind w:left="38" w:right="0" w:firstLine="0"/>
        <w:jc w:val="center"/>
        <w:rPr>
          <w:sz w:val="15"/>
        </w:rPr>
      </w:pPr>
      <w:r>
        <w:rPr>
          <w:sz w:val="15"/>
        </w:rPr>
        <w:t>铕（Eu）</w:t>
        <w:tab/>
        <w:t>荧光</w:t>
      </w:r>
      <w:r>
        <w:rPr>
          <w:spacing w:val="-3"/>
          <w:sz w:val="15"/>
        </w:rPr>
        <w:t>粉、</w:t>
      </w:r>
      <w:r>
        <w:rPr>
          <w:sz w:val="15"/>
        </w:rPr>
        <w:t>X</w:t>
      </w:r>
      <w:r>
        <w:rPr>
          <w:spacing w:val="-37"/>
          <w:sz w:val="15"/>
        </w:rPr>
        <w:t xml:space="preserve"> </w:t>
      </w:r>
      <w:r>
        <w:rPr>
          <w:sz w:val="15"/>
        </w:rPr>
        <w:t>射</w:t>
      </w:r>
      <w:r>
        <w:rPr>
          <w:spacing w:val="-3"/>
          <w:sz w:val="15"/>
        </w:rPr>
        <w:t>线</w:t>
      </w:r>
      <w:r>
        <w:rPr>
          <w:sz w:val="15"/>
        </w:rPr>
        <w:t>医</w:t>
      </w:r>
      <w:r>
        <w:rPr>
          <w:spacing w:val="-3"/>
          <w:sz w:val="15"/>
        </w:rPr>
        <w:t>疗</w:t>
      </w:r>
      <w:r>
        <w:rPr>
          <w:sz w:val="15"/>
        </w:rPr>
        <w:t>诊</w:t>
      </w:r>
      <w:r>
        <w:rPr>
          <w:spacing w:val="-3"/>
          <w:sz w:val="15"/>
        </w:rPr>
        <w:t>断</w:t>
      </w:r>
      <w:r>
        <w:rPr>
          <w:sz w:val="15"/>
        </w:rPr>
        <w:t>系</w:t>
      </w:r>
      <w:r>
        <w:rPr>
          <w:spacing w:val="-3"/>
          <w:sz w:val="15"/>
        </w:rPr>
        <w:t>统</w:t>
      </w:r>
      <w:r>
        <w:rPr>
          <w:sz w:val="15"/>
        </w:rPr>
        <w:t>、</w:t>
      </w:r>
      <w:r>
        <w:rPr>
          <w:spacing w:val="-3"/>
          <w:sz w:val="15"/>
        </w:rPr>
        <w:t>有色</w:t>
      </w:r>
      <w:r>
        <w:rPr>
          <w:sz w:val="15"/>
        </w:rPr>
        <w:t>镜片</w:t>
      </w:r>
      <w:r>
        <w:rPr>
          <w:spacing w:val="-3"/>
          <w:sz w:val="15"/>
        </w:rPr>
        <w:t>、</w:t>
      </w:r>
      <w:r>
        <w:rPr>
          <w:sz w:val="15"/>
        </w:rPr>
        <w:t>光</w:t>
      </w:r>
      <w:r>
        <w:rPr>
          <w:spacing w:val="-3"/>
          <w:sz w:val="15"/>
        </w:rPr>
        <w:t>学</w:t>
      </w:r>
      <w:r>
        <w:rPr>
          <w:sz w:val="15"/>
        </w:rPr>
        <w:t>滤</w:t>
      </w:r>
      <w:r>
        <w:rPr>
          <w:spacing w:val="-3"/>
          <w:sz w:val="15"/>
        </w:rPr>
        <w:t>光</w:t>
      </w:r>
      <w:r>
        <w:rPr>
          <w:sz w:val="15"/>
        </w:rPr>
        <w:t>片</w:t>
      </w:r>
      <w:r>
        <w:rPr>
          <w:spacing w:val="-3"/>
          <w:sz w:val="15"/>
        </w:rPr>
        <w:t>、</w:t>
      </w:r>
      <w:r>
        <w:rPr>
          <w:sz w:val="15"/>
        </w:rPr>
        <w:t>磁</w:t>
      </w:r>
      <w:r>
        <w:rPr>
          <w:spacing w:val="-3"/>
          <w:sz w:val="15"/>
        </w:rPr>
        <w:t>泡</w:t>
      </w:r>
      <w:r>
        <w:rPr>
          <w:sz w:val="15"/>
        </w:rPr>
        <w:t>贮</w:t>
      </w:r>
      <w:r>
        <w:rPr>
          <w:spacing w:val="-3"/>
          <w:sz w:val="15"/>
        </w:rPr>
        <w:t>存</w:t>
      </w:r>
      <w:r>
        <w:rPr>
          <w:sz w:val="15"/>
        </w:rPr>
        <w:t>器</w:t>
      </w:r>
      <w:r>
        <w:rPr>
          <w:spacing w:val="-3"/>
          <w:sz w:val="15"/>
        </w:rPr>
        <w:t>件、</w:t>
      </w:r>
      <w:r>
        <w:rPr>
          <w:sz w:val="15"/>
        </w:rPr>
        <w:t>原子</w:t>
      </w:r>
      <w:r>
        <w:rPr>
          <w:spacing w:val="-3"/>
          <w:sz w:val="15"/>
        </w:rPr>
        <w:t>反</w:t>
      </w:r>
      <w:r>
        <w:rPr>
          <w:sz w:val="15"/>
        </w:rPr>
        <w:t>应</w:t>
      </w:r>
      <w:r>
        <w:rPr>
          <w:spacing w:val="-3"/>
          <w:sz w:val="15"/>
        </w:rPr>
        <w:t>堆</w:t>
      </w:r>
      <w:r>
        <w:rPr>
          <w:sz w:val="15"/>
        </w:rPr>
        <w:t>材料</w:t>
      </w:r>
    </w:p>
    <w:p>
      <w:pPr>
        <w:spacing w:after="0"/>
        <w:jc w:val="center"/>
        <w:rPr>
          <w:sz w:val="15"/>
        </w:rPr>
        <w:sectPr>
          <w:headerReference w:type="default" r:id="rId13"/>
          <w:footerReference w:type="default" r:id="rId14"/>
          <w:pgSz w:w="11910" w:h="16840"/>
          <w:pgMar w:top="1360" w:right="520" w:bottom="660" w:left="660" w:header="708" w:footer="708"/>
          <w:pgNumType w:start="5"/>
          <w:cols w:space="708"/>
        </w:sectPr>
      </w:pPr>
    </w:p>
    <w:p>
      <w:pPr>
        <w:pStyle w:val="BodyText"/>
        <w:rPr>
          <w:sz w:val="14"/>
        </w:rPr>
      </w:pPr>
    </w:p>
    <w:p>
      <w:pPr>
        <w:spacing w:before="106"/>
        <w:ind w:left="0" w:right="0" w:firstLine="0"/>
        <w:jc w:val="right"/>
        <w:rPr>
          <w:sz w:val="15"/>
        </w:rPr>
      </w:pPr>
      <w:r>
        <w:rPr>
          <w:sz w:val="15"/>
        </w:rPr>
        <w:t>钆（Gd）</w:t>
      </w:r>
    </w:p>
    <w:p>
      <w:pPr>
        <w:pStyle w:val="BodyText"/>
        <w:spacing w:before="1"/>
        <w:rPr>
          <w:sz w:val="10"/>
        </w:rPr>
      </w:pPr>
      <w:r>
        <w:br w:type="column"/>
      </w:r>
    </w:p>
    <w:p>
      <w:pPr>
        <w:spacing w:before="0" w:line="388" w:lineRule="auto"/>
        <w:ind w:left="1422" w:right="547" w:hanging="1163"/>
        <w:jc w:val="left"/>
        <w:rPr>
          <w:sz w:val="15"/>
        </w:rPr>
      </w:pPr>
      <w:r>
        <w:pict>
          <v:group id="_x0000_s1078" style="width:499.05pt;height:0.5pt;margin-top:-3.54pt;margin-left:48.24pt;mso-position-horizontal-relative:page;position:absolute;z-index:251671552" coordorigin="965,-71" coordsize="9981,10">
            <v:line id="_x0000_s1079" style="position:absolute" from="965,-66" to="2050,-66" stroked="t" strokecolor="black" strokeweight="0.48pt">
              <v:stroke dashstyle="solid"/>
            </v:line>
            <v:rect id="_x0000_s1080" style="width:10;height:10;left:2050;position:absolute;top:-71" filled="t" fillcolor="black" stroked="f">
              <v:fill type="solid"/>
            </v:rect>
            <v:line id="_x0000_s1081" style="position:absolute" from="2060,-66" to="2984,-66" stroked="t" strokecolor="black" strokeweight="0.48pt">
              <v:stroke dashstyle="solid"/>
            </v:line>
            <v:rect id="_x0000_s1082" style="width:10;height:10;left:2983;position:absolute;top:-71" filled="t" fillcolor="black" stroked="f">
              <v:fill type="solid"/>
            </v:rect>
            <v:line id="_x0000_s1083" style="position:absolute" from="2993,-66" to="10946,-66" stroked="t" strokecolor="black" strokeweight="0.48pt">
              <v:stroke dashstyle="solid"/>
            </v:line>
          </v:group>
        </w:pict>
      </w:r>
      <w:r>
        <w:pict>
          <v:group id="_x0000_s1084" style="width:444.8pt;height:0.5pt;margin-top:28.14pt;margin-left:102.5pt;mso-position-horizontal-relative:page;position:absolute;z-index:-251645952" coordorigin="2050,563" coordsize="8896,10">
            <v:line id="_x0000_s1085" style="position:absolute" from="2050,568" to="2984,568" stroked="t" strokecolor="black" strokeweight="0.48pt">
              <v:stroke dashstyle="solid"/>
            </v:line>
            <v:rect id="_x0000_s1086" style="width:10;height:10;left:2983;position:absolute;top:562" filled="t" fillcolor="black" stroked="f">
              <v:fill type="solid"/>
            </v:rect>
            <v:line id="_x0000_s1087" style="position:absolute" from="2993,568" to="10946,568" stroked="t" strokecolor="black" strokeweight="0.48pt">
              <v:stroke dashstyle="solid"/>
            </v:line>
          </v:group>
        </w:pict>
      </w:r>
      <w:r>
        <w:rPr>
          <w:sz w:val="15"/>
        </w:rPr>
        <w:t>提高人体的核磁共振(NMR)成像信号、特殊亮度的示波管、x 射线荧光屏的基质栅网、磁泡记忆存储器的理想单基片、控制核电站的连锁反应级别的抑制剂、钐钴磁体的添加剂、电容器、x 射线增感屏</w:t>
      </w:r>
    </w:p>
    <w:p>
      <w:pPr>
        <w:spacing w:after="0" w:line="388" w:lineRule="auto"/>
        <w:jc w:val="left"/>
        <w:rPr>
          <w:sz w:val="15"/>
        </w:rPr>
        <w:sectPr>
          <w:headerReference w:type="default" r:id="rId15"/>
          <w:footerReference w:type="default" r:id="rId16"/>
          <w:type w:val="continuous"/>
          <w:pgSz w:w="11910" w:h="16840"/>
          <w:pgMar w:top="1360" w:right="520" w:bottom="660" w:left="660" w:header="708" w:footer="708"/>
          <w:pgNumType w:start="6"/>
          <w:cols w:num="2" w:space="708" w:equalWidth="0">
            <w:col w:w="2159" w:space="40"/>
            <w:col w:w="8531" w:space="0"/>
          </w:cols>
        </w:sectPr>
      </w:pPr>
    </w:p>
    <w:p>
      <w:pPr>
        <w:tabs>
          <w:tab w:val="left" w:pos="2851"/>
        </w:tabs>
        <w:spacing w:before="11"/>
        <w:ind w:left="1555" w:right="0" w:firstLine="0"/>
        <w:jc w:val="left"/>
        <w:rPr>
          <w:sz w:val="15"/>
        </w:rPr>
      </w:pPr>
      <w:r>
        <w:pict>
          <v:group id="_x0000_s1088" style="width:444.8pt;height:0.5pt;margin-top:13.09pt;margin-left:102.5pt;mso-position-horizontal-relative:page;mso-wrap-distance-left:0;mso-wrap-distance-right:0;position:absolute;z-index:-251642880" coordorigin="2050,262" coordsize="8896,10">
            <v:line id="_x0000_s1089" style="position:absolute" from="2050,267" to="2984,267" stroked="t" strokecolor="black" strokeweight="0.48pt">
              <v:stroke dashstyle="solid"/>
            </v:line>
            <v:rect id="_x0000_s1090" style="width:10;height:10;left:2983;position:absolute;top:261" filled="t" fillcolor="black" stroked="f">
              <v:fill type="solid"/>
            </v:rect>
            <v:line id="_x0000_s1091" style="position:absolute" from="2993,267" to="10946,267" stroked="t" strokecolor="black" strokeweight="0.48pt">
              <v:stroke dashstyle="solid"/>
            </v:line>
            <w10:wrap type="topAndBottom"/>
          </v:group>
        </w:pict>
      </w:r>
      <w:r>
        <w:pict>
          <v:shape id="_x0000_s1092" type="#_x0000_t202" style="width:60pt;height:12pt;margin-top:36.85pt;margin-left:488.98pt;mso-position-horizontal-relative:page;mso-position-vertical-relative:page;position:absolute;z-index:-251643904" filled="f" stroked="f">
            <v:textbox inset="0,0,0,0">
              <w:txbxContent>
                <w:p>
                  <w:pPr>
                    <w:spacing w:before="0" w:line="240" w:lineRule="exact"/>
                    <w:ind w:left="0" w:right="0" w:firstLine="0"/>
                    <w:jc w:val="left"/>
                    <w:rPr>
                      <w:sz w:val="24"/>
                    </w:rPr>
                  </w:pPr>
                  <w:r>
                    <w:rPr>
                      <w:sz w:val="24"/>
                    </w:rPr>
                    <w:t>丨公司名称</w:t>
                  </w:r>
                </w:p>
              </w:txbxContent>
            </v:textbox>
          </v:shape>
        </w:pict>
      </w:r>
      <w:r>
        <w:rPr>
          <w:sz w:val="15"/>
        </w:rPr>
        <w:t>铽（Tb）</w:t>
        <w:tab/>
        <w:t>荧光</w:t>
      </w:r>
      <w:r>
        <w:rPr>
          <w:spacing w:val="-3"/>
          <w:sz w:val="15"/>
        </w:rPr>
        <w:t>粉</w:t>
      </w:r>
      <w:r>
        <w:rPr>
          <w:sz w:val="15"/>
        </w:rPr>
        <w:t>、</w:t>
      </w:r>
      <w:r>
        <w:rPr>
          <w:spacing w:val="-3"/>
          <w:sz w:val="15"/>
        </w:rPr>
        <w:t>磁</w:t>
      </w:r>
      <w:r>
        <w:rPr>
          <w:sz w:val="15"/>
        </w:rPr>
        <w:t>光</w:t>
      </w:r>
      <w:r>
        <w:rPr>
          <w:spacing w:val="-3"/>
          <w:sz w:val="15"/>
        </w:rPr>
        <w:t>贮</w:t>
      </w:r>
      <w:r>
        <w:rPr>
          <w:sz w:val="15"/>
        </w:rPr>
        <w:t>存</w:t>
      </w:r>
      <w:r>
        <w:rPr>
          <w:spacing w:val="-3"/>
          <w:sz w:val="15"/>
        </w:rPr>
        <w:t>材</w:t>
      </w:r>
      <w:r>
        <w:rPr>
          <w:sz w:val="15"/>
        </w:rPr>
        <w:t>料</w:t>
      </w:r>
      <w:r>
        <w:rPr>
          <w:spacing w:val="-3"/>
          <w:sz w:val="15"/>
        </w:rPr>
        <w:t>、</w:t>
      </w:r>
      <w:r>
        <w:rPr>
          <w:sz w:val="15"/>
        </w:rPr>
        <w:t>磁</w:t>
      </w:r>
      <w:r>
        <w:rPr>
          <w:spacing w:val="-3"/>
          <w:sz w:val="15"/>
        </w:rPr>
        <w:t>光</w:t>
      </w:r>
      <w:r>
        <w:rPr>
          <w:sz w:val="15"/>
        </w:rPr>
        <w:t>玻</w:t>
      </w:r>
      <w:r>
        <w:rPr>
          <w:spacing w:val="-3"/>
          <w:sz w:val="15"/>
        </w:rPr>
        <w:t>璃、</w:t>
      </w:r>
      <w:r>
        <w:rPr>
          <w:sz w:val="15"/>
        </w:rPr>
        <w:t>燃料</w:t>
      </w:r>
      <w:r>
        <w:rPr>
          <w:spacing w:val="-3"/>
          <w:sz w:val="15"/>
        </w:rPr>
        <w:t>喷</w:t>
      </w:r>
      <w:r>
        <w:rPr>
          <w:sz w:val="15"/>
        </w:rPr>
        <w:t>射</w:t>
      </w:r>
      <w:r>
        <w:rPr>
          <w:spacing w:val="-3"/>
          <w:sz w:val="15"/>
        </w:rPr>
        <w:t>系</w:t>
      </w:r>
      <w:r>
        <w:rPr>
          <w:sz w:val="15"/>
        </w:rPr>
        <w:t>统</w:t>
      </w:r>
      <w:r>
        <w:rPr>
          <w:spacing w:val="-3"/>
          <w:sz w:val="15"/>
        </w:rPr>
        <w:t>、</w:t>
      </w:r>
      <w:r>
        <w:rPr>
          <w:sz w:val="15"/>
        </w:rPr>
        <w:t>机</w:t>
      </w:r>
      <w:r>
        <w:rPr>
          <w:spacing w:val="-3"/>
          <w:sz w:val="15"/>
        </w:rPr>
        <w:t>械</w:t>
      </w:r>
      <w:r>
        <w:rPr>
          <w:sz w:val="15"/>
        </w:rPr>
        <w:t>致</w:t>
      </w:r>
      <w:r>
        <w:rPr>
          <w:spacing w:val="-3"/>
          <w:sz w:val="15"/>
        </w:rPr>
        <w:t>动</w:t>
      </w:r>
      <w:r>
        <w:rPr>
          <w:sz w:val="15"/>
        </w:rPr>
        <w:t>器</w:t>
      </w:r>
      <w:r>
        <w:rPr>
          <w:spacing w:val="-3"/>
          <w:sz w:val="15"/>
        </w:rPr>
        <w:t>、</w:t>
      </w:r>
      <w:r>
        <w:rPr>
          <w:sz w:val="15"/>
        </w:rPr>
        <w:t>太</w:t>
      </w:r>
      <w:r>
        <w:rPr>
          <w:spacing w:val="-3"/>
          <w:sz w:val="15"/>
        </w:rPr>
        <w:t>空望</w:t>
      </w:r>
      <w:r>
        <w:rPr>
          <w:sz w:val="15"/>
        </w:rPr>
        <w:t>远镜</w:t>
      </w:r>
      <w:r>
        <w:rPr>
          <w:spacing w:val="-3"/>
          <w:sz w:val="15"/>
        </w:rPr>
        <w:t>调</w:t>
      </w:r>
      <w:r>
        <w:rPr>
          <w:sz w:val="15"/>
        </w:rPr>
        <w:t>节</w:t>
      </w:r>
      <w:r>
        <w:rPr>
          <w:spacing w:val="-3"/>
          <w:sz w:val="15"/>
        </w:rPr>
        <w:t>机</w:t>
      </w:r>
      <w:r>
        <w:rPr>
          <w:sz w:val="15"/>
        </w:rPr>
        <w:t>构</w:t>
      </w:r>
      <w:r>
        <w:rPr>
          <w:spacing w:val="-3"/>
          <w:sz w:val="15"/>
        </w:rPr>
        <w:t>、</w:t>
      </w:r>
      <w:r>
        <w:rPr>
          <w:sz w:val="15"/>
        </w:rPr>
        <w:t>飞</w:t>
      </w:r>
      <w:r>
        <w:rPr>
          <w:spacing w:val="-3"/>
          <w:sz w:val="15"/>
        </w:rPr>
        <w:t>机</w:t>
      </w:r>
      <w:r>
        <w:rPr>
          <w:sz w:val="15"/>
        </w:rPr>
        <w:t>机</w:t>
      </w:r>
      <w:r>
        <w:rPr>
          <w:spacing w:val="-3"/>
          <w:sz w:val="15"/>
        </w:rPr>
        <w:t>翼</w:t>
      </w:r>
      <w:r>
        <w:rPr>
          <w:sz w:val="15"/>
        </w:rPr>
        <w:t>调</w:t>
      </w:r>
      <w:r>
        <w:rPr>
          <w:spacing w:val="-3"/>
          <w:sz w:val="15"/>
        </w:rPr>
        <w:t>节</w:t>
      </w:r>
      <w:r>
        <w:rPr>
          <w:sz w:val="15"/>
        </w:rPr>
        <w:t>器</w:t>
      </w:r>
    </w:p>
    <w:p>
      <w:pPr>
        <w:tabs>
          <w:tab w:val="left" w:pos="1880"/>
        </w:tabs>
        <w:spacing w:before="34" w:after="59"/>
        <w:ind w:left="221" w:right="0" w:firstLine="0"/>
        <w:jc w:val="center"/>
        <w:rPr>
          <w:b/>
          <w:sz w:val="15"/>
        </w:rPr>
      </w:pPr>
      <w:r>
        <w:rPr>
          <w:b/>
          <w:sz w:val="15"/>
        </w:rPr>
        <w:t>镝（Dy）</w:t>
        <w:tab/>
        <w:t>钕基磁体</w:t>
      </w:r>
      <w:r>
        <w:rPr>
          <w:b/>
          <w:spacing w:val="-3"/>
          <w:sz w:val="15"/>
        </w:rPr>
        <w:t>、</w:t>
      </w:r>
      <w:r>
        <w:rPr>
          <w:b/>
          <w:sz w:val="15"/>
        </w:rPr>
        <w:t>荧光粉</w:t>
      </w:r>
      <w:r>
        <w:rPr>
          <w:b/>
          <w:spacing w:val="-3"/>
          <w:sz w:val="15"/>
        </w:rPr>
        <w:t>激</w:t>
      </w:r>
      <w:r>
        <w:rPr>
          <w:b/>
          <w:sz w:val="15"/>
        </w:rPr>
        <w:t>活剂、</w:t>
      </w:r>
      <w:r>
        <w:rPr>
          <w:b/>
          <w:spacing w:val="-3"/>
          <w:sz w:val="15"/>
        </w:rPr>
        <w:t>大</w:t>
      </w:r>
      <w:r>
        <w:rPr>
          <w:b/>
          <w:sz w:val="15"/>
        </w:rPr>
        <w:t>磁致</w:t>
      </w:r>
      <w:r>
        <w:rPr>
          <w:b/>
          <w:spacing w:val="-3"/>
          <w:sz w:val="15"/>
        </w:rPr>
        <w:t>伸</w:t>
      </w:r>
      <w:r>
        <w:rPr>
          <w:b/>
          <w:sz w:val="15"/>
        </w:rPr>
        <w:t>缩合金铽</w:t>
      </w:r>
      <w:r>
        <w:rPr>
          <w:b/>
          <w:spacing w:val="-3"/>
          <w:sz w:val="15"/>
        </w:rPr>
        <w:t>镝</w:t>
      </w:r>
      <w:r>
        <w:rPr>
          <w:b/>
          <w:sz w:val="15"/>
        </w:rPr>
        <w:t>铁合金</w:t>
      </w:r>
      <w:r>
        <w:rPr>
          <w:b/>
          <w:spacing w:val="-3"/>
          <w:sz w:val="15"/>
        </w:rPr>
        <w:t>、</w:t>
      </w:r>
      <w:r>
        <w:rPr>
          <w:b/>
          <w:sz w:val="15"/>
        </w:rPr>
        <w:t>磁光存</w:t>
      </w:r>
      <w:r>
        <w:rPr>
          <w:b/>
          <w:spacing w:val="-3"/>
          <w:sz w:val="15"/>
        </w:rPr>
        <w:t>贮</w:t>
      </w:r>
      <w:r>
        <w:rPr>
          <w:b/>
          <w:sz w:val="15"/>
        </w:rPr>
        <w:t>材料</w:t>
      </w:r>
      <w:r>
        <w:rPr>
          <w:b/>
          <w:spacing w:val="-3"/>
          <w:sz w:val="15"/>
        </w:rPr>
        <w:t>、</w:t>
      </w:r>
      <w:r>
        <w:rPr>
          <w:b/>
          <w:sz w:val="15"/>
        </w:rPr>
        <w:t>镝灯、测</w:t>
      </w:r>
      <w:r>
        <w:rPr>
          <w:b/>
          <w:spacing w:val="-3"/>
          <w:sz w:val="15"/>
        </w:rPr>
        <w:t>定</w:t>
      </w:r>
      <w:r>
        <w:rPr>
          <w:b/>
          <w:sz w:val="15"/>
        </w:rPr>
        <w:t>中子能谱</w:t>
      </w:r>
    </w:p>
    <w:p>
      <w:pPr>
        <w:pStyle w:val="BodyText"/>
        <w:spacing w:line="20" w:lineRule="exact"/>
        <w:ind w:left="1385"/>
        <w:rPr>
          <w:sz w:val="2"/>
        </w:rPr>
      </w:pPr>
      <w:r>
        <w:rPr>
          <w:sz w:val="2"/>
        </w:rPr>
        <w:pict>
          <v:group id="_x0000_i1093" style="width:444.8pt;height:0.5pt;mso-position-horizontal-relative:char;mso-position-vertical-relative:line" coordorigin="0,0" coordsize="8896,10">
            <v:line id="_x0000_s1094" style="position:absolute" from="0,5" to="934,5" stroked="t" strokecolor="black" strokeweight="0.48pt">
              <v:stroke dashstyle="solid"/>
            </v:line>
            <v:rect id="_x0000_s1095" style="width:10;height:10;left:933;position:absolute" filled="t" fillcolor="black" stroked="f">
              <v:fill type="solid"/>
            </v:rect>
            <v:line id="_x0000_s1096" style="position:absolute" from="943,5" to="8896,5" stroked="t" strokecolor="black" strokeweight="0.48pt">
              <v:stroke dashstyle="solid"/>
            </v:line>
            <w10:wrap type="none"/>
          </v:group>
        </w:pict>
      </w:r>
    </w:p>
    <w:p>
      <w:pPr>
        <w:tabs>
          <w:tab w:val="left" w:pos="1555"/>
          <w:tab w:val="left" w:pos="3214"/>
        </w:tabs>
        <w:spacing w:before="56"/>
        <w:ind w:left="622" w:right="0" w:firstLine="0"/>
        <w:jc w:val="left"/>
        <w:rPr>
          <w:b/>
          <w:sz w:val="15"/>
        </w:rPr>
      </w:pPr>
      <w:r>
        <w:pict>
          <v:group id="_x0000_s1097" style="width:444.8pt;height:0.5pt;margin-top:15.1pt;margin-left:102.5pt;mso-position-horizontal-relative:page;mso-wrap-distance-left:0;mso-wrap-distance-right:0;position:absolute;z-index:-251641856" coordorigin="2050,302" coordsize="8896,10">
            <v:line id="_x0000_s1098" style="position:absolute" from="2050,307" to="2984,307" stroked="t" strokecolor="black" strokeweight="0.48pt">
              <v:stroke dashstyle="solid"/>
            </v:line>
            <v:rect id="_x0000_s1099" style="width:10;height:10;left:2983;position:absolute;top:302" filled="t" fillcolor="black" stroked="f">
              <v:fill type="solid"/>
            </v:rect>
            <v:line id="_x0000_s1100" style="position:absolute" from="2993,307" to="10946,307" stroked="t" strokecolor="black" strokeweight="0.48pt">
              <v:stroke dashstyle="solid"/>
            </v:line>
            <w10:wrap type="topAndBottom"/>
          </v:group>
        </w:pict>
      </w:r>
      <w:r>
        <w:rPr>
          <w:sz w:val="15"/>
        </w:rPr>
        <w:t>重稀土</w:t>
        <w:tab/>
      </w:r>
      <w:r>
        <w:rPr>
          <w:b/>
          <w:sz w:val="15"/>
        </w:rPr>
        <w:t>钬（Ho）</w:t>
        <w:tab/>
        <w:t>钕基磁体</w:t>
      </w:r>
      <w:r>
        <w:rPr>
          <w:b/>
          <w:spacing w:val="-3"/>
          <w:sz w:val="15"/>
        </w:rPr>
        <w:t>、</w:t>
      </w:r>
      <w:r>
        <w:rPr>
          <w:b/>
          <w:sz w:val="15"/>
        </w:rPr>
        <w:t>钇铁或</w:t>
      </w:r>
      <w:r>
        <w:rPr>
          <w:b/>
          <w:spacing w:val="-3"/>
          <w:sz w:val="15"/>
        </w:rPr>
        <w:t>钇</w:t>
      </w:r>
      <w:r>
        <w:rPr>
          <w:b/>
          <w:sz w:val="15"/>
        </w:rPr>
        <w:t>铝石榴</w:t>
      </w:r>
      <w:r>
        <w:rPr>
          <w:b/>
          <w:spacing w:val="-3"/>
          <w:sz w:val="15"/>
        </w:rPr>
        <w:t>石</w:t>
      </w:r>
      <w:r>
        <w:rPr>
          <w:b/>
          <w:sz w:val="15"/>
        </w:rPr>
        <w:t>添加</w:t>
      </w:r>
      <w:r>
        <w:rPr>
          <w:b/>
          <w:spacing w:val="-3"/>
          <w:sz w:val="15"/>
        </w:rPr>
        <w:t>剂</w:t>
      </w:r>
      <w:r>
        <w:rPr>
          <w:b/>
          <w:sz w:val="15"/>
        </w:rPr>
        <w:t>、医疗手</w:t>
      </w:r>
      <w:r>
        <w:rPr>
          <w:b/>
          <w:spacing w:val="-3"/>
          <w:sz w:val="15"/>
        </w:rPr>
        <w:t>术</w:t>
      </w:r>
      <w:r>
        <w:rPr>
          <w:b/>
          <w:sz w:val="15"/>
        </w:rPr>
        <w:t>、降低</w:t>
      </w:r>
      <w:r>
        <w:rPr>
          <w:b/>
          <w:spacing w:val="-3"/>
          <w:sz w:val="15"/>
        </w:rPr>
        <w:t>合</w:t>
      </w:r>
      <w:r>
        <w:rPr>
          <w:b/>
          <w:sz w:val="15"/>
        </w:rPr>
        <w:t>金饱和</w:t>
      </w:r>
      <w:r>
        <w:rPr>
          <w:b/>
          <w:spacing w:val="-3"/>
          <w:sz w:val="15"/>
        </w:rPr>
        <w:t>磁</w:t>
      </w:r>
      <w:r>
        <w:rPr>
          <w:b/>
          <w:sz w:val="15"/>
        </w:rPr>
        <w:t>化所</w:t>
      </w:r>
      <w:r>
        <w:rPr>
          <w:b/>
          <w:spacing w:val="-3"/>
          <w:sz w:val="15"/>
        </w:rPr>
        <w:t>需</w:t>
      </w:r>
      <w:r>
        <w:rPr>
          <w:b/>
          <w:sz w:val="15"/>
        </w:rPr>
        <w:t>的外场、</w:t>
      </w:r>
      <w:r>
        <w:rPr>
          <w:b/>
          <w:spacing w:val="-3"/>
          <w:sz w:val="15"/>
        </w:rPr>
        <w:t>光</w:t>
      </w:r>
      <w:r>
        <w:rPr>
          <w:b/>
          <w:sz w:val="15"/>
        </w:rPr>
        <w:t>通讯器件</w:t>
      </w:r>
    </w:p>
    <w:p>
      <w:pPr>
        <w:tabs>
          <w:tab w:val="left" w:pos="2625"/>
        </w:tabs>
        <w:spacing w:before="32" w:after="58"/>
        <w:ind w:left="1555" w:right="0" w:firstLine="0"/>
        <w:jc w:val="left"/>
        <w:rPr>
          <w:sz w:val="15"/>
        </w:rPr>
      </w:pPr>
      <w:r>
        <w:rPr>
          <w:sz w:val="15"/>
        </w:rPr>
        <w:t>铒（Er）</w:t>
        <w:tab/>
        <w:t>光纤</w:t>
      </w:r>
      <w:r>
        <w:rPr>
          <w:spacing w:val="-3"/>
          <w:sz w:val="15"/>
        </w:rPr>
        <w:t>通</w:t>
      </w:r>
      <w:r>
        <w:rPr>
          <w:sz w:val="15"/>
        </w:rPr>
        <w:t>信</w:t>
      </w:r>
      <w:r>
        <w:rPr>
          <w:spacing w:val="-3"/>
          <w:sz w:val="15"/>
        </w:rPr>
        <w:t>、</w:t>
      </w:r>
      <w:r>
        <w:rPr>
          <w:sz w:val="15"/>
        </w:rPr>
        <w:t>便</w:t>
      </w:r>
      <w:r>
        <w:rPr>
          <w:spacing w:val="-3"/>
          <w:sz w:val="15"/>
        </w:rPr>
        <w:t>携</w:t>
      </w:r>
      <w:r>
        <w:rPr>
          <w:sz w:val="15"/>
        </w:rPr>
        <w:t>式</w:t>
      </w:r>
      <w:r>
        <w:rPr>
          <w:spacing w:val="-3"/>
          <w:sz w:val="15"/>
        </w:rPr>
        <w:t>激</w:t>
      </w:r>
      <w:r>
        <w:rPr>
          <w:sz w:val="15"/>
        </w:rPr>
        <w:t>光</w:t>
      </w:r>
      <w:r>
        <w:rPr>
          <w:spacing w:val="-3"/>
          <w:sz w:val="15"/>
        </w:rPr>
        <w:t>测</w:t>
      </w:r>
      <w:r>
        <w:rPr>
          <w:sz w:val="15"/>
        </w:rPr>
        <w:t>距</w:t>
      </w:r>
      <w:r>
        <w:rPr>
          <w:spacing w:val="-3"/>
          <w:sz w:val="15"/>
        </w:rPr>
        <w:t>仪</w:t>
      </w:r>
      <w:r>
        <w:rPr>
          <w:sz w:val="15"/>
        </w:rPr>
        <w:t>、</w:t>
      </w:r>
      <w:r>
        <w:rPr>
          <w:spacing w:val="-3"/>
          <w:sz w:val="15"/>
        </w:rPr>
        <w:t>固体</w:t>
      </w:r>
      <w:r>
        <w:rPr>
          <w:sz w:val="15"/>
        </w:rPr>
        <w:t>激光</w:t>
      </w:r>
      <w:r>
        <w:rPr>
          <w:spacing w:val="-3"/>
          <w:sz w:val="15"/>
        </w:rPr>
        <w:t>材</w:t>
      </w:r>
      <w:r>
        <w:rPr>
          <w:sz w:val="15"/>
        </w:rPr>
        <w:t>料</w:t>
      </w:r>
      <w:r>
        <w:rPr>
          <w:spacing w:val="-3"/>
          <w:sz w:val="15"/>
        </w:rPr>
        <w:t>、</w:t>
      </w:r>
      <w:r>
        <w:rPr>
          <w:sz w:val="15"/>
        </w:rPr>
        <w:t>转</w:t>
      </w:r>
      <w:r>
        <w:rPr>
          <w:spacing w:val="-3"/>
          <w:sz w:val="15"/>
        </w:rPr>
        <w:t>换</w:t>
      </w:r>
      <w:r>
        <w:rPr>
          <w:sz w:val="15"/>
        </w:rPr>
        <w:t>激</w:t>
      </w:r>
      <w:r>
        <w:rPr>
          <w:spacing w:val="-3"/>
          <w:sz w:val="15"/>
        </w:rPr>
        <w:t>光</w:t>
      </w:r>
      <w:r>
        <w:rPr>
          <w:sz w:val="15"/>
        </w:rPr>
        <w:t>材</w:t>
      </w:r>
      <w:r>
        <w:rPr>
          <w:spacing w:val="-3"/>
          <w:sz w:val="15"/>
        </w:rPr>
        <w:t>料</w:t>
      </w:r>
      <w:r>
        <w:rPr>
          <w:sz w:val="15"/>
        </w:rPr>
        <w:t>的</w:t>
      </w:r>
      <w:r>
        <w:rPr>
          <w:spacing w:val="-3"/>
          <w:sz w:val="15"/>
        </w:rPr>
        <w:t>激</w:t>
      </w:r>
      <w:r>
        <w:rPr>
          <w:sz w:val="15"/>
        </w:rPr>
        <w:t>活</w:t>
      </w:r>
      <w:r>
        <w:rPr>
          <w:spacing w:val="-3"/>
          <w:sz w:val="15"/>
        </w:rPr>
        <w:t>离子</w:t>
      </w:r>
      <w:r>
        <w:rPr>
          <w:sz w:val="15"/>
        </w:rPr>
        <w:t>、眼</w:t>
      </w:r>
      <w:r>
        <w:rPr>
          <w:spacing w:val="-3"/>
          <w:sz w:val="15"/>
        </w:rPr>
        <w:t>镜</w:t>
      </w:r>
      <w:r>
        <w:rPr>
          <w:sz w:val="15"/>
        </w:rPr>
        <w:t>片</w:t>
      </w:r>
      <w:r>
        <w:rPr>
          <w:spacing w:val="-3"/>
          <w:sz w:val="15"/>
        </w:rPr>
        <w:t>玻</w:t>
      </w:r>
      <w:r>
        <w:rPr>
          <w:sz w:val="15"/>
        </w:rPr>
        <w:t>璃</w:t>
      </w:r>
      <w:r>
        <w:rPr>
          <w:spacing w:val="-3"/>
          <w:sz w:val="15"/>
        </w:rPr>
        <w:t>、</w:t>
      </w:r>
      <w:r>
        <w:rPr>
          <w:sz w:val="15"/>
        </w:rPr>
        <w:t>结</w:t>
      </w:r>
      <w:r>
        <w:rPr>
          <w:spacing w:val="-3"/>
          <w:sz w:val="15"/>
        </w:rPr>
        <w:t>晶</w:t>
      </w:r>
      <w:r>
        <w:rPr>
          <w:sz w:val="15"/>
        </w:rPr>
        <w:t>玻</w:t>
      </w:r>
      <w:r>
        <w:rPr>
          <w:spacing w:val="-3"/>
          <w:sz w:val="15"/>
        </w:rPr>
        <w:t>璃</w:t>
      </w:r>
      <w:r>
        <w:rPr>
          <w:sz w:val="15"/>
        </w:rPr>
        <w:t>的</w:t>
      </w:r>
      <w:r>
        <w:rPr>
          <w:spacing w:val="-3"/>
          <w:sz w:val="15"/>
        </w:rPr>
        <w:t>脱</w:t>
      </w:r>
      <w:r>
        <w:rPr>
          <w:sz w:val="15"/>
        </w:rPr>
        <w:t>色</w:t>
      </w:r>
      <w:r>
        <w:rPr>
          <w:spacing w:val="-3"/>
          <w:sz w:val="15"/>
        </w:rPr>
        <w:t>和着</w:t>
      </w:r>
      <w:r>
        <w:rPr>
          <w:sz w:val="15"/>
        </w:rPr>
        <w:t>色</w:t>
      </w:r>
    </w:p>
    <w:p>
      <w:pPr>
        <w:pStyle w:val="BodyText"/>
        <w:spacing w:line="20" w:lineRule="exact"/>
        <w:ind w:left="1385"/>
        <w:rPr>
          <w:sz w:val="2"/>
        </w:rPr>
      </w:pPr>
      <w:r>
        <w:rPr>
          <w:sz w:val="2"/>
        </w:rPr>
        <w:pict>
          <v:group id="_x0000_i1101" style="width:444.8pt;height:0.5pt;mso-position-horizontal-relative:char;mso-position-vertical-relative:line" coordorigin="0,0" coordsize="8896,10">
            <v:line id="_x0000_s1102" style="position:absolute" from="0,5" to="934,5" stroked="t" strokecolor="black" strokeweight="0.48pt">
              <v:stroke dashstyle="solid"/>
            </v:line>
            <v:rect id="_x0000_s1103" style="width:10;height:10;left:933;position:absolute" filled="t" fillcolor="black" stroked="f">
              <v:fill type="solid"/>
            </v:rect>
            <v:line id="_x0000_s1104" style="position:absolute" from="943,5" to="8896,5" stroked="t" strokecolor="black" strokeweight="0.48pt">
              <v:stroke dashstyle="solid"/>
            </v:line>
            <w10:wrap type="none"/>
          </v:group>
        </w:pict>
      </w:r>
    </w:p>
    <w:p>
      <w:pPr>
        <w:tabs>
          <w:tab w:val="left" w:pos="3075"/>
        </w:tabs>
        <w:spacing w:before="51"/>
        <w:ind w:left="1555" w:right="0" w:firstLine="0"/>
        <w:jc w:val="left"/>
        <w:rPr>
          <w:sz w:val="15"/>
        </w:rPr>
      </w:pPr>
      <w:r>
        <w:pict>
          <v:group id="_x0000_s1105" style="width:444.8pt;height:0.5pt;margin-top:15.09pt;margin-left:102.5pt;mso-position-horizontal-relative:page;mso-wrap-distance-left:0;mso-wrap-distance-right:0;position:absolute;z-index:-251640832" coordorigin="2050,302" coordsize="8896,10">
            <v:line id="_x0000_s1106" style="position:absolute" from="2050,307" to="2984,307" stroked="t" strokecolor="black" strokeweight="0.48pt">
              <v:stroke dashstyle="solid"/>
            </v:line>
            <v:rect id="_x0000_s1107" style="width:10;height:10;left:2983;position:absolute;top:301" filled="t" fillcolor="black" stroked="f">
              <v:fill type="solid"/>
            </v:rect>
            <v:line id="_x0000_s1108" style="position:absolute" from="2993,307" to="10946,307" stroked="t" strokecolor="black" strokeweight="0.48pt">
              <v:stroke dashstyle="solid"/>
            </v:line>
            <w10:wrap type="topAndBottom"/>
          </v:group>
        </w:pict>
      </w:r>
      <w:r>
        <w:rPr>
          <w:sz w:val="15"/>
        </w:rPr>
        <w:t>铥（Tm）</w:t>
        <w:tab/>
        <w:t>便携</w:t>
      </w:r>
      <w:r>
        <w:rPr>
          <w:spacing w:val="-3"/>
          <w:sz w:val="15"/>
        </w:rPr>
        <w:t>式</w:t>
      </w:r>
      <w:r>
        <w:rPr>
          <w:sz w:val="15"/>
        </w:rPr>
        <w:t>血</w:t>
      </w:r>
      <w:r>
        <w:rPr>
          <w:spacing w:val="-3"/>
          <w:sz w:val="15"/>
        </w:rPr>
        <w:t>液</w:t>
      </w:r>
      <w:r>
        <w:rPr>
          <w:sz w:val="15"/>
        </w:rPr>
        <w:t>辐</w:t>
      </w:r>
      <w:r>
        <w:rPr>
          <w:spacing w:val="-3"/>
          <w:sz w:val="15"/>
        </w:rPr>
        <w:t>照</w:t>
      </w:r>
      <w:r>
        <w:rPr>
          <w:sz w:val="15"/>
        </w:rPr>
        <w:t>仪</w:t>
      </w:r>
      <w:r>
        <w:rPr>
          <w:spacing w:val="-3"/>
          <w:sz w:val="15"/>
        </w:rPr>
        <w:t>、</w:t>
      </w:r>
      <w:r>
        <w:rPr>
          <w:sz w:val="15"/>
        </w:rPr>
        <w:t>临</w:t>
      </w:r>
      <w:r>
        <w:rPr>
          <w:spacing w:val="-3"/>
          <w:sz w:val="15"/>
        </w:rPr>
        <w:t>床</w:t>
      </w:r>
      <w:r>
        <w:rPr>
          <w:sz w:val="15"/>
        </w:rPr>
        <w:t>诊</w:t>
      </w:r>
      <w:r>
        <w:rPr>
          <w:spacing w:val="-3"/>
          <w:sz w:val="15"/>
        </w:rPr>
        <w:t>断</w:t>
      </w:r>
      <w:r>
        <w:rPr>
          <w:sz w:val="15"/>
        </w:rPr>
        <w:t>和</w:t>
      </w:r>
      <w:r>
        <w:rPr>
          <w:spacing w:val="-3"/>
          <w:sz w:val="15"/>
        </w:rPr>
        <w:t>治疗</w:t>
      </w:r>
      <w:r>
        <w:rPr>
          <w:sz w:val="15"/>
        </w:rPr>
        <w:t>肿瘤</w:t>
      </w:r>
      <w:r>
        <w:rPr>
          <w:spacing w:val="-3"/>
          <w:sz w:val="15"/>
        </w:rPr>
        <w:t>、</w:t>
      </w:r>
      <w:r>
        <w:rPr>
          <w:sz w:val="15"/>
        </w:rPr>
        <w:t>激</w:t>
      </w:r>
      <w:r>
        <w:rPr>
          <w:spacing w:val="-3"/>
          <w:sz w:val="15"/>
        </w:rPr>
        <w:t>活</w:t>
      </w:r>
      <w:r>
        <w:rPr>
          <w:sz w:val="15"/>
        </w:rPr>
        <w:t>剂</w:t>
      </w:r>
      <w:r>
        <w:rPr>
          <w:spacing w:val="-3"/>
          <w:sz w:val="15"/>
        </w:rPr>
        <w:t>、</w:t>
      </w:r>
      <w:r>
        <w:rPr>
          <w:sz w:val="15"/>
        </w:rPr>
        <w:t>稀</w:t>
      </w:r>
      <w:r>
        <w:rPr>
          <w:spacing w:val="-3"/>
          <w:sz w:val="15"/>
        </w:rPr>
        <w:t>土</w:t>
      </w:r>
      <w:r>
        <w:rPr>
          <w:sz w:val="15"/>
        </w:rPr>
        <w:t>玻</w:t>
      </w:r>
      <w:r>
        <w:rPr>
          <w:spacing w:val="-3"/>
          <w:sz w:val="15"/>
        </w:rPr>
        <w:t>璃</w:t>
      </w:r>
      <w:r>
        <w:rPr>
          <w:sz w:val="15"/>
        </w:rPr>
        <w:t>激</w:t>
      </w:r>
      <w:r>
        <w:rPr>
          <w:spacing w:val="-3"/>
          <w:sz w:val="15"/>
        </w:rPr>
        <w:t>光</w:t>
      </w:r>
      <w:r>
        <w:rPr>
          <w:sz w:val="15"/>
        </w:rPr>
        <w:t>材</w:t>
      </w:r>
      <w:r>
        <w:rPr>
          <w:spacing w:val="-3"/>
          <w:sz w:val="15"/>
        </w:rPr>
        <w:t>料、</w:t>
      </w:r>
      <w:r>
        <w:rPr>
          <w:sz w:val="15"/>
        </w:rPr>
        <w:t>转换</w:t>
      </w:r>
      <w:r>
        <w:rPr>
          <w:spacing w:val="-3"/>
          <w:sz w:val="15"/>
        </w:rPr>
        <w:t>激</w:t>
      </w:r>
      <w:r>
        <w:rPr>
          <w:sz w:val="15"/>
        </w:rPr>
        <w:t>光</w:t>
      </w:r>
      <w:r>
        <w:rPr>
          <w:spacing w:val="-3"/>
          <w:sz w:val="15"/>
        </w:rPr>
        <w:t>材</w:t>
      </w:r>
      <w:r>
        <w:rPr>
          <w:sz w:val="15"/>
        </w:rPr>
        <w:t>料</w:t>
      </w:r>
      <w:r>
        <w:rPr>
          <w:spacing w:val="-3"/>
          <w:sz w:val="15"/>
        </w:rPr>
        <w:t>的</w:t>
      </w:r>
      <w:r>
        <w:rPr>
          <w:sz w:val="15"/>
        </w:rPr>
        <w:t>激</w:t>
      </w:r>
      <w:r>
        <w:rPr>
          <w:spacing w:val="-3"/>
          <w:sz w:val="15"/>
        </w:rPr>
        <w:t>活</w:t>
      </w:r>
      <w:r>
        <w:rPr>
          <w:sz w:val="15"/>
        </w:rPr>
        <w:t>离子</w:t>
      </w:r>
    </w:p>
    <w:p>
      <w:pPr>
        <w:tabs>
          <w:tab w:val="left" w:pos="1879"/>
        </w:tabs>
        <w:spacing w:before="32" w:after="58"/>
        <w:ind w:left="209" w:right="0" w:firstLine="0"/>
        <w:jc w:val="center"/>
        <w:rPr>
          <w:sz w:val="15"/>
        </w:rPr>
      </w:pPr>
      <w:r>
        <w:rPr>
          <w:sz w:val="15"/>
        </w:rPr>
        <w:t>镱（Yb）</w:t>
        <w:tab/>
        <w:t>热屏</w:t>
      </w:r>
      <w:r>
        <w:rPr>
          <w:spacing w:val="-3"/>
          <w:sz w:val="15"/>
        </w:rPr>
        <w:t>蔽</w:t>
      </w:r>
      <w:r>
        <w:rPr>
          <w:sz w:val="15"/>
        </w:rPr>
        <w:t>涂</w:t>
      </w:r>
      <w:r>
        <w:rPr>
          <w:spacing w:val="-3"/>
          <w:sz w:val="15"/>
        </w:rPr>
        <w:t>层</w:t>
      </w:r>
      <w:r>
        <w:rPr>
          <w:sz w:val="15"/>
        </w:rPr>
        <w:t>材</w:t>
      </w:r>
      <w:r>
        <w:rPr>
          <w:spacing w:val="-3"/>
          <w:sz w:val="15"/>
        </w:rPr>
        <w:t>料</w:t>
      </w:r>
      <w:r>
        <w:rPr>
          <w:sz w:val="15"/>
        </w:rPr>
        <w:t>、</w:t>
      </w:r>
      <w:r>
        <w:rPr>
          <w:spacing w:val="-3"/>
          <w:sz w:val="15"/>
        </w:rPr>
        <w:t>磁</w:t>
      </w:r>
      <w:r>
        <w:rPr>
          <w:sz w:val="15"/>
        </w:rPr>
        <w:t>致</w:t>
      </w:r>
      <w:r>
        <w:rPr>
          <w:spacing w:val="-3"/>
          <w:sz w:val="15"/>
        </w:rPr>
        <w:t>伸</w:t>
      </w:r>
      <w:r>
        <w:rPr>
          <w:sz w:val="15"/>
        </w:rPr>
        <w:t>缩</w:t>
      </w:r>
      <w:r>
        <w:rPr>
          <w:spacing w:val="-3"/>
          <w:sz w:val="15"/>
        </w:rPr>
        <w:t>材</w:t>
      </w:r>
      <w:r>
        <w:rPr>
          <w:sz w:val="15"/>
        </w:rPr>
        <w:t>料</w:t>
      </w:r>
      <w:r>
        <w:rPr>
          <w:spacing w:val="-3"/>
          <w:sz w:val="15"/>
        </w:rPr>
        <w:t>、磨</w:t>
      </w:r>
      <w:r>
        <w:rPr>
          <w:sz w:val="15"/>
        </w:rPr>
        <w:t>牙空</w:t>
      </w:r>
      <w:r>
        <w:rPr>
          <w:spacing w:val="-3"/>
          <w:sz w:val="15"/>
        </w:rPr>
        <w:t>洞</w:t>
      </w:r>
      <w:r>
        <w:rPr>
          <w:sz w:val="15"/>
        </w:rPr>
        <w:t>的</w:t>
      </w:r>
      <w:r>
        <w:rPr>
          <w:spacing w:val="-3"/>
          <w:sz w:val="15"/>
        </w:rPr>
        <w:t>树</w:t>
      </w:r>
      <w:r>
        <w:rPr>
          <w:sz w:val="15"/>
        </w:rPr>
        <w:t>脂</w:t>
      </w:r>
      <w:r>
        <w:rPr>
          <w:spacing w:val="-3"/>
          <w:sz w:val="15"/>
        </w:rPr>
        <w:t>基</w:t>
      </w:r>
      <w:r>
        <w:rPr>
          <w:sz w:val="15"/>
        </w:rPr>
        <w:t>填</w:t>
      </w:r>
      <w:r>
        <w:rPr>
          <w:spacing w:val="-3"/>
          <w:sz w:val="15"/>
        </w:rPr>
        <w:t>料</w:t>
      </w:r>
      <w:r>
        <w:rPr>
          <w:sz w:val="15"/>
        </w:rPr>
        <w:t>、</w:t>
      </w:r>
      <w:r>
        <w:rPr>
          <w:spacing w:val="-3"/>
          <w:sz w:val="15"/>
        </w:rPr>
        <w:t>激</w:t>
      </w:r>
      <w:r>
        <w:rPr>
          <w:sz w:val="15"/>
        </w:rPr>
        <w:t>光</w:t>
      </w:r>
      <w:r>
        <w:rPr>
          <w:spacing w:val="-3"/>
          <w:sz w:val="15"/>
        </w:rPr>
        <w:t>、</w:t>
      </w:r>
      <w:r>
        <w:rPr>
          <w:sz w:val="15"/>
        </w:rPr>
        <w:t>荧</w:t>
      </w:r>
      <w:r>
        <w:rPr>
          <w:spacing w:val="-3"/>
          <w:sz w:val="15"/>
        </w:rPr>
        <w:t>光粉</w:t>
      </w:r>
      <w:r>
        <w:rPr>
          <w:sz w:val="15"/>
        </w:rPr>
        <w:t>激活</w:t>
      </w:r>
      <w:r>
        <w:rPr>
          <w:spacing w:val="-3"/>
          <w:sz w:val="15"/>
        </w:rPr>
        <w:t>剂</w:t>
      </w:r>
      <w:r>
        <w:rPr>
          <w:sz w:val="15"/>
        </w:rPr>
        <w:t>、</w:t>
      </w:r>
      <w:r>
        <w:rPr>
          <w:spacing w:val="-3"/>
          <w:sz w:val="15"/>
        </w:rPr>
        <w:t>无</w:t>
      </w:r>
      <w:r>
        <w:rPr>
          <w:sz w:val="15"/>
        </w:rPr>
        <w:t>线</w:t>
      </w:r>
      <w:r>
        <w:rPr>
          <w:spacing w:val="-3"/>
          <w:sz w:val="15"/>
        </w:rPr>
        <w:t>电</w:t>
      </w:r>
      <w:r>
        <w:rPr>
          <w:sz w:val="15"/>
        </w:rPr>
        <w:t>陶瓷</w:t>
      </w:r>
    </w:p>
    <w:p>
      <w:pPr>
        <w:pStyle w:val="BodyText"/>
        <w:spacing w:line="20" w:lineRule="exact"/>
        <w:ind w:left="1385"/>
        <w:rPr>
          <w:sz w:val="2"/>
        </w:rPr>
      </w:pPr>
      <w:r>
        <w:rPr>
          <w:sz w:val="2"/>
        </w:rPr>
        <w:pict>
          <v:group id="_x0000_i1109" style="width:444.8pt;height:0.5pt;mso-position-horizontal-relative:char;mso-position-vertical-relative:line" coordorigin="0,0" coordsize="8896,10">
            <v:line id="_x0000_s1110" style="position:absolute" from="0,5" to="934,5" stroked="t" strokecolor="black" strokeweight="0.48pt">
              <v:stroke dashstyle="solid"/>
            </v:line>
            <v:rect id="_x0000_s1111" style="width:10;height:10;left:933;position:absolute" filled="t" fillcolor="black" stroked="f">
              <v:fill type="solid"/>
            </v:rect>
            <v:line id="_x0000_s1112" style="position:absolute" from="943,5" to="8896,5" stroked="t" strokecolor="black" strokeweight="0.48pt">
              <v:stroke dashstyle="solid"/>
            </v:line>
            <w10:wrap type="none"/>
          </v:group>
        </w:pict>
      </w:r>
    </w:p>
    <w:p>
      <w:pPr>
        <w:tabs>
          <w:tab w:val="left" w:pos="2925"/>
        </w:tabs>
        <w:spacing w:before="51"/>
        <w:ind w:left="1555" w:right="0" w:firstLine="0"/>
        <w:jc w:val="left"/>
        <w:rPr>
          <w:sz w:val="15"/>
        </w:rPr>
      </w:pPr>
      <w:r>
        <w:pict>
          <v:group id="_x0000_s1113" style="width:509.9pt;height:1pt;margin-top:15.21pt;margin-left:42.84pt;mso-position-horizontal-relative:page;mso-wrap-distance-left:0;mso-wrap-distance-right:0;position:absolute;z-index:-251639808" coordorigin="857,304" coordsize="10198,20">
            <v:line id="_x0000_s1114" style="position:absolute" from="965,309" to="2050,309" stroked="t" strokecolor="black" strokeweight="0.48pt">
              <v:stroke dashstyle="solid"/>
            </v:line>
            <v:line id="_x0000_s1115" style="position:absolute" from="857,319" to="11054,319" stroked="t" strokecolor="#013e96" strokeweight="0.48pt">
              <v:stroke dashstyle="solid"/>
            </v:line>
            <w10:wrap type="topAndBottom"/>
          </v:group>
        </w:pict>
      </w:r>
      <w:r>
        <w:rPr>
          <w:sz w:val="15"/>
        </w:rPr>
        <w:t>镥（Lu）</w:t>
        <w:tab/>
        <w:t>特殊</w:t>
      </w:r>
      <w:r>
        <w:rPr>
          <w:spacing w:val="-3"/>
          <w:sz w:val="15"/>
        </w:rPr>
        <w:t>合</w:t>
      </w:r>
      <w:r>
        <w:rPr>
          <w:sz w:val="15"/>
        </w:rPr>
        <w:t>金</w:t>
      </w:r>
      <w:r>
        <w:rPr>
          <w:spacing w:val="-3"/>
          <w:sz w:val="15"/>
        </w:rPr>
        <w:t>、</w:t>
      </w:r>
      <w:r>
        <w:rPr>
          <w:sz w:val="15"/>
        </w:rPr>
        <w:t>催</w:t>
      </w:r>
      <w:r>
        <w:rPr>
          <w:spacing w:val="-3"/>
          <w:sz w:val="15"/>
        </w:rPr>
        <w:t>化</w:t>
      </w:r>
      <w:r>
        <w:rPr>
          <w:sz w:val="15"/>
        </w:rPr>
        <w:t>、</w:t>
      </w:r>
      <w:r>
        <w:rPr>
          <w:spacing w:val="-3"/>
          <w:sz w:val="15"/>
        </w:rPr>
        <w:t>磁</w:t>
      </w:r>
      <w:r>
        <w:rPr>
          <w:sz w:val="15"/>
        </w:rPr>
        <w:t>泡</w:t>
      </w:r>
      <w:r>
        <w:rPr>
          <w:spacing w:val="-3"/>
          <w:sz w:val="15"/>
        </w:rPr>
        <w:t>贮</w:t>
      </w:r>
      <w:r>
        <w:rPr>
          <w:sz w:val="15"/>
        </w:rPr>
        <w:t>存</w:t>
      </w:r>
      <w:r>
        <w:rPr>
          <w:spacing w:val="-3"/>
          <w:sz w:val="15"/>
        </w:rPr>
        <w:t>器</w:t>
      </w:r>
      <w:r>
        <w:rPr>
          <w:sz w:val="15"/>
        </w:rPr>
        <w:t>、</w:t>
      </w:r>
      <w:r>
        <w:rPr>
          <w:spacing w:val="-3"/>
          <w:sz w:val="15"/>
        </w:rPr>
        <w:t>盐溶</w:t>
      </w:r>
      <w:r>
        <w:rPr>
          <w:sz w:val="15"/>
        </w:rPr>
        <w:t>液冷</w:t>
      </w:r>
      <w:r>
        <w:rPr>
          <w:spacing w:val="-3"/>
          <w:sz w:val="15"/>
        </w:rPr>
        <w:t>却</w:t>
      </w:r>
      <w:r>
        <w:rPr>
          <w:sz w:val="15"/>
        </w:rPr>
        <w:t>生</w:t>
      </w:r>
      <w:r>
        <w:rPr>
          <w:spacing w:val="-3"/>
          <w:sz w:val="15"/>
        </w:rPr>
        <w:t>长</w:t>
      </w:r>
      <w:r>
        <w:rPr>
          <w:sz w:val="15"/>
        </w:rPr>
        <w:t>晶</w:t>
      </w:r>
      <w:r>
        <w:rPr>
          <w:spacing w:val="-3"/>
          <w:sz w:val="15"/>
        </w:rPr>
        <w:t>体</w:t>
      </w:r>
      <w:r>
        <w:rPr>
          <w:sz w:val="15"/>
        </w:rPr>
        <w:t>、</w:t>
      </w:r>
      <w:r>
        <w:rPr>
          <w:spacing w:val="-3"/>
          <w:sz w:val="15"/>
        </w:rPr>
        <w:t>电</w:t>
      </w:r>
      <w:r>
        <w:rPr>
          <w:sz w:val="15"/>
        </w:rPr>
        <w:t>致</w:t>
      </w:r>
      <w:r>
        <w:rPr>
          <w:spacing w:val="-3"/>
          <w:sz w:val="15"/>
        </w:rPr>
        <w:t>变</w:t>
      </w:r>
      <w:r>
        <w:rPr>
          <w:sz w:val="15"/>
        </w:rPr>
        <w:t>色</w:t>
      </w:r>
      <w:r>
        <w:rPr>
          <w:spacing w:val="-3"/>
          <w:sz w:val="15"/>
        </w:rPr>
        <w:t>显</w:t>
      </w:r>
      <w:r>
        <w:rPr>
          <w:sz w:val="15"/>
        </w:rPr>
        <w:t>示</w:t>
      </w:r>
      <w:r>
        <w:rPr>
          <w:spacing w:val="-3"/>
          <w:sz w:val="15"/>
        </w:rPr>
        <w:t>、低</w:t>
      </w:r>
      <w:r>
        <w:rPr>
          <w:sz w:val="15"/>
        </w:rPr>
        <w:t>维分</w:t>
      </w:r>
      <w:r>
        <w:rPr>
          <w:spacing w:val="-3"/>
          <w:sz w:val="15"/>
        </w:rPr>
        <w:t>子</w:t>
      </w:r>
      <w:r>
        <w:rPr>
          <w:sz w:val="15"/>
        </w:rPr>
        <w:t>半</w:t>
      </w:r>
      <w:r>
        <w:rPr>
          <w:spacing w:val="-3"/>
          <w:sz w:val="15"/>
        </w:rPr>
        <w:t>导</w:t>
      </w:r>
      <w:r>
        <w:rPr>
          <w:sz w:val="15"/>
        </w:rPr>
        <w:t>体</w:t>
      </w:r>
      <w:r>
        <w:rPr>
          <w:spacing w:val="-3"/>
          <w:sz w:val="15"/>
        </w:rPr>
        <w:t>、</w:t>
      </w:r>
      <w:r>
        <w:rPr>
          <w:sz w:val="15"/>
        </w:rPr>
        <w:t>能</w:t>
      </w:r>
      <w:r>
        <w:rPr>
          <w:spacing w:val="-3"/>
          <w:sz w:val="15"/>
        </w:rPr>
        <w:t>源</w:t>
      </w:r>
      <w:r>
        <w:rPr>
          <w:sz w:val="15"/>
        </w:rPr>
        <w:t>电</w:t>
      </w:r>
      <w:r>
        <w:rPr>
          <w:spacing w:val="-3"/>
          <w:sz w:val="15"/>
        </w:rPr>
        <w:t>池</w:t>
      </w:r>
      <w:r>
        <w:rPr>
          <w:sz w:val="15"/>
        </w:rPr>
        <w:t>技术</w:t>
      </w:r>
    </w:p>
    <w:p>
      <w:pPr>
        <w:spacing w:before="70"/>
        <w:ind w:left="304" w:right="0" w:firstLine="0"/>
        <w:jc w:val="left"/>
        <w:rPr>
          <w:sz w:val="15"/>
        </w:rPr>
      </w:pPr>
      <w:r>
        <w:t xml:space="preserve">数据来源：亚洲金属网，粉体网， </w:t>
      </w:r>
    </w:p>
    <w:p>
      <w:pPr>
        <w:pStyle w:val="BodyText"/>
        <w:spacing w:before="6"/>
        <w:rPr>
          <w:sz w:val="19"/>
        </w:rPr>
      </w:pPr>
    </w:p>
    <w:p>
      <w:pPr>
        <w:pStyle w:val="BodyText"/>
        <w:spacing w:before="72" w:line="348" w:lineRule="auto"/>
        <w:ind w:left="2712" w:right="217" w:firstLine="423"/>
      </w:pPr>
      <w:r>
        <w:rPr>
          <w:b/>
          <w:spacing w:val="-9"/>
        </w:rPr>
        <w:t>稀土矿主要有四种—氟碳铈矿、独居石、磷钇矿和风化壳淋积型矿</w:t>
      </w:r>
      <w:r>
        <w:rPr>
          <w:b/>
        </w:rPr>
        <w:t>（</w:t>
      </w:r>
      <w:r>
        <w:rPr>
          <w:b/>
          <w:spacing w:val="-3"/>
        </w:rPr>
        <w:t>离子吸附型稀土</w:t>
      </w:r>
      <w:r>
        <w:rPr>
          <w:b/>
          <w:spacing w:val="-106"/>
        </w:rPr>
        <w:t>）</w:t>
      </w:r>
      <w:r>
        <w:rPr>
          <w:b/>
          <w:spacing w:val="-5"/>
        </w:rPr>
        <w:t>。</w:t>
      </w:r>
      <w:r>
        <w:rPr>
          <w:spacing w:val="-5"/>
        </w:rPr>
        <w:t>在自然界中，稀土元素主要以稀土氧化物</w:t>
      </w:r>
      <w:r>
        <w:rPr>
          <w:spacing w:val="-3"/>
        </w:rPr>
        <w:t>（</w:t>
      </w:r>
      <w:r>
        <w:rPr>
          <w:rFonts w:ascii="Arial" w:eastAsia="Arial" w:hAnsi="Arial"/>
          <w:spacing w:val="-3"/>
        </w:rPr>
        <w:t>REO</w:t>
      </w:r>
      <w:r>
        <w:rPr>
          <w:spacing w:val="-3"/>
        </w:rPr>
        <w:t>）</w:t>
      </w:r>
      <w:r>
        <w:rPr>
          <w:spacing w:val="-4"/>
        </w:rPr>
        <w:t>的形式存在，分离难度较</w:t>
      </w:r>
      <w:r>
        <w:rPr>
          <w:spacing w:val="-9"/>
        </w:rPr>
        <w:t xml:space="preserve">高。目前已发现的稀土矿物和含稀土元素的矿物约有 </w:t>
      </w:r>
      <w:r>
        <w:rPr>
          <w:rFonts w:ascii="Arial" w:eastAsia="Arial" w:hAnsi="Arial"/>
        </w:rPr>
        <w:t xml:space="preserve">250 </w:t>
      </w:r>
      <w:r>
        <w:rPr>
          <w:spacing w:val="-18"/>
        </w:rPr>
        <w:t xml:space="preserve">种，其中 </w:t>
      </w:r>
      <w:r>
        <w:rPr>
          <w:rFonts w:ascii="Arial" w:eastAsia="Arial" w:hAnsi="Arial"/>
        </w:rPr>
        <w:t>50</w:t>
      </w:r>
      <w:r>
        <w:t>～</w:t>
      </w:r>
      <w:r>
        <w:rPr>
          <w:rFonts w:ascii="Arial" w:eastAsia="Arial" w:hAnsi="Arial"/>
        </w:rPr>
        <w:t xml:space="preserve">65 </w:t>
      </w:r>
      <w:r>
        <w:rPr>
          <w:spacing w:val="-1"/>
        </w:rPr>
        <w:t>种稀土含量Σ</w:t>
      </w:r>
      <w:r>
        <w:rPr>
          <w:rFonts w:ascii="Arial" w:eastAsia="Arial" w:hAnsi="Arial"/>
          <w:spacing w:val="-1"/>
        </w:rPr>
        <w:t>REE&gt;5.8%</w:t>
      </w:r>
      <w:r>
        <w:rPr>
          <w:spacing w:val="-14"/>
        </w:rPr>
        <w:t xml:space="preserve">的可视为稀土独立的矿物，具备工业价值的稀土矿物只有 </w:t>
      </w:r>
      <w:r>
        <w:rPr>
          <w:rFonts w:ascii="Arial" w:eastAsia="Arial" w:hAnsi="Arial"/>
        </w:rPr>
        <w:t>50</w:t>
      </w:r>
      <w:r>
        <w:t>～</w:t>
      </w:r>
      <w:r>
        <w:rPr>
          <w:rFonts w:ascii="Arial" w:eastAsia="Arial" w:hAnsi="Arial"/>
        </w:rPr>
        <w:t xml:space="preserve">60 </w:t>
      </w:r>
      <w:r>
        <w:t xml:space="preserve">种， </w:t>
      </w:r>
      <w:r>
        <w:rPr>
          <w:spacing w:val="-6"/>
        </w:rPr>
        <w:t xml:space="preserve">适合现今选冶条件的稀土矿物仅有 </w:t>
      </w:r>
      <w:r>
        <w:rPr>
          <w:rFonts w:ascii="Arial" w:eastAsia="Arial" w:hAnsi="Arial"/>
        </w:rPr>
        <w:t xml:space="preserve">10 </w:t>
      </w:r>
      <w:r>
        <w:rPr>
          <w:spacing w:val="-3"/>
        </w:rPr>
        <w:t>余种，用于工业提取稀土元素的矿物主要有四</w:t>
      </w:r>
      <w:r>
        <w:rPr>
          <w:spacing w:val="-3"/>
          <w:w w:val="100"/>
        </w:rPr>
        <w:t>种—氟碳铈矿、独居石、磷钇矿和风化壳淋积型矿</w:t>
      </w:r>
      <w:r>
        <w:rPr>
          <w:w w:val="100"/>
        </w:rPr>
        <w:t>（</w:t>
      </w:r>
      <w:r>
        <w:rPr>
          <w:spacing w:val="-1"/>
          <w:w w:val="100"/>
        </w:rPr>
        <w:t>离子吸附型稀土</w:t>
      </w:r>
      <w:r>
        <w:rPr>
          <w:spacing w:val="-106"/>
          <w:w w:val="100"/>
        </w:rPr>
        <w:t>）</w:t>
      </w:r>
      <w:r>
        <w:rPr>
          <w:spacing w:val="-3"/>
          <w:w w:val="100"/>
        </w:rPr>
        <w:t>，前三种矿占</w:t>
      </w:r>
      <w:r>
        <w:rPr>
          <w:spacing w:val="-8"/>
        </w:rPr>
        <w:t xml:space="preserve">西方稀土产量的 </w:t>
      </w:r>
      <w:r>
        <w:rPr>
          <w:rFonts w:ascii="Arial" w:eastAsia="Arial" w:hAnsi="Arial"/>
        </w:rPr>
        <w:t>95%</w:t>
      </w:r>
      <w:r>
        <w:rPr>
          <w:spacing w:val="-13"/>
        </w:rPr>
        <w:t>以上。独居石和氟碳铈矿中，轻稀土含量较高；磷钇矿中，重稀</w:t>
      </w:r>
      <w:r>
        <w:rPr>
          <w:spacing w:val="-6"/>
        </w:rPr>
        <w:t>土含量较高，但矿源比独居石少。</w:t>
      </w:r>
    </w:p>
    <w:p>
      <w:pPr>
        <w:spacing w:before="148"/>
        <w:ind w:left="307" w:right="0" w:firstLine="0"/>
        <w:jc w:val="left"/>
        <w:rPr>
          <w:b/>
          <w:i/>
          <w:sz w:val="22"/>
        </w:rPr>
      </w:pPr>
      <w:r>
        <w:pict>
          <v:shape id="_x0000_s1116" style="width:510.6pt;height:0.1pt;margin-top:26.56pt;margin-left:42.24pt;mso-position-horizontal-relative:page;mso-wrap-distance-left:0;mso-wrap-distance-right:0;position:absolute;z-index:-251638784" coordorigin="845,531" coordsize="10212,0" path="m845,531l11056,531e" filled="f" stroked="t" strokecolor="#013e96" strokeweight="0.48pt">
            <v:stroke dashstyle="solid"/>
            <v:path arrowok="t"/>
            <w10:wrap type="topAndBottom"/>
          </v:shape>
        </w:pict>
      </w:r>
      <w:r>
        <w:rPr>
          <w:b/>
          <w:i/>
          <w:sz w:val="22"/>
        </w:rPr>
        <w:t xml:space="preserve">图表 </w:t>
      </w:r>
      <w:r>
        <w:rPr>
          <w:rFonts w:ascii="Arial" w:eastAsia="Arial"/>
          <w:b/>
          <w:i/>
          <w:sz w:val="21"/>
        </w:rPr>
        <w:t>2</w:t>
      </w:r>
      <w:r>
        <w:rPr>
          <w:b/>
          <w:i/>
          <w:sz w:val="22"/>
        </w:rPr>
        <w:t>：全球主要稀土矿种类及其特点应用</w:t>
      </w:r>
    </w:p>
    <w:p>
      <w:pPr>
        <w:spacing w:after="0"/>
        <w:jc w:val="left"/>
        <w:rPr>
          <w:sz w:val="22"/>
        </w:rPr>
        <w:sectPr>
          <w:headerReference w:type="default" r:id="rId17"/>
          <w:footerReference w:type="default" r:id="rId18"/>
          <w:type w:val="continuous"/>
          <w:pgSz w:w="11910" w:h="16840"/>
          <w:pgMar w:top="1360" w:right="520" w:bottom="660" w:left="660" w:header="708" w:footer="708"/>
          <w:pgNumType w:start="7"/>
          <w:cols w:space="708"/>
        </w:sectPr>
      </w:pPr>
    </w:p>
    <w:p>
      <w:pPr>
        <w:pStyle w:val="BodyText"/>
        <w:rPr>
          <w:b/>
          <w:i/>
          <w:sz w:val="3"/>
        </w:rPr>
      </w:pPr>
    </w:p>
    <w:p>
      <w:pPr>
        <w:pStyle w:val="BodyText"/>
        <w:ind w:left="187"/>
        <w:rPr>
          <w:sz w:val="20"/>
        </w:rPr>
      </w:pPr>
      <w:r>
        <w:rPr>
          <w:sz w:val="20"/>
        </w:rPr>
        <w:pict>
          <v:group id="_x0000_i1117" style="width:510.35pt;height:266.25pt;mso-position-horizontal-relative:char;mso-position-vertical-relative:line" coordorigin="0,0" coordsize="10207,5325">
            <v:line id="_x0000_s1118" style="position:absolute" from="0,5" to="10207,5" stroked="t" strokecolor="#013e96" strokeweight="0.48pt">
              <v:stroke dashstyle="solid"/>
            </v:line>
            <v:line id="_x0000_s1119" style="position:absolute" from="0,5319" to="10207,5319" stroked="t" strokecolor="#013e96" strokeweight="0.48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20" type="#_x0000_t75" style="width:10096;height:5218;left:107;position:absolute;top:51" stroked="f">
              <v:imagedata r:id="rId19" o:title=""/>
            </v:shape>
            <w10:wrap type="none"/>
          </v:group>
        </w:pict>
      </w:r>
    </w:p>
    <w:p>
      <w:pPr>
        <w:spacing w:before="73"/>
        <w:ind w:left="300" w:right="0" w:firstLine="0"/>
        <w:jc w:val="left"/>
        <w:rPr>
          <w:sz w:val="15"/>
        </w:rPr>
      </w:pPr>
      <w:r>
        <w:t xml:space="preserve">数据来源：亚洲金属网， </w:t>
      </w:r>
    </w:p>
    <w:p>
      <w:pPr>
        <w:pStyle w:val="BodyText"/>
        <w:spacing w:before="9"/>
        <w:rPr>
          <w:sz w:val="19"/>
        </w:rPr>
      </w:pPr>
    </w:p>
    <w:p>
      <w:pPr>
        <w:spacing w:before="72" w:line="348" w:lineRule="auto"/>
        <w:ind w:left="2712" w:right="320" w:firstLine="423"/>
        <w:jc w:val="both"/>
        <w:rPr>
          <w:sz w:val="21"/>
        </w:rPr>
      </w:pPr>
      <w:r>
        <w:rPr>
          <w:b/>
          <w:spacing w:val="-8"/>
          <w:sz w:val="21"/>
        </w:rPr>
        <w:t>稀土开采和冶炼分离工艺较为复杂，存在较强的技术壁垒，目前仅有我国拥有全</w:t>
      </w:r>
      <w:r>
        <w:rPr>
          <w:b/>
          <w:spacing w:val="-9"/>
          <w:sz w:val="21"/>
        </w:rPr>
        <w:t>套稀土开采和冶炼分离生产工艺。</w:t>
      </w:r>
      <w:r>
        <w:rPr>
          <w:spacing w:val="-9"/>
          <w:sz w:val="21"/>
        </w:rPr>
        <w:t>稀土的生产包括采选、精矿分解、冶炼、萃取、提</w:t>
      </w:r>
      <w:r>
        <w:rPr>
          <w:spacing w:val="-11"/>
          <w:sz w:val="21"/>
        </w:rPr>
        <w:t>纯等环节，原矿首先经过选矿过程后制作成稀土精矿，精矿经过湿法冶炼或者火法冶炼后再进一步分离制作为氧化物，氧化物再通过稀土火法冶金</w:t>
      </w:r>
      <w:r>
        <w:rPr>
          <w:sz w:val="21"/>
        </w:rPr>
        <w:t>（</w:t>
      </w:r>
      <w:r>
        <w:rPr>
          <w:spacing w:val="-3"/>
          <w:sz w:val="21"/>
        </w:rPr>
        <w:t>熔融电解或热真空还原）</w:t>
      </w:r>
      <w:r>
        <w:rPr>
          <w:spacing w:val="-7"/>
          <w:sz w:val="21"/>
        </w:rPr>
        <w:t xml:space="preserve">制作为金属。由于 </w:t>
      </w:r>
      <w:r>
        <w:rPr>
          <w:rFonts w:ascii="Arial" w:eastAsia="Arial"/>
          <w:sz w:val="21"/>
        </w:rPr>
        <w:t xml:space="preserve">17 </w:t>
      </w:r>
      <w:r>
        <w:rPr>
          <w:spacing w:val="-3"/>
          <w:sz w:val="21"/>
        </w:rPr>
        <w:t>种稀土元素的物理性质和化学性质极其相近且稀土元素同</w:t>
      </w:r>
      <w:r>
        <w:rPr>
          <w:spacing w:val="-10"/>
          <w:sz w:val="21"/>
        </w:rPr>
        <w:t>伴生杂质元素较多，冶炼分离工艺较为复杂，存在较强的技术壁垒，目前仅有我国拥</w:t>
      </w:r>
      <w:r>
        <w:rPr>
          <w:spacing w:val="-5"/>
          <w:sz w:val="21"/>
        </w:rPr>
        <w:t>有全套的开采和冶炼分离工艺流程。</w:t>
      </w:r>
    </w:p>
    <w:p>
      <w:pPr>
        <w:spacing w:before="144" w:after="99"/>
        <w:ind w:left="307" w:right="0" w:firstLine="0"/>
        <w:jc w:val="left"/>
        <w:rPr>
          <w:b/>
          <w:i/>
          <w:sz w:val="22"/>
        </w:rPr>
      </w:pPr>
      <w:r>
        <w:rPr>
          <w:b/>
          <w:i/>
          <w:sz w:val="22"/>
        </w:rPr>
        <w:t xml:space="preserve">图表 </w:t>
      </w:r>
      <w:r>
        <w:rPr>
          <w:rFonts w:ascii="Arial" w:eastAsia="Arial"/>
          <w:b/>
          <w:i/>
          <w:sz w:val="21"/>
        </w:rPr>
        <w:t>3</w:t>
      </w:r>
      <w:r>
        <w:rPr>
          <w:b/>
          <w:i/>
          <w:sz w:val="22"/>
        </w:rPr>
        <w:t>：稀土开采和冶炼分离主要过程</w:t>
      </w:r>
    </w:p>
    <w:p>
      <w:pPr>
        <w:pStyle w:val="BodyText"/>
        <w:ind w:left="179"/>
        <w:rPr>
          <w:sz w:val="20"/>
        </w:rPr>
      </w:pPr>
      <w:r>
        <w:rPr>
          <w:sz w:val="20"/>
        </w:rPr>
        <w:pict>
          <v:group id="_x0000_i1121" style="width:510.7pt;height:20.4pt;mso-position-horizontal-relative:char;mso-position-vertical-relative:line" coordorigin="0,0" coordsize="10214,408">
            <v:rect id="_x0000_s1122" style="width:108;height:389;left:1226;position:absolute;top:19" filled="t" fillcolor="#4774ca" stroked="f">
              <v:fill type="solid"/>
            </v:rect>
            <v:rect id="_x0000_s1123" style="width:108;height:389;left:115;position:absolute;top:19" filled="t" fillcolor="#4774ca" stroked="f">
              <v:fill type="solid"/>
            </v:rect>
            <v:rect id="_x0000_s1124" style="width:1004;height:389;left:223;position:absolute;top:19" filled="t" fillcolor="#4774ca" stroked="f">
              <v:fill type="solid"/>
            </v:rect>
            <v:rect id="_x0000_s1125" style="width:108;height:389;left:1334;position:absolute;top:19" filled="t" fillcolor="#4774ca" stroked="f">
              <v:fill type="solid"/>
            </v:rect>
            <v:rect id="_x0000_s1126" style="width:108;height:389;left:2450;position:absolute;top:19" filled="t" fillcolor="#4774ca" stroked="f">
              <v:fill type="solid"/>
            </v:rect>
            <v:rect id="_x0000_s1127" style="width:1008;height:389;left:1442;position:absolute;top:19" filled="t" fillcolor="#4774ca" stroked="f">
              <v:fill type="solid"/>
            </v:rect>
            <v:rect id="_x0000_s1128" style="width:108;height:389;left:2558;position:absolute;top:19" filled="t" fillcolor="#4774ca" stroked="f">
              <v:fill type="solid"/>
            </v:rect>
            <v:rect id="_x0000_s1129" style="width:108;height:389;left:6390;position:absolute;top:19" filled="t" fillcolor="#4774ca" stroked="f">
              <v:fill type="solid"/>
            </v:rect>
            <v:rect id="_x0000_s1130" style="width:3724;height:389;left:2666;position:absolute;top:19" filled="t" fillcolor="#4774ca" stroked="f">
              <v:fill type="solid"/>
            </v:rect>
            <v:rect id="_x0000_s1131" style="width:108;height:389;left:6498;position:absolute;top:19" filled="t" fillcolor="#4774ca" stroked="f">
              <v:fill type="solid"/>
            </v:rect>
            <v:rect id="_x0000_s1132" style="width:108;height:389;left:9995;position:absolute;top:19" filled="t" fillcolor="#4774ca" stroked="f">
              <v:fill type="solid"/>
            </v:rect>
            <v:rect id="_x0000_s1133" style="width:3390;height:389;left:6606;position:absolute;top:19" filled="t" fillcolor="#4774ca" stroked="f">
              <v:fill type="solid"/>
            </v:rect>
            <v:line id="_x0000_s1134" style="position:absolute" from="7,14" to="10214,14" stroked="t" strokecolor="#013e96" strokeweight="0.48pt">
              <v:stroke dashstyle="solid"/>
            </v:line>
            <v:line id="_x0000_s1135" style="position:absolute" from="0,5" to="10212,5" stroked="t" strokecolor="#013e96" strokeweight="0.48pt">
              <v:stroke dashstyle="solid"/>
            </v:line>
            <v:shape id="_x0000_s1136" type="#_x0000_t202" style="width:9989;height:399;left:115;position:absolute;top:9" filled="f" stroked="f">
              <v:textbox inset="0,0,0,0">
                <w:txbxContent>
                  <w:p>
                    <w:pPr>
                      <w:tabs>
                        <w:tab w:val="left" w:pos="1670"/>
                        <w:tab w:val="left" w:pos="4253"/>
                        <w:tab w:val="left" w:pos="8025"/>
                      </w:tabs>
                      <w:spacing w:before="101"/>
                      <w:ind w:left="449" w:right="0" w:firstLine="0"/>
                      <w:jc w:val="left"/>
                      <w:rPr>
                        <w:sz w:val="16"/>
                      </w:rPr>
                    </w:pPr>
                    <w:r>
                      <w:rPr>
                        <w:color w:val="FFFFFF"/>
                        <w:sz w:val="16"/>
                      </w:rPr>
                      <w:t>环节</w:t>
                      <w:tab/>
                      <w:t>工艺</w:t>
                      <w:tab/>
                      <w:t>介绍</w:t>
                      <w:tab/>
                      <w:t>特点</w:t>
                    </w:r>
                  </w:p>
                </w:txbxContent>
              </v:textbox>
            </v:shape>
            <w10:wrap type="none"/>
          </v:group>
        </w:pict>
      </w:r>
    </w:p>
    <w:p>
      <w:pPr>
        <w:spacing w:after="0"/>
        <w:rPr>
          <w:sz w:val="20"/>
        </w:rPr>
        <w:sectPr>
          <w:headerReference w:type="default" r:id="rId20"/>
          <w:footerReference w:type="default" r:id="rId21"/>
          <w:pgSz w:w="11910" w:h="16840"/>
          <w:pgMar w:top="1360" w:right="520" w:bottom="660" w:left="660" w:header="708" w:footer="708"/>
          <w:pgNumType w:start="8"/>
          <w:cols w:space="708"/>
        </w:sectPr>
      </w:pPr>
    </w:p>
    <w:p>
      <w:pPr>
        <w:pStyle w:val="BodyText"/>
        <w:rPr>
          <w:b/>
          <w:i/>
          <w:sz w:val="14"/>
        </w:rPr>
      </w:pPr>
    </w:p>
    <w:p>
      <w:pPr>
        <w:pStyle w:val="BodyText"/>
        <w:spacing w:before="8"/>
        <w:rPr>
          <w:b/>
          <w:i/>
          <w:sz w:val="12"/>
        </w:rPr>
      </w:pPr>
    </w:p>
    <w:p>
      <w:pPr>
        <w:spacing w:before="0"/>
        <w:ind w:left="0" w:right="0" w:firstLine="0"/>
        <w:jc w:val="right"/>
        <w:rPr>
          <w:sz w:val="14"/>
        </w:rPr>
      </w:pPr>
      <w:r>
        <w:rPr>
          <w:w w:val="95"/>
          <w:sz w:val="14"/>
        </w:rPr>
        <w:t>单一浮选法</w:t>
      </w:r>
    </w:p>
    <w:p>
      <w:pPr>
        <w:spacing w:before="29" w:line="417" w:lineRule="auto"/>
        <w:ind w:left="332" w:right="0" w:firstLine="0"/>
        <w:jc w:val="both"/>
        <w:rPr>
          <w:sz w:val="14"/>
        </w:rPr>
      </w:pPr>
      <w:r>
        <w:br w:type="column"/>
      </w:r>
      <w:r>
        <w:rPr>
          <w:spacing w:val="-1"/>
          <w:sz w:val="14"/>
        </w:rPr>
        <w:t>是轻稀土矿的主要选矿方法，利用稀土矿物与伴生矿物表面润湿性的差异，在矿浆中添加浮选药剂，借助气泡的浮力使</w:t>
      </w:r>
      <w:r>
        <w:rPr>
          <w:sz w:val="14"/>
        </w:rPr>
        <w:t>稀土矿物与伴生脉石及其它矿物分离的工艺</w:t>
      </w:r>
    </w:p>
    <w:p>
      <w:pPr>
        <w:pStyle w:val="BodyText"/>
        <w:spacing w:before="5"/>
        <w:rPr>
          <w:sz w:val="14"/>
        </w:rPr>
      </w:pPr>
      <w:r>
        <w:br w:type="column"/>
      </w:r>
    </w:p>
    <w:p>
      <w:pPr>
        <w:spacing w:before="1" w:line="417" w:lineRule="auto"/>
        <w:ind w:left="262" w:right="577" w:firstLine="0"/>
        <w:jc w:val="left"/>
        <w:rPr>
          <w:sz w:val="14"/>
        </w:rPr>
      </w:pPr>
      <w:r>
        <w:rPr>
          <w:sz w:val="14"/>
        </w:rPr>
        <w:t>优点是可以有效解决犀利稀土矿物回收利用率问题，缺点是选矿成本较高，可能对环境造成污染</w:t>
      </w:r>
    </w:p>
    <w:p>
      <w:pPr>
        <w:spacing w:after="0" w:line="417" w:lineRule="auto"/>
        <w:jc w:val="left"/>
        <w:rPr>
          <w:sz w:val="14"/>
        </w:rPr>
        <w:sectPr>
          <w:headerReference w:type="default" r:id="rId22"/>
          <w:footerReference w:type="default" r:id="rId23"/>
          <w:type w:val="continuous"/>
          <w:pgSz w:w="11910" w:h="16840"/>
          <w:pgMar w:top="1360" w:right="520" w:bottom="660" w:left="660" w:header="708" w:footer="708"/>
          <w:pgNumType w:start="9"/>
          <w:cols w:num="3" w:space="708" w:equalWidth="0">
            <w:col w:w="2480" w:space="40"/>
            <w:col w:w="3970" w:space="39"/>
            <w:col w:w="4201" w:space="0"/>
          </w:cols>
        </w:sectPr>
      </w:pPr>
    </w:p>
    <w:p>
      <w:pPr>
        <w:pStyle w:val="BodyText"/>
        <w:rPr>
          <w:sz w:val="20"/>
        </w:rPr>
      </w:pPr>
    </w:p>
    <w:p>
      <w:pPr>
        <w:pStyle w:val="BodyText"/>
        <w:spacing w:before="5"/>
        <w:rPr>
          <w:sz w:val="23"/>
        </w:rPr>
      </w:pPr>
    </w:p>
    <w:p>
      <w:pPr>
        <w:spacing w:before="80"/>
        <w:ind w:left="768" w:right="0" w:firstLine="0"/>
        <w:jc w:val="left"/>
        <w:rPr>
          <w:sz w:val="14"/>
        </w:rPr>
      </w:pPr>
      <w:r>
        <w:pict>
          <v:group id="_x0000_s1137" style="width:438.55pt;height:47.9pt;margin-top:-31.12pt;margin-left:108.98pt;mso-position-horizontal-relative:page;position:absolute;z-index:-251637760" coordorigin="2180,-622" coordsize="8771,958">
            <v:rect id="_x0000_s1138" style="width:8769;height:936;left:2179;position:absolute;top:-611" filled="t" fillcolor="#e7e6e6" stroked="f">
              <v:fill type="solid"/>
            </v:rect>
            <v:line id="_x0000_s1139" style="position:absolute" from="2180,-618" to="3404,-618" stroked="t" strokecolor="black" strokeweight="0.48pt">
              <v:stroke dashstyle="solid"/>
            </v:line>
            <v:rect id="_x0000_s1140" style="width:10;height:10;left:3403;position:absolute;top:-623" filled="t" fillcolor="black" stroked="f">
              <v:fill type="solid"/>
            </v:rect>
            <v:line id="_x0000_s1141" style="position:absolute" from="3413,-618" to="7345,-618" stroked="t" strokecolor="black" strokeweight="0.48pt">
              <v:stroke dashstyle="solid"/>
            </v:line>
            <v:rect id="_x0000_s1142" style="width:10;height:10;left:7345;position:absolute;top:-623" filled="t" fillcolor="black" stroked="f">
              <v:fill type="solid"/>
            </v:rect>
            <v:line id="_x0000_s1143" style="position:absolute" from="7355,-618" to="10951,-618" stroked="t" strokecolor="black" strokeweight="0.48pt">
              <v:stroke dashstyle="solid"/>
            </v:line>
            <v:line id="_x0000_s1144" style="position:absolute" from="2180,330" to="3404,330" stroked="t" strokecolor="black" strokeweight="0.48pt">
              <v:stroke dashstyle="solid"/>
            </v:line>
            <v:rect id="_x0000_s1145" style="width:10;height:10;left:3403;position:absolute;top:325" filled="t" fillcolor="black" stroked="f">
              <v:fill type="solid"/>
            </v:rect>
            <v:line id="_x0000_s1146" style="position:absolute" from="3413,330" to="7345,330" stroked="t" strokecolor="black" strokeweight="0.48pt">
              <v:stroke dashstyle="solid"/>
            </v:line>
            <v:rect id="_x0000_s1147" style="width:10;height:10;left:7345;position:absolute;top:325" filled="t" fillcolor="black" stroked="f">
              <v:fill type="solid"/>
            </v:rect>
            <v:line id="_x0000_s1148" style="position:absolute" from="7355,330" to="10951,330" stroked="t" strokecolor="black" strokeweight="0.48pt">
              <v:stroke dashstyle="solid"/>
            </v:line>
            <v:shape id="_x0000_s1149" type="#_x0000_t202" style="width:8769;height:939;left:2179;position:absolute;top:-613" filled="f" stroked="f">
              <v:textbox inset="0,0,0,0">
                <w:txbxContent>
                  <w:p>
                    <w:pPr>
                      <w:spacing w:before="69"/>
                      <w:ind w:left="1332" w:right="0" w:firstLine="0"/>
                      <w:jc w:val="left"/>
                      <w:rPr>
                        <w:sz w:val="14"/>
                      </w:rPr>
                    </w:pPr>
                    <w:r>
                      <w:rPr>
                        <w:sz w:val="14"/>
                      </w:rPr>
                      <w:t>在小型稀土矿选矿厂中应用广泛，将原矿磨矿或者使用打砂</w:t>
                    </w:r>
                  </w:p>
                  <w:p>
                    <w:pPr>
                      <w:tabs>
                        <w:tab w:val="left" w:pos="1331"/>
                        <w:tab w:val="left" w:pos="5271"/>
                      </w:tabs>
                      <w:spacing w:before="1" w:line="310" w:lineRule="atLeast"/>
                      <w:ind w:left="1332" w:right="417" w:hanging="1071"/>
                      <w:jc w:val="left"/>
                      <w:rPr>
                        <w:sz w:val="14"/>
                      </w:rPr>
                    </w:pPr>
                    <w:r>
                      <w:rPr>
                        <w:sz w:val="14"/>
                      </w:rPr>
                      <w:t>单一重选法</w:t>
                      <w:tab/>
                      <w:t>机简单破碎后使用摇床进行粗选，粗选尾矿再次经过摇床进</w:t>
                      <w:tab/>
                      <w:t>优点是工艺流程简单，缺点是资源回收利用率较</w:t>
                    </w:r>
                    <w:r>
                      <w:rPr>
                        <w:spacing w:val="-16"/>
                        <w:sz w:val="14"/>
                      </w:rPr>
                      <w:t>低</w:t>
                    </w:r>
                    <w:r>
                      <w:rPr>
                        <w:sz w:val="14"/>
                      </w:rPr>
                      <w:t>行扫选，扫选精矿和粗选精矿作为最终精矿</w:t>
                    </w:r>
                  </w:p>
                </w:txbxContent>
              </v:textbox>
            </v:shape>
          </v:group>
        </w:pict>
      </w:r>
      <w:r>
        <w:rPr>
          <w:sz w:val="14"/>
        </w:rPr>
        <w:t>选矿</w:t>
      </w:r>
    </w:p>
    <w:p>
      <w:pPr>
        <w:pStyle w:val="BodyText"/>
        <w:spacing w:before="1"/>
        <w:rPr>
          <w:sz w:val="11"/>
        </w:rPr>
      </w:pPr>
    </w:p>
    <w:p>
      <w:pPr>
        <w:spacing w:before="1"/>
        <w:ind w:left="2851" w:right="0" w:firstLine="0"/>
        <w:jc w:val="left"/>
        <w:rPr>
          <w:sz w:val="14"/>
        </w:rPr>
      </w:pPr>
      <w:r>
        <w:rPr>
          <w:sz w:val="14"/>
        </w:rPr>
        <w:t>将弱磁选获得的磁铁矿尾矿送入浮选车间，先浮选出萤石，</w:t>
      </w:r>
    </w:p>
    <w:p>
      <w:pPr>
        <w:spacing w:after="0"/>
        <w:jc w:val="left"/>
        <w:rPr>
          <w:sz w:val="14"/>
        </w:rPr>
        <w:sectPr>
          <w:headerReference w:type="default" r:id="rId24"/>
          <w:footerReference w:type="default" r:id="rId25"/>
          <w:type w:val="continuous"/>
          <w:pgSz w:w="11910" w:h="16840"/>
          <w:pgMar w:top="1360" w:right="520" w:bottom="660" w:left="660" w:header="708" w:footer="708"/>
          <w:pgNumType w:start="10"/>
          <w:cols w:space="708"/>
        </w:sectPr>
      </w:pPr>
    </w:p>
    <w:p>
      <w:pPr>
        <w:pStyle w:val="BodyText"/>
        <w:rPr>
          <w:sz w:val="14"/>
        </w:rPr>
      </w:pPr>
      <w:r>
        <w:pict>
          <v:shape id="_x0000_s1150" type="#_x0000_t202" style="width:60pt;height:12pt;margin-top:36.85pt;margin-left:488.98pt;mso-position-horizontal-relative:page;mso-position-vertical-relative:page;position:absolute;z-index:-251636736" filled="f" stroked="f">
            <v:textbox inset="0,0,0,0">
              <w:txbxContent>
                <w:p>
                  <w:pPr>
                    <w:spacing w:before="0" w:line="240" w:lineRule="exact"/>
                    <w:ind w:left="0" w:right="0" w:firstLine="0"/>
                    <w:jc w:val="left"/>
                    <w:rPr>
                      <w:sz w:val="24"/>
                    </w:rPr>
                  </w:pPr>
                  <w:r>
                    <w:rPr>
                      <w:sz w:val="24"/>
                    </w:rPr>
                    <w:t>丨公司名称</w:t>
                  </w:r>
                </w:p>
              </w:txbxContent>
            </v:textbox>
          </v:shape>
        </w:pict>
      </w:r>
    </w:p>
    <w:p>
      <w:pPr>
        <w:spacing w:before="109" w:line="417" w:lineRule="auto"/>
        <w:ind w:left="1781" w:right="0" w:hanging="140"/>
        <w:jc w:val="left"/>
        <w:rPr>
          <w:sz w:val="14"/>
        </w:rPr>
      </w:pPr>
      <w:r>
        <w:rPr>
          <w:sz w:val="14"/>
        </w:rPr>
        <w:t>浮选法（</w:t>
      </w:r>
      <w:r>
        <w:rPr>
          <w:spacing w:val="-7"/>
          <w:sz w:val="14"/>
        </w:rPr>
        <w:t>辅以重</w:t>
      </w:r>
      <w:r>
        <w:rPr>
          <w:sz w:val="14"/>
        </w:rPr>
        <w:t>选、磁选）</w:t>
      </w:r>
    </w:p>
    <w:p>
      <w:pPr>
        <w:pStyle w:val="BodyText"/>
        <w:spacing w:before="4"/>
        <w:rPr>
          <w:sz w:val="10"/>
        </w:rPr>
      </w:pPr>
      <w:r>
        <w:br w:type="column"/>
      </w:r>
    </w:p>
    <w:p>
      <w:pPr>
        <w:spacing w:before="0" w:line="417" w:lineRule="auto"/>
        <w:ind w:left="192" w:right="0" w:firstLine="0"/>
        <w:jc w:val="both"/>
        <w:rPr>
          <w:sz w:val="14"/>
        </w:rPr>
      </w:pPr>
      <w:r>
        <w:pict>
          <v:group id="_x0000_s1151" style="width:511.1pt;height:63.85pt;margin-top:59.08pt;margin-left:41.88pt;mso-position-horizontal-relative:page;position:absolute;z-index:-251635712" coordorigin="838,1182" coordsize="10222,1277">
            <v:shape id="_x0000_s1152" style="width:8769;height:1248;left:2179;position:absolute;top:1191" coordorigin="2180,1191" coordsize="8769,1248" path="m10948,1191l7343,1191,3404,1191,2180,1191,2180,2439,10948,2439,10948,1191e" filled="t" fillcolor="#e7e6e6" stroked="f">
              <v:fill type="solid"/>
              <v:path arrowok="t"/>
            </v:shape>
            <v:line id="_x0000_s1153" style="position:absolute" from="960,1186" to="2180,1186" stroked="t" strokecolor="black" strokeweight="0.48pt">
              <v:stroke dashstyle="solid"/>
            </v:line>
            <v:rect id="_x0000_s1154" style="width:10;height:10;left:2179;position:absolute;top:1181" filled="t" fillcolor="black" stroked="f">
              <v:fill type="solid"/>
            </v:rect>
            <v:line id="_x0000_s1155" style="position:absolute" from="2189,1186" to="3404,1186" stroked="t" strokecolor="black" strokeweight="0.48pt">
              <v:stroke dashstyle="solid"/>
            </v:line>
            <v:rect id="_x0000_s1156" style="width:10;height:10;left:3403;position:absolute;top:1181" filled="t" fillcolor="black" stroked="f">
              <v:fill type="solid"/>
            </v:rect>
            <v:line id="_x0000_s1157" style="position:absolute" from="3413,1186" to="7345,1186" stroked="t" strokecolor="black" strokeweight="0.48pt">
              <v:stroke dashstyle="solid"/>
            </v:line>
            <v:rect id="_x0000_s1158" style="width:10;height:10;left:7345;position:absolute;top:1181" filled="t" fillcolor="black" stroked="f">
              <v:fill type="solid"/>
            </v:rect>
            <v:line id="_x0000_s1159" style="position:absolute" from="7355,1186" to="10951,1186" stroked="t" strokecolor="black" strokeweight="0.48pt">
              <v:stroke dashstyle="solid"/>
            </v:line>
            <v:line id="_x0000_s1160" style="position:absolute" from="960,2444" to="2180,2444" stroked="t" strokecolor="black" strokeweight="0.48pt">
              <v:stroke dashstyle="solid"/>
            </v:line>
            <v:rect id="_x0000_s1161" style="width:10;height:10;left:2179;position:absolute;top:2439" filled="t" fillcolor="black" stroked="f">
              <v:fill type="solid"/>
            </v:rect>
            <v:line id="_x0000_s1162" style="position:absolute" from="2189,2444" to="3404,2444" stroked="t" strokecolor="black" strokeweight="0.48pt">
              <v:stroke dashstyle="solid"/>
            </v:line>
            <v:rect id="_x0000_s1163" style="width:10;height:10;left:3403;position:absolute;top:2439" filled="t" fillcolor="black" stroked="f">
              <v:fill type="solid"/>
            </v:rect>
            <v:line id="_x0000_s1164" style="position:absolute" from="3413,2444" to="7345,2444" stroked="t" strokecolor="black" strokeweight="0.48pt">
              <v:stroke dashstyle="solid"/>
            </v:line>
            <v:rect id="_x0000_s1165" style="width:10;height:10;left:7345;position:absolute;top:2439" filled="t" fillcolor="black" stroked="f">
              <v:fill type="solid"/>
            </v:rect>
            <v:line id="_x0000_s1166" style="position:absolute" from="7355,2444" to="10951,2444" stroked="t" strokecolor="black" strokeweight="0.48pt">
              <v:stroke dashstyle="solid"/>
            </v:line>
            <v:line id="_x0000_s1167" style="position:absolute" from="838,2454" to="11059,2454" stroked="t" strokecolor="#013e96" strokeweight="0.48pt">
              <v:stroke dashstyle="solid"/>
            </v:line>
            <v:shape id="_x0000_s1168" type="#_x0000_t202" style="width:719;height:452;left:1219;position:absolute;top:1589" filled="f" stroked="f">
              <v:textbox inset="0,0,0,0">
                <w:txbxContent>
                  <w:p>
                    <w:pPr>
                      <w:spacing w:before="0" w:line="159" w:lineRule="exact"/>
                      <w:ind w:left="69" w:right="0" w:firstLine="0"/>
                      <w:jc w:val="left"/>
                      <w:rPr>
                        <w:sz w:val="14"/>
                      </w:rPr>
                    </w:pPr>
                    <w:r>
                      <w:rPr>
                        <w:sz w:val="14"/>
                      </w:rPr>
                      <w:t>精矿分解</w:t>
                    </w:r>
                  </w:p>
                  <w:p>
                    <w:pPr>
                      <w:spacing w:before="4" w:line="240" w:lineRule="auto"/>
                      <w:rPr>
                        <w:sz w:val="10"/>
                      </w:rPr>
                    </w:pPr>
                  </w:p>
                  <w:p>
                    <w:pPr>
                      <w:spacing w:before="0" w:line="160" w:lineRule="exact"/>
                      <w:ind w:left="0" w:right="0" w:firstLine="0"/>
                      <w:jc w:val="left"/>
                      <w:rPr>
                        <w:sz w:val="14"/>
                      </w:rPr>
                    </w:pPr>
                    <w:r>
                      <w:rPr>
                        <w:sz w:val="14"/>
                      </w:rPr>
                      <w:t>（前处理）</w:t>
                    </w:r>
                  </w:p>
                </w:txbxContent>
              </v:textbox>
            </v:shape>
            <v:shape id="_x0000_s1169" type="#_x0000_t202" style="width:1139;height:140;left:3511;position:absolute;top:2213" filled="f" stroked="f">
              <v:textbox inset="0,0,0,0">
                <w:txbxContent>
                  <w:p>
                    <w:pPr>
                      <w:spacing w:before="0" w:line="139" w:lineRule="exact"/>
                      <w:ind w:left="0" w:right="0" w:firstLine="0"/>
                      <w:jc w:val="left"/>
                      <w:rPr>
                        <w:sz w:val="14"/>
                      </w:rPr>
                    </w:pPr>
                    <w:r>
                      <w:rPr>
                        <w:sz w:val="14"/>
                      </w:rPr>
                      <w:t>分解铌钽酸盐矿物</w:t>
                    </w:r>
                  </w:p>
                </w:txbxContent>
              </v:textbox>
            </v:shape>
            <v:shape id="_x0000_s1170" type="#_x0000_t202" style="width:858;height:140;left:7451;position:absolute;top:2057" filled="f" stroked="f">
              <v:textbox inset="0,0,0,0">
                <w:txbxContent>
                  <w:p>
                    <w:pPr>
                      <w:spacing w:before="0" w:line="139" w:lineRule="exact"/>
                      <w:ind w:left="0" w:right="0" w:firstLine="0"/>
                      <w:jc w:val="left"/>
                      <w:rPr>
                        <w:sz w:val="14"/>
                      </w:rPr>
                    </w:pPr>
                    <w:r>
                      <w:rPr>
                        <w:sz w:val="14"/>
                      </w:rPr>
                      <w:t>差，三废较多</w:t>
                    </w:r>
                  </w:p>
                </w:txbxContent>
              </v:textbox>
            </v:shape>
            <v:shape id="_x0000_s1171" type="#_x0000_t202" style="width:3658;height:140;left:3511;position:absolute;top:1901" filled="f" stroked="f">
              <v:textbox inset="0,0,0,0">
                <w:txbxContent>
                  <w:p>
                    <w:pPr>
                      <w:spacing w:before="0" w:line="139" w:lineRule="exact"/>
                      <w:ind w:left="0" w:right="0" w:firstLine="0"/>
                      <w:jc w:val="left"/>
                      <w:rPr>
                        <w:sz w:val="14"/>
                      </w:rPr>
                    </w:pPr>
                    <w:r>
                      <w:rPr>
                        <w:sz w:val="14"/>
                      </w:rPr>
                      <w:t>仅适于处理硅酸盐矿物，应用范围有限；氢氟酸分解法适于</w:t>
                    </w:r>
                  </w:p>
                </w:txbxContent>
              </v:textbox>
            </v:shape>
            <v:shape id="_x0000_s1172" type="#_x0000_t202" style="width:3238;height:140;left:7451;position:absolute;top:1745" filled="f" stroked="f">
              <v:textbox inset="0,0,0,0">
                <w:txbxContent>
                  <w:p>
                    <w:pPr>
                      <w:spacing w:before="0" w:line="139" w:lineRule="exact"/>
                      <w:ind w:left="0" w:right="0" w:firstLine="0"/>
                      <w:jc w:val="left"/>
                      <w:rPr>
                        <w:sz w:val="14"/>
                      </w:rPr>
                    </w:pPr>
                    <w:r>
                      <w:rPr>
                        <w:sz w:val="14"/>
                      </w:rPr>
                      <w:t>且适用面广；缺点是选择性差、腐蚀严重、操作条件</w:t>
                    </w:r>
                  </w:p>
                </w:txbxContent>
              </v:textbox>
            </v:shape>
            <v:shape id="_x0000_s1173" type="#_x0000_t202" style="width:577;height:140;left:2510;position:absolute;top:1745" filled="f" stroked="f">
              <v:textbox inset="0,0,0,0">
                <w:txbxContent>
                  <w:p>
                    <w:pPr>
                      <w:spacing w:before="0" w:line="139" w:lineRule="exact"/>
                      <w:ind w:left="0" w:right="0" w:firstLine="0"/>
                      <w:jc w:val="left"/>
                      <w:rPr>
                        <w:sz w:val="14"/>
                      </w:rPr>
                    </w:pPr>
                    <w:r>
                      <w:rPr>
                        <w:sz w:val="14"/>
                      </w:rPr>
                      <w:t>酸法分解</w:t>
                    </w:r>
                  </w:p>
                </w:txbxContent>
              </v:textbox>
            </v:shape>
            <v:shape id="_x0000_s1174" type="#_x0000_t202" style="width:3658;height:140;left:3511;position:absolute;top:1589" filled="f" stroked="f">
              <v:textbox inset="0,0,0,0">
                <w:txbxContent>
                  <w:p>
                    <w:pPr>
                      <w:spacing w:before="0" w:line="139" w:lineRule="exact"/>
                      <w:ind w:left="0" w:right="0" w:firstLine="0"/>
                      <w:jc w:val="left"/>
                      <w:rPr>
                        <w:sz w:val="14"/>
                      </w:rPr>
                    </w:pPr>
                    <w:r>
                      <w:rPr>
                        <w:sz w:val="14"/>
                      </w:rPr>
                      <w:t>分解法多用于处理磷酸盐矿物和氟碳酸盐矿物；盐酸分解法</w:t>
                    </w:r>
                  </w:p>
                </w:txbxContent>
              </v:textbox>
            </v:shape>
            <v:shape id="_x0000_s1175" type="#_x0000_t202" style="width:3377;height:140;left:7451;position:absolute;top:1433" filled="f" stroked="f">
              <v:textbox inset="0,0,0,0">
                <w:txbxContent>
                  <w:p>
                    <w:pPr>
                      <w:spacing w:before="0" w:line="139" w:lineRule="exact"/>
                      <w:ind w:left="0" w:right="0" w:firstLine="0"/>
                      <w:jc w:val="left"/>
                      <w:rPr>
                        <w:sz w:val="14"/>
                      </w:rPr>
                    </w:pPr>
                    <w:r>
                      <w:rPr>
                        <w:sz w:val="14"/>
                      </w:rPr>
                      <w:t>优点是分解矿物能力强，对精矿品位、粒度要求较低，</w:t>
                    </w:r>
                  </w:p>
                </w:txbxContent>
              </v:textbox>
            </v:shape>
            <v:shape id="_x0000_s1176" type="#_x0000_t202" style="width:3658;height:140;left:3511;position:absolute;top:1277" filled="f" stroked="f">
              <v:textbox inset="0,0,0,0">
                <w:txbxContent>
                  <w:p>
                    <w:pPr>
                      <w:spacing w:before="0" w:line="139" w:lineRule="exact"/>
                      <w:ind w:left="0" w:right="0" w:firstLine="0"/>
                      <w:jc w:val="left"/>
                      <w:rPr>
                        <w:sz w:val="14"/>
                      </w:rPr>
                    </w:pPr>
                    <w:r>
                      <w:rPr>
                        <w:sz w:val="14"/>
                      </w:rPr>
                      <w:t>酸法分解分为盐酸分解、硫酸分解和氢氟酸分解法等，硫酸</w:t>
                    </w:r>
                  </w:p>
                </w:txbxContent>
              </v:textbox>
            </v:shape>
          </v:group>
        </w:pict>
      </w:r>
      <w:r>
        <w:rPr>
          <w:spacing w:val="-1"/>
          <w:sz w:val="14"/>
        </w:rPr>
        <w:t>再通过粗选和精选获得稀土泡沫产品，将之浓缩后给入重选车间，再将经过两段摇床分选获得的重选精矿送入稀土浮选车间，最终经一次粗选和三到五次的精选可得到稀土精矿和</w:t>
      </w:r>
      <w:r>
        <w:rPr>
          <w:sz w:val="14"/>
        </w:rPr>
        <w:t>稀土次精矿</w:t>
      </w:r>
    </w:p>
    <w:p>
      <w:pPr>
        <w:pStyle w:val="BodyText"/>
        <w:rPr>
          <w:sz w:val="14"/>
        </w:rPr>
      </w:pPr>
      <w:r>
        <w:br w:type="column"/>
      </w:r>
    </w:p>
    <w:p>
      <w:pPr>
        <w:pStyle w:val="BodyText"/>
        <w:spacing w:before="8"/>
        <w:rPr>
          <w:sz w:val="20"/>
        </w:rPr>
      </w:pPr>
    </w:p>
    <w:p>
      <w:pPr>
        <w:spacing w:before="1"/>
        <w:ind w:left="262" w:right="0" w:firstLine="0"/>
        <w:jc w:val="left"/>
        <w:rPr>
          <w:sz w:val="14"/>
        </w:rPr>
      </w:pPr>
      <w:r>
        <w:rPr>
          <w:sz w:val="14"/>
        </w:rPr>
        <w:t>优点是适用范围广，分离效果好，资源回收利用率高</w:t>
      </w:r>
    </w:p>
    <w:p>
      <w:pPr>
        <w:spacing w:after="0"/>
        <w:jc w:val="left"/>
        <w:rPr>
          <w:sz w:val="14"/>
        </w:rPr>
        <w:sectPr>
          <w:headerReference w:type="default" r:id="rId26"/>
          <w:footerReference w:type="default" r:id="rId27"/>
          <w:type w:val="continuous"/>
          <w:pgSz w:w="11910" w:h="16840"/>
          <w:pgMar w:top="1360" w:right="520" w:bottom="660" w:left="660" w:header="708" w:footer="708"/>
          <w:pgNumType w:start="11"/>
          <w:cols w:num="3" w:space="708" w:equalWidth="0">
            <w:col w:w="2619" w:space="40"/>
            <w:col w:w="3830" w:space="39"/>
            <w:col w:w="4202" w:space="0"/>
          </w:cols>
        </w:sectPr>
      </w:pPr>
    </w:p>
    <w:p>
      <w:pPr>
        <w:pStyle w:val="BodyText"/>
        <w:spacing w:before="5"/>
        <w:rPr>
          <w:sz w:val="3"/>
        </w:rPr>
      </w:pPr>
      <w:r>
        <w:pict>
          <v:shape id="_x0000_s1177" type="#_x0000_t202" style="width:60pt;height:12pt;margin-top:36.85pt;margin-left:488.98pt;mso-position-horizontal-relative:page;mso-position-vertical-relative:page;position:absolute;z-index:-251634688" filled="f" stroked="f">
            <v:textbox inset="0,0,0,0">
              <w:txbxContent>
                <w:p>
                  <w:pPr>
                    <w:spacing w:before="0" w:line="240" w:lineRule="exact"/>
                    <w:ind w:left="0" w:right="0" w:firstLine="0"/>
                    <w:jc w:val="left"/>
                    <w:rPr>
                      <w:sz w:val="24"/>
                    </w:rPr>
                  </w:pPr>
                  <w:r>
                    <w:rPr>
                      <w:sz w:val="24"/>
                    </w:rPr>
                    <w:t>丨公司名称</w:t>
                  </w:r>
                </w:p>
              </w:txbxContent>
            </v:textbox>
          </v:shape>
        </w:pict>
      </w:r>
      <w:r>
        <w:pict>
          <v:line id="_x0000_s1178" style="mso-position-horizontal-relative:page;mso-position-vertical-relative:page;position:absolute;z-index:251683840" from="42.6pt,71.15pt" to="552.95pt,71.15pt" stroked="t" strokecolor="#013e96" strokeweight="0.48pt">
            <v:stroke dashstyle="solid"/>
          </v:line>
        </w:pict>
      </w:r>
    </w:p>
    <w:tbl>
      <w:tblPr>
        <w:tblStyle w:val="TableNormal0"/>
        <w:tblW w:w="0" w:type="auto"/>
        <w:jc w:val="left"/>
        <w:tblInd w:w="1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8"/>
        <w:gridCol w:w="1220"/>
        <w:gridCol w:w="1110"/>
        <w:gridCol w:w="4011"/>
        <w:gridCol w:w="3647"/>
      </w:tblGrid>
      <w:tr>
        <w:tblPrEx>
          <w:tblW w:w="0" w:type="auto"/>
          <w:jc w:val="left"/>
          <w:tblInd w:w="1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28"/>
          <w:jc w:val="left"/>
        </w:trPr>
        <w:tc>
          <w:tcPr>
            <w:tcW w:w="1328" w:type="dxa"/>
            <w:gridSpan w:val="2"/>
            <w:vMerge w:val="restart"/>
            <w:tcBorders>
              <w:bottom w:val="single" w:sz="4" w:space="0" w:color="000000"/>
            </w:tcBorders>
          </w:tcPr>
          <w:p>
            <w:pPr>
              <w:pStyle w:val="TableParagraph"/>
              <w:rPr>
                <w:rFonts w:ascii="Times New Roman"/>
                <w:sz w:val="16"/>
              </w:rPr>
            </w:pPr>
          </w:p>
        </w:tc>
        <w:tc>
          <w:tcPr>
            <w:tcW w:w="1110" w:type="dxa"/>
            <w:tcBorders>
              <w:bottom w:val="single" w:sz="4" w:space="0" w:color="000000"/>
            </w:tcBorders>
          </w:tcPr>
          <w:p>
            <w:pPr>
              <w:pStyle w:val="TableParagraph"/>
              <w:spacing w:before="9"/>
              <w:rPr>
                <w:sz w:val="17"/>
              </w:rPr>
            </w:pPr>
          </w:p>
          <w:p>
            <w:pPr>
              <w:pStyle w:val="TableParagraph"/>
              <w:ind w:left="309" w:right="201"/>
              <w:jc w:val="center"/>
              <w:rPr>
                <w:sz w:val="14"/>
              </w:rPr>
            </w:pPr>
            <w:r>
              <w:rPr>
                <w:sz w:val="14"/>
              </w:rPr>
              <w:t>碱法分解</w:t>
            </w:r>
          </w:p>
        </w:tc>
        <w:tc>
          <w:tcPr>
            <w:tcW w:w="4011" w:type="dxa"/>
            <w:tcBorders>
              <w:bottom w:val="single" w:sz="4" w:space="0" w:color="000000"/>
            </w:tcBorders>
          </w:tcPr>
          <w:p>
            <w:pPr>
              <w:pStyle w:val="TableParagraph"/>
              <w:spacing w:before="71"/>
              <w:ind w:left="221"/>
              <w:rPr>
                <w:sz w:val="14"/>
              </w:rPr>
            </w:pPr>
            <w:r>
              <w:rPr>
                <w:sz w:val="14"/>
              </w:rPr>
              <w:t>碱法分解分为氢氧化钠分解或氢氧化钠熔融或苏打焙烧法</w:t>
            </w:r>
          </w:p>
          <w:p>
            <w:pPr>
              <w:pStyle w:val="TableParagraph"/>
              <w:spacing w:before="5"/>
              <w:rPr>
                <w:sz w:val="10"/>
              </w:rPr>
            </w:pPr>
          </w:p>
          <w:p>
            <w:pPr>
              <w:pStyle w:val="TableParagraph"/>
              <w:ind w:left="221"/>
              <w:rPr>
                <w:sz w:val="14"/>
              </w:rPr>
            </w:pPr>
            <w:r>
              <w:rPr>
                <w:sz w:val="14"/>
              </w:rPr>
              <w:t>等，适合对稀土磷酸盐矿物和氟碳酸盐矿物进行处理</w:t>
            </w:r>
          </w:p>
        </w:tc>
        <w:tc>
          <w:tcPr>
            <w:tcW w:w="3647" w:type="dxa"/>
            <w:tcBorders>
              <w:bottom w:val="single" w:sz="4" w:space="0" w:color="000000"/>
            </w:tcBorders>
          </w:tcPr>
          <w:p>
            <w:pPr>
              <w:pStyle w:val="TableParagraph"/>
              <w:spacing w:before="71"/>
              <w:ind w:left="150"/>
              <w:rPr>
                <w:sz w:val="14"/>
              </w:rPr>
            </w:pPr>
            <w:r>
              <w:rPr>
                <w:sz w:val="14"/>
              </w:rPr>
              <w:t>优点有工艺方法成熟、设备简单、综合利用程度较高；</w:t>
            </w:r>
          </w:p>
          <w:p>
            <w:pPr>
              <w:pStyle w:val="TableParagraph"/>
              <w:spacing w:before="5"/>
              <w:rPr>
                <w:sz w:val="10"/>
              </w:rPr>
            </w:pPr>
          </w:p>
          <w:p>
            <w:pPr>
              <w:pStyle w:val="TableParagraph"/>
              <w:ind w:left="150"/>
              <w:rPr>
                <w:sz w:val="14"/>
              </w:rPr>
            </w:pPr>
            <w:r>
              <w:rPr>
                <w:sz w:val="14"/>
              </w:rPr>
              <w:t>缺点是对于精矿品位与粒度要求较高，污水排放量大</w:t>
            </w:r>
          </w:p>
        </w:tc>
      </w:tr>
      <w:tr>
        <w:tblPrEx>
          <w:tblW w:w="0" w:type="auto"/>
          <w:jc w:val="left"/>
          <w:tblInd w:w="199" w:type="dxa"/>
          <w:tblLayout w:type="fixed"/>
          <w:tblCellMar>
            <w:top w:w="0" w:type="dxa"/>
            <w:left w:w="0" w:type="dxa"/>
            <w:bottom w:w="0" w:type="dxa"/>
            <w:right w:w="0" w:type="dxa"/>
          </w:tblCellMar>
          <w:tblLook w:val="01E0"/>
        </w:tblPrEx>
        <w:trPr>
          <w:trHeight w:val="935"/>
          <w:jc w:val="left"/>
        </w:trPr>
        <w:tc>
          <w:tcPr>
            <w:tcW w:w="1328" w:type="dxa"/>
            <w:gridSpan w:val="2"/>
            <w:vMerge/>
            <w:tcBorders>
              <w:top w:val="nil"/>
              <w:bottom w:val="single" w:sz="4" w:space="0" w:color="000000"/>
            </w:tcBorders>
          </w:tcPr>
          <w:p>
            <w:pPr>
              <w:rPr>
                <w:sz w:val="2"/>
                <w:szCs w:val="2"/>
              </w:rPr>
            </w:pPr>
          </w:p>
        </w:tc>
        <w:tc>
          <w:tcPr>
            <w:tcW w:w="1110" w:type="dxa"/>
            <w:tcBorders>
              <w:top w:val="single" w:sz="4" w:space="0" w:color="000000"/>
              <w:bottom w:val="single" w:sz="4" w:space="0" w:color="000000"/>
            </w:tcBorders>
            <w:shd w:val="clear" w:color="auto" w:fill="E7E6E6"/>
          </w:tcPr>
          <w:p>
            <w:pPr>
              <w:pStyle w:val="TableParagraph"/>
              <w:rPr>
                <w:sz w:val="14"/>
              </w:rPr>
            </w:pPr>
          </w:p>
          <w:p>
            <w:pPr>
              <w:pStyle w:val="TableParagraph"/>
              <w:spacing w:before="6"/>
              <w:rPr>
                <w:sz w:val="15"/>
              </w:rPr>
            </w:pPr>
          </w:p>
          <w:p>
            <w:pPr>
              <w:pStyle w:val="TableParagraph"/>
              <w:ind w:left="309" w:right="201"/>
              <w:jc w:val="center"/>
              <w:rPr>
                <w:sz w:val="14"/>
              </w:rPr>
            </w:pPr>
            <w:r>
              <w:rPr>
                <w:sz w:val="14"/>
              </w:rPr>
              <w:t>氯化分解</w:t>
            </w:r>
          </w:p>
        </w:tc>
        <w:tc>
          <w:tcPr>
            <w:tcW w:w="4011" w:type="dxa"/>
            <w:tcBorders>
              <w:top w:val="single" w:sz="4" w:space="0" w:color="000000"/>
              <w:bottom w:val="single" w:sz="4" w:space="0" w:color="000000"/>
            </w:tcBorders>
            <w:shd w:val="clear" w:color="auto" w:fill="E7E6E6"/>
          </w:tcPr>
          <w:p>
            <w:pPr>
              <w:pStyle w:val="TableParagraph"/>
              <w:spacing w:before="4"/>
              <w:rPr>
                <w:sz w:val="17"/>
              </w:rPr>
            </w:pPr>
          </w:p>
          <w:p>
            <w:pPr>
              <w:pStyle w:val="TableParagraph"/>
              <w:spacing w:line="417" w:lineRule="auto"/>
              <w:ind w:left="221" w:right="150"/>
              <w:rPr>
                <w:sz w:val="14"/>
              </w:rPr>
            </w:pPr>
            <w:r>
              <w:rPr>
                <w:sz w:val="14"/>
              </w:rPr>
              <w:t>氯化分解可直接制得无水氯化稀土，多用于熔盐电解制取混合稀土金属</w:t>
            </w:r>
          </w:p>
        </w:tc>
        <w:tc>
          <w:tcPr>
            <w:tcW w:w="3647" w:type="dxa"/>
            <w:tcBorders>
              <w:top w:val="single" w:sz="4" w:space="0" w:color="000000"/>
              <w:bottom w:val="single" w:sz="4" w:space="0" w:color="000000"/>
            </w:tcBorders>
            <w:shd w:val="clear" w:color="auto" w:fill="E7E6E6"/>
          </w:tcPr>
          <w:p>
            <w:pPr>
              <w:pStyle w:val="TableParagraph"/>
              <w:spacing w:before="66" w:line="417" w:lineRule="auto"/>
              <w:ind w:left="150" w:right="97"/>
              <w:rPr>
                <w:sz w:val="14"/>
              </w:rPr>
            </w:pPr>
            <w:r>
              <w:rPr>
                <w:sz w:val="14"/>
              </w:rPr>
              <w:t>由于氯化法的设备需要的耐氯腐蚀材料较难获取，有放射性元素钍存在于产物中，且所得熔盐成分复杂，劳动</w:t>
            </w:r>
          </w:p>
          <w:p>
            <w:pPr>
              <w:pStyle w:val="TableParagraph"/>
              <w:spacing w:line="179" w:lineRule="exact"/>
              <w:ind w:left="150"/>
              <w:rPr>
                <w:sz w:val="14"/>
              </w:rPr>
            </w:pPr>
            <w:r>
              <w:rPr>
                <w:sz w:val="14"/>
              </w:rPr>
              <w:t>条件较差，因而在我国尚未被工业采用</w:t>
            </w:r>
          </w:p>
        </w:tc>
      </w:tr>
      <w:tr>
        <w:tblPrEx>
          <w:tblW w:w="0" w:type="auto"/>
          <w:jc w:val="left"/>
          <w:tblInd w:w="199" w:type="dxa"/>
          <w:tblLayout w:type="fixed"/>
          <w:tblCellMar>
            <w:top w:w="0" w:type="dxa"/>
            <w:left w:w="0" w:type="dxa"/>
            <w:bottom w:w="0" w:type="dxa"/>
            <w:right w:w="0" w:type="dxa"/>
          </w:tblCellMar>
          <w:tblLook w:val="01E0"/>
        </w:tblPrEx>
        <w:trPr>
          <w:trHeight w:val="623"/>
          <w:jc w:val="left"/>
        </w:trPr>
        <w:tc>
          <w:tcPr>
            <w:tcW w:w="108" w:type="dxa"/>
          </w:tcPr>
          <w:p>
            <w:pPr>
              <w:pStyle w:val="TableParagraph"/>
              <w:rPr>
                <w:rFonts w:ascii="Times New Roman"/>
                <w:sz w:val="16"/>
              </w:rPr>
            </w:pPr>
          </w:p>
        </w:tc>
        <w:tc>
          <w:tcPr>
            <w:tcW w:w="1220" w:type="dxa"/>
            <w:tcBorders>
              <w:top w:val="single" w:sz="4" w:space="0" w:color="000000"/>
            </w:tcBorders>
          </w:tcPr>
          <w:p>
            <w:pPr>
              <w:pStyle w:val="TableParagraph"/>
              <w:rPr>
                <w:rFonts w:ascii="Times New Roman"/>
                <w:sz w:val="16"/>
              </w:rPr>
            </w:pPr>
          </w:p>
        </w:tc>
        <w:tc>
          <w:tcPr>
            <w:tcW w:w="1110" w:type="dxa"/>
            <w:tcBorders>
              <w:top w:val="single" w:sz="4" w:space="0" w:color="000000"/>
              <w:bottom w:val="single" w:sz="4" w:space="0" w:color="000000"/>
            </w:tcBorders>
          </w:tcPr>
          <w:p>
            <w:pPr>
              <w:pStyle w:val="TableParagraph"/>
              <w:spacing w:before="4"/>
              <w:rPr>
                <w:sz w:val="17"/>
              </w:rPr>
            </w:pPr>
          </w:p>
          <w:p>
            <w:pPr>
              <w:pStyle w:val="TableParagraph"/>
              <w:ind w:left="309" w:right="201"/>
              <w:jc w:val="center"/>
              <w:rPr>
                <w:sz w:val="14"/>
              </w:rPr>
            </w:pPr>
            <w:r>
              <w:rPr>
                <w:sz w:val="14"/>
              </w:rPr>
              <w:t>湿法冶金</w:t>
            </w:r>
          </w:p>
        </w:tc>
        <w:tc>
          <w:tcPr>
            <w:tcW w:w="4011" w:type="dxa"/>
            <w:tcBorders>
              <w:top w:val="single" w:sz="4" w:space="0" w:color="000000"/>
              <w:bottom w:val="single" w:sz="4" w:space="0" w:color="000000"/>
            </w:tcBorders>
          </w:tcPr>
          <w:p>
            <w:pPr>
              <w:pStyle w:val="TableParagraph"/>
              <w:spacing w:before="66"/>
              <w:ind w:left="221"/>
              <w:rPr>
                <w:sz w:val="14"/>
              </w:rPr>
            </w:pPr>
            <w:r>
              <w:rPr>
                <w:sz w:val="14"/>
              </w:rPr>
              <w:t>湿法冶金属于化工冶金方式，整个流程基本处于溶液、溶剂</w:t>
            </w:r>
          </w:p>
          <w:p>
            <w:pPr>
              <w:pStyle w:val="TableParagraph"/>
              <w:spacing w:before="4"/>
              <w:rPr>
                <w:sz w:val="10"/>
              </w:rPr>
            </w:pPr>
          </w:p>
          <w:p>
            <w:pPr>
              <w:pStyle w:val="TableParagraph"/>
              <w:ind w:left="221"/>
              <w:rPr>
                <w:sz w:val="14"/>
              </w:rPr>
            </w:pPr>
            <w:r>
              <w:rPr>
                <w:sz w:val="14"/>
              </w:rPr>
              <w:t>之中</w:t>
            </w:r>
          </w:p>
        </w:tc>
        <w:tc>
          <w:tcPr>
            <w:tcW w:w="3647" w:type="dxa"/>
            <w:tcBorders>
              <w:top w:val="single" w:sz="4" w:space="0" w:color="000000"/>
              <w:bottom w:val="single" w:sz="4" w:space="0" w:color="000000"/>
            </w:tcBorders>
          </w:tcPr>
          <w:p>
            <w:pPr>
              <w:pStyle w:val="TableParagraph"/>
              <w:spacing w:before="66"/>
              <w:ind w:left="150"/>
              <w:rPr>
                <w:sz w:val="14"/>
              </w:rPr>
            </w:pPr>
            <w:r>
              <w:rPr>
                <w:sz w:val="14"/>
              </w:rPr>
              <w:t>优点是生产出的产品纯度高，且生产成品的应用面广</w:t>
            </w:r>
          </w:p>
          <w:p>
            <w:pPr>
              <w:pStyle w:val="TableParagraph"/>
              <w:spacing w:before="4"/>
              <w:rPr>
                <w:sz w:val="10"/>
              </w:rPr>
            </w:pPr>
          </w:p>
          <w:p>
            <w:pPr>
              <w:pStyle w:val="TableParagraph"/>
              <w:ind w:left="150"/>
              <w:rPr>
                <w:sz w:val="14"/>
              </w:rPr>
            </w:pPr>
            <w:r>
              <w:rPr>
                <w:sz w:val="14"/>
              </w:rPr>
              <w:t>阔；缺点是流程复杂</w:t>
            </w:r>
          </w:p>
        </w:tc>
      </w:tr>
      <w:tr>
        <w:tblPrEx>
          <w:tblW w:w="0" w:type="auto"/>
          <w:jc w:val="left"/>
          <w:tblInd w:w="199" w:type="dxa"/>
          <w:tblLayout w:type="fixed"/>
          <w:tblCellMar>
            <w:top w:w="0" w:type="dxa"/>
            <w:left w:w="0" w:type="dxa"/>
            <w:bottom w:w="0" w:type="dxa"/>
            <w:right w:w="0" w:type="dxa"/>
          </w:tblCellMar>
          <w:tblLook w:val="01E0"/>
        </w:tblPrEx>
        <w:trPr>
          <w:trHeight w:val="312"/>
          <w:jc w:val="left"/>
        </w:trPr>
        <w:tc>
          <w:tcPr>
            <w:tcW w:w="108" w:type="dxa"/>
          </w:tcPr>
          <w:p>
            <w:pPr>
              <w:pStyle w:val="TableParagraph"/>
              <w:rPr>
                <w:rFonts w:ascii="Times New Roman"/>
                <w:sz w:val="16"/>
              </w:rPr>
            </w:pPr>
          </w:p>
        </w:tc>
        <w:tc>
          <w:tcPr>
            <w:tcW w:w="1220" w:type="dxa"/>
          </w:tcPr>
          <w:p>
            <w:pPr>
              <w:pStyle w:val="TableParagraph"/>
              <w:spacing w:before="61"/>
              <w:ind w:left="309" w:right="311"/>
              <w:jc w:val="center"/>
              <w:rPr>
                <w:sz w:val="14"/>
              </w:rPr>
            </w:pPr>
            <w:r>
              <w:rPr>
                <w:sz w:val="14"/>
              </w:rPr>
              <w:t>冶炼</w:t>
            </w:r>
          </w:p>
        </w:tc>
        <w:tc>
          <w:tcPr>
            <w:tcW w:w="1110" w:type="dxa"/>
            <w:tcBorders>
              <w:top w:val="single" w:sz="4" w:space="0" w:color="000000"/>
            </w:tcBorders>
            <w:shd w:val="clear" w:color="auto" w:fill="E7E6E6"/>
          </w:tcPr>
          <w:p>
            <w:pPr>
              <w:pStyle w:val="TableParagraph"/>
              <w:rPr>
                <w:rFonts w:ascii="Times New Roman"/>
                <w:sz w:val="16"/>
              </w:rPr>
            </w:pPr>
          </w:p>
        </w:tc>
        <w:tc>
          <w:tcPr>
            <w:tcW w:w="4011" w:type="dxa"/>
            <w:tcBorders>
              <w:top w:val="single" w:sz="4" w:space="0" w:color="000000"/>
            </w:tcBorders>
            <w:shd w:val="clear" w:color="auto" w:fill="E7E6E6"/>
          </w:tcPr>
          <w:p>
            <w:pPr>
              <w:pStyle w:val="TableParagraph"/>
              <w:spacing w:before="66"/>
              <w:ind w:left="221"/>
              <w:rPr>
                <w:sz w:val="14"/>
              </w:rPr>
            </w:pPr>
            <w:r>
              <w:rPr>
                <w:sz w:val="14"/>
              </w:rPr>
              <w:t>火法冶金需在高温条件下生产，流程主要包括硅热还原法制</w:t>
            </w:r>
          </w:p>
        </w:tc>
        <w:tc>
          <w:tcPr>
            <w:tcW w:w="3647" w:type="dxa"/>
            <w:tcBorders>
              <w:top w:val="single" w:sz="4" w:space="0" w:color="000000"/>
            </w:tcBorders>
            <w:shd w:val="clear" w:color="auto" w:fill="E7E6E6"/>
          </w:tcPr>
          <w:p>
            <w:pPr>
              <w:pStyle w:val="TableParagraph"/>
              <w:rPr>
                <w:rFonts w:ascii="Times New Roman"/>
                <w:sz w:val="16"/>
              </w:rPr>
            </w:pPr>
          </w:p>
        </w:tc>
      </w:tr>
      <w:tr>
        <w:tblPrEx>
          <w:tblW w:w="0" w:type="auto"/>
          <w:jc w:val="left"/>
          <w:tblInd w:w="199" w:type="dxa"/>
          <w:tblLayout w:type="fixed"/>
          <w:tblCellMar>
            <w:top w:w="0" w:type="dxa"/>
            <w:left w:w="0" w:type="dxa"/>
            <w:bottom w:w="0" w:type="dxa"/>
            <w:right w:w="0" w:type="dxa"/>
          </w:tblCellMar>
          <w:tblLook w:val="01E0"/>
        </w:tblPrEx>
        <w:trPr>
          <w:trHeight w:val="311"/>
          <w:jc w:val="left"/>
        </w:trPr>
        <w:tc>
          <w:tcPr>
            <w:tcW w:w="108" w:type="dxa"/>
          </w:tcPr>
          <w:p>
            <w:pPr>
              <w:pStyle w:val="TableParagraph"/>
              <w:rPr>
                <w:rFonts w:ascii="Times New Roman"/>
                <w:sz w:val="16"/>
              </w:rPr>
            </w:pPr>
          </w:p>
        </w:tc>
        <w:tc>
          <w:tcPr>
            <w:tcW w:w="1220" w:type="dxa"/>
          </w:tcPr>
          <w:p>
            <w:pPr>
              <w:pStyle w:val="TableParagraph"/>
              <w:rPr>
                <w:rFonts w:ascii="Times New Roman"/>
                <w:sz w:val="16"/>
              </w:rPr>
            </w:pPr>
          </w:p>
        </w:tc>
        <w:tc>
          <w:tcPr>
            <w:tcW w:w="1110" w:type="dxa"/>
            <w:shd w:val="clear" w:color="auto" w:fill="E7E6E6"/>
          </w:tcPr>
          <w:p>
            <w:pPr>
              <w:pStyle w:val="TableParagraph"/>
              <w:spacing w:before="66"/>
              <w:ind w:left="309" w:right="201"/>
              <w:jc w:val="center"/>
              <w:rPr>
                <w:sz w:val="14"/>
              </w:rPr>
            </w:pPr>
            <w:r>
              <w:rPr>
                <w:sz w:val="14"/>
              </w:rPr>
              <w:t>火法冶金</w:t>
            </w:r>
          </w:p>
        </w:tc>
        <w:tc>
          <w:tcPr>
            <w:tcW w:w="4011" w:type="dxa"/>
            <w:shd w:val="clear" w:color="auto" w:fill="E7E6E6"/>
          </w:tcPr>
          <w:p>
            <w:pPr>
              <w:pStyle w:val="TableParagraph"/>
              <w:spacing w:before="66"/>
              <w:ind w:left="221"/>
              <w:rPr>
                <w:sz w:val="14"/>
              </w:rPr>
            </w:pPr>
            <w:r>
              <w:rPr>
                <w:sz w:val="14"/>
              </w:rPr>
              <w:t>取稀土合金、熔盐电解法制取稀土金属或合金、金属热还原</w:t>
            </w:r>
          </w:p>
        </w:tc>
        <w:tc>
          <w:tcPr>
            <w:tcW w:w="3647" w:type="dxa"/>
            <w:shd w:val="clear" w:color="auto" w:fill="E7E6E6"/>
          </w:tcPr>
          <w:p>
            <w:pPr>
              <w:pStyle w:val="TableParagraph"/>
              <w:spacing w:before="66"/>
              <w:ind w:left="150"/>
              <w:rPr>
                <w:sz w:val="14"/>
              </w:rPr>
            </w:pPr>
            <w:r>
              <w:rPr>
                <w:sz w:val="14"/>
              </w:rPr>
              <w:t>具有工艺流程简单、生产率高等优点</w:t>
            </w:r>
          </w:p>
        </w:tc>
      </w:tr>
      <w:tr>
        <w:tblPrEx>
          <w:tblW w:w="0" w:type="auto"/>
          <w:jc w:val="left"/>
          <w:tblInd w:w="199" w:type="dxa"/>
          <w:tblLayout w:type="fixed"/>
          <w:tblCellMar>
            <w:top w:w="0" w:type="dxa"/>
            <w:left w:w="0" w:type="dxa"/>
            <w:bottom w:w="0" w:type="dxa"/>
            <w:right w:w="0" w:type="dxa"/>
          </w:tblCellMar>
          <w:tblLook w:val="01E0"/>
        </w:tblPrEx>
        <w:trPr>
          <w:trHeight w:val="311"/>
          <w:jc w:val="left"/>
        </w:trPr>
        <w:tc>
          <w:tcPr>
            <w:tcW w:w="108" w:type="dxa"/>
          </w:tcPr>
          <w:p>
            <w:pPr>
              <w:pStyle w:val="TableParagraph"/>
              <w:rPr>
                <w:rFonts w:ascii="Times New Roman"/>
                <w:sz w:val="16"/>
              </w:rPr>
            </w:pPr>
          </w:p>
        </w:tc>
        <w:tc>
          <w:tcPr>
            <w:tcW w:w="1220" w:type="dxa"/>
            <w:tcBorders>
              <w:bottom w:val="single" w:sz="4" w:space="0" w:color="000000"/>
            </w:tcBorders>
          </w:tcPr>
          <w:p>
            <w:pPr>
              <w:pStyle w:val="TableParagraph"/>
              <w:rPr>
                <w:rFonts w:ascii="Times New Roman"/>
                <w:sz w:val="16"/>
              </w:rPr>
            </w:pPr>
          </w:p>
        </w:tc>
        <w:tc>
          <w:tcPr>
            <w:tcW w:w="1110" w:type="dxa"/>
            <w:tcBorders>
              <w:bottom w:val="single" w:sz="4" w:space="0" w:color="000000"/>
            </w:tcBorders>
            <w:shd w:val="clear" w:color="auto" w:fill="E7E6E6"/>
          </w:tcPr>
          <w:p>
            <w:pPr>
              <w:pStyle w:val="TableParagraph"/>
              <w:rPr>
                <w:rFonts w:ascii="Times New Roman"/>
                <w:sz w:val="16"/>
              </w:rPr>
            </w:pPr>
          </w:p>
        </w:tc>
        <w:tc>
          <w:tcPr>
            <w:tcW w:w="4011" w:type="dxa"/>
            <w:tcBorders>
              <w:bottom w:val="single" w:sz="4" w:space="0" w:color="000000"/>
            </w:tcBorders>
            <w:shd w:val="clear" w:color="auto" w:fill="E7E6E6"/>
          </w:tcPr>
          <w:p>
            <w:pPr>
              <w:pStyle w:val="TableParagraph"/>
              <w:spacing w:before="66"/>
              <w:ind w:left="221"/>
              <w:rPr>
                <w:sz w:val="14"/>
              </w:rPr>
            </w:pPr>
            <w:r>
              <w:rPr>
                <w:sz w:val="14"/>
              </w:rPr>
              <w:t>法制取稀土合金等</w:t>
            </w:r>
          </w:p>
        </w:tc>
        <w:tc>
          <w:tcPr>
            <w:tcW w:w="3647" w:type="dxa"/>
            <w:tcBorders>
              <w:bottom w:val="single" w:sz="4" w:space="0" w:color="000000"/>
            </w:tcBorders>
            <w:shd w:val="clear" w:color="auto" w:fill="E7E6E6"/>
          </w:tcPr>
          <w:p>
            <w:pPr>
              <w:pStyle w:val="TableParagraph"/>
              <w:rPr>
                <w:rFonts w:ascii="Times New Roman"/>
                <w:sz w:val="16"/>
              </w:rPr>
            </w:pPr>
          </w:p>
        </w:tc>
      </w:tr>
      <w:tr>
        <w:tblPrEx>
          <w:tblW w:w="0" w:type="auto"/>
          <w:jc w:val="left"/>
          <w:tblInd w:w="199" w:type="dxa"/>
          <w:tblLayout w:type="fixed"/>
          <w:tblCellMar>
            <w:top w:w="0" w:type="dxa"/>
            <w:left w:w="0" w:type="dxa"/>
            <w:bottom w:w="0" w:type="dxa"/>
            <w:right w:w="0" w:type="dxa"/>
          </w:tblCellMar>
          <w:tblLook w:val="01E0"/>
        </w:tblPrEx>
        <w:trPr>
          <w:trHeight w:val="938"/>
          <w:jc w:val="left"/>
        </w:trPr>
        <w:tc>
          <w:tcPr>
            <w:tcW w:w="108" w:type="dxa"/>
          </w:tcPr>
          <w:p>
            <w:pPr>
              <w:pStyle w:val="TableParagraph"/>
              <w:rPr>
                <w:rFonts w:ascii="Times New Roman"/>
                <w:sz w:val="16"/>
              </w:rPr>
            </w:pPr>
          </w:p>
        </w:tc>
        <w:tc>
          <w:tcPr>
            <w:tcW w:w="1220" w:type="dxa"/>
            <w:tcBorders>
              <w:top w:val="single" w:sz="4" w:space="0" w:color="000000"/>
            </w:tcBorders>
          </w:tcPr>
          <w:p>
            <w:pPr>
              <w:pStyle w:val="TableParagraph"/>
              <w:rPr>
                <w:rFonts w:ascii="Times New Roman"/>
                <w:sz w:val="16"/>
              </w:rPr>
            </w:pPr>
          </w:p>
        </w:tc>
        <w:tc>
          <w:tcPr>
            <w:tcW w:w="1110" w:type="dxa"/>
            <w:tcBorders>
              <w:top w:val="single" w:sz="4" w:space="0" w:color="000000"/>
              <w:bottom w:val="single" w:sz="4" w:space="0" w:color="000000"/>
            </w:tcBorders>
          </w:tcPr>
          <w:p>
            <w:pPr>
              <w:pStyle w:val="TableParagraph"/>
              <w:rPr>
                <w:sz w:val="14"/>
              </w:rPr>
            </w:pPr>
          </w:p>
          <w:p>
            <w:pPr>
              <w:pStyle w:val="TableParagraph"/>
              <w:spacing w:before="9"/>
              <w:rPr>
                <w:sz w:val="15"/>
              </w:rPr>
            </w:pPr>
          </w:p>
          <w:p>
            <w:pPr>
              <w:pStyle w:val="TableParagraph"/>
              <w:ind w:left="309" w:right="201"/>
              <w:jc w:val="center"/>
              <w:rPr>
                <w:sz w:val="14"/>
              </w:rPr>
            </w:pPr>
            <w:r>
              <w:rPr>
                <w:sz w:val="14"/>
              </w:rPr>
              <w:t>分步法</w:t>
            </w:r>
          </w:p>
        </w:tc>
        <w:tc>
          <w:tcPr>
            <w:tcW w:w="4011" w:type="dxa"/>
            <w:tcBorders>
              <w:top w:val="single" w:sz="4" w:space="0" w:color="000000"/>
              <w:bottom w:val="single" w:sz="4" w:space="0" w:color="000000"/>
            </w:tcBorders>
          </w:tcPr>
          <w:p>
            <w:pPr>
              <w:pStyle w:val="TableParagraph"/>
              <w:spacing w:before="68" w:line="417" w:lineRule="auto"/>
              <w:ind w:left="221" w:right="74"/>
              <w:rPr>
                <w:sz w:val="14"/>
              </w:rPr>
            </w:pPr>
            <w:r>
              <w:rPr>
                <w:sz w:val="14"/>
              </w:rPr>
              <w:t>利用化合物在溶剂中溶解度的差别进行分离提纯。操作程序较为复杂，全部稀土元素的单一分离耗时 100 余年，分离重</w:t>
            </w:r>
          </w:p>
          <w:p>
            <w:pPr>
              <w:pStyle w:val="TableParagraph"/>
              <w:spacing w:line="179" w:lineRule="exact"/>
              <w:ind w:left="221"/>
              <w:rPr>
                <w:sz w:val="14"/>
              </w:rPr>
            </w:pPr>
            <w:r>
              <w:rPr>
                <w:sz w:val="14"/>
              </w:rPr>
              <w:t>复操作高达 2 万次</w:t>
            </w:r>
          </w:p>
        </w:tc>
        <w:tc>
          <w:tcPr>
            <w:tcW w:w="3647" w:type="dxa"/>
            <w:tcBorders>
              <w:top w:val="single" w:sz="4" w:space="0" w:color="000000"/>
              <w:bottom w:val="single" w:sz="4" w:space="0" w:color="000000"/>
            </w:tcBorders>
          </w:tcPr>
          <w:p>
            <w:pPr>
              <w:pStyle w:val="TableParagraph"/>
              <w:spacing w:before="6"/>
              <w:rPr>
                <w:sz w:val="17"/>
              </w:rPr>
            </w:pPr>
          </w:p>
          <w:p>
            <w:pPr>
              <w:pStyle w:val="TableParagraph"/>
              <w:spacing w:line="417" w:lineRule="auto"/>
              <w:ind w:left="150" w:right="97"/>
              <w:rPr>
                <w:sz w:val="14"/>
              </w:rPr>
            </w:pPr>
            <w:r>
              <w:rPr>
                <w:sz w:val="14"/>
              </w:rPr>
              <w:t>此法工作强度大，过程复杂，不能用于大量生产单一稀土</w:t>
            </w:r>
          </w:p>
        </w:tc>
      </w:tr>
      <w:tr>
        <w:tblPrEx>
          <w:tblW w:w="0" w:type="auto"/>
          <w:jc w:val="left"/>
          <w:tblInd w:w="199" w:type="dxa"/>
          <w:tblLayout w:type="fixed"/>
          <w:tblCellMar>
            <w:top w:w="0" w:type="dxa"/>
            <w:left w:w="0" w:type="dxa"/>
            <w:bottom w:w="0" w:type="dxa"/>
            <w:right w:w="0" w:type="dxa"/>
          </w:tblCellMar>
          <w:tblLook w:val="01E0"/>
        </w:tblPrEx>
        <w:trPr>
          <w:trHeight w:val="936"/>
          <w:jc w:val="left"/>
        </w:trPr>
        <w:tc>
          <w:tcPr>
            <w:tcW w:w="108" w:type="dxa"/>
          </w:tcPr>
          <w:p>
            <w:pPr>
              <w:pStyle w:val="TableParagraph"/>
              <w:rPr>
                <w:rFonts w:ascii="Times New Roman"/>
                <w:sz w:val="16"/>
              </w:rPr>
            </w:pPr>
          </w:p>
        </w:tc>
        <w:tc>
          <w:tcPr>
            <w:tcW w:w="1220" w:type="dxa"/>
          </w:tcPr>
          <w:p>
            <w:pPr>
              <w:pStyle w:val="TableParagraph"/>
              <w:rPr>
                <w:sz w:val="14"/>
              </w:rPr>
            </w:pPr>
          </w:p>
          <w:p>
            <w:pPr>
              <w:pStyle w:val="TableParagraph"/>
              <w:spacing w:before="7"/>
              <w:rPr>
                <w:sz w:val="15"/>
              </w:rPr>
            </w:pPr>
          </w:p>
          <w:p>
            <w:pPr>
              <w:pStyle w:val="TableParagraph"/>
              <w:ind w:left="329"/>
              <w:rPr>
                <w:sz w:val="14"/>
              </w:rPr>
            </w:pPr>
            <w:r>
              <w:rPr>
                <w:w w:val="95"/>
                <w:sz w:val="14"/>
              </w:rPr>
              <w:t>萃取分离</w:t>
            </w:r>
          </w:p>
          <w:p>
            <w:pPr>
              <w:pStyle w:val="TableParagraph"/>
              <w:spacing w:before="4"/>
              <w:rPr>
                <w:sz w:val="10"/>
              </w:rPr>
            </w:pPr>
          </w:p>
          <w:p>
            <w:pPr>
              <w:pStyle w:val="TableParagraph"/>
              <w:ind w:left="329"/>
              <w:rPr>
                <w:sz w:val="14"/>
              </w:rPr>
            </w:pPr>
            <w:r>
              <w:rPr>
                <w:w w:val="95"/>
                <w:sz w:val="14"/>
              </w:rPr>
              <w:t>（湿法）</w:t>
            </w:r>
          </w:p>
        </w:tc>
        <w:tc>
          <w:tcPr>
            <w:tcW w:w="1110" w:type="dxa"/>
            <w:tcBorders>
              <w:top w:val="single" w:sz="4" w:space="0" w:color="000000"/>
              <w:bottom w:val="single" w:sz="4" w:space="0" w:color="000000"/>
            </w:tcBorders>
            <w:shd w:val="clear" w:color="auto" w:fill="E7E6E6"/>
          </w:tcPr>
          <w:p>
            <w:pPr>
              <w:pStyle w:val="TableParagraph"/>
              <w:rPr>
                <w:sz w:val="14"/>
              </w:rPr>
            </w:pPr>
          </w:p>
          <w:p>
            <w:pPr>
              <w:pStyle w:val="TableParagraph"/>
              <w:spacing w:before="7"/>
              <w:rPr>
                <w:sz w:val="15"/>
              </w:rPr>
            </w:pPr>
          </w:p>
          <w:p>
            <w:pPr>
              <w:pStyle w:val="TableParagraph"/>
              <w:ind w:left="309" w:right="201"/>
              <w:jc w:val="center"/>
              <w:rPr>
                <w:sz w:val="14"/>
              </w:rPr>
            </w:pPr>
            <w:r>
              <w:rPr>
                <w:sz w:val="14"/>
              </w:rPr>
              <w:t>离子交换</w:t>
            </w:r>
          </w:p>
        </w:tc>
        <w:tc>
          <w:tcPr>
            <w:tcW w:w="4011" w:type="dxa"/>
            <w:tcBorders>
              <w:top w:val="single" w:sz="4" w:space="0" w:color="000000"/>
              <w:bottom w:val="single" w:sz="4" w:space="0" w:color="000000"/>
            </w:tcBorders>
            <w:shd w:val="clear" w:color="auto" w:fill="E7E6E6"/>
          </w:tcPr>
          <w:p>
            <w:pPr>
              <w:pStyle w:val="TableParagraph"/>
              <w:spacing w:before="4"/>
              <w:rPr>
                <w:sz w:val="17"/>
              </w:rPr>
            </w:pPr>
          </w:p>
          <w:p>
            <w:pPr>
              <w:pStyle w:val="TableParagraph"/>
              <w:spacing w:before="1" w:line="417" w:lineRule="auto"/>
              <w:ind w:left="221" w:right="150"/>
              <w:rPr>
                <w:sz w:val="14"/>
              </w:rPr>
            </w:pPr>
            <w:r>
              <w:rPr>
                <w:sz w:val="14"/>
              </w:rPr>
              <w:t>通过此法可获得高纯度单一稀土产品，目前依然运用此法制取超高纯单品以及进行重稀土元素的分离。</w:t>
            </w:r>
          </w:p>
        </w:tc>
        <w:tc>
          <w:tcPr>
            <w:tcW w:w="3647" w:type="dxa"/>
            <w:tcBorders>
              <w:top w:val="single" w:sz="4" w:space="0" w:color="000000"/>
              <w:bottom w:val="single" w:sz="4" w:space="0" w:color="000000"/>
            </w:tcBorders>
            <w:shd w:val="clear" w:color="auto" w:fill="E7E6E6"/>
          </w:tcPr>
          <w:p>
            <w:pPr>
              <w:pStyle w:val="TableParagraph"/>
              <w:spacing w:before="66"/>
              <w:ind w:left="150"/>
              <w:rPr>
                <w:sz w:val="14"/>
              </w:rPr>
            </w:pPr>
            <w:r>
              <w:rPr>
                <w:w w:val="95"/>
                <w:sz w:val="14"/>
              </w:rPr>
              <w:t>优点是一次操作可以将多个元素加以分离，并得到高纯</w:t>
            </w:r>
          </w:p>
          <w:p>
            <w:pPr>
              <w:pStyle w:val="TableParagraph"/>
              <w:spacing w:before="3" w:line="310" w:lineRule="atLeast"/>
              <w:ind w:left="150" w:right="138"/>
              <w:rPr>
                <w:sz w:val="14"/>
              </w:rPr>
            </w:pPr>
            <w:r>
              <w:rPr>
                <w:spacing w:val="-1"/>
                <w:sz w:val="14"/>
              </w:rPr>
              <w:t>度的产品；缺点是不能连续处理，一次操作周期长，树</w:t>
            </w:r>
            <w:r>
              <w:rPr>
                <w:spacing w:val="-1"/>
                <w:w w:val="95"/>
                <w:sz w:val="14"/>
              </w:rPr>
              <w:t>脂再生、交换等成本较高，故而逐渐被溶剂萃取法取代</w:t>
            </w:r>
          </w:p>
        </w:tc>
      </w:tr>
      <w:tr>
        <w:tblPrEx>
          <w:tblW w:w="0" w:type="auto"/>
          <w:jc w:val="left"/>
          <w:tblInd w:w="199" w:type="dxa"/>
          <w:tblLayout w:type="fixed"/>
          <w:tblCellMar>
            <w:top w:w="0" w:type="dxa"/>
            <w:left w:w="0" w:type="dxa"/>
            <w:bottom w:w="0" w:type="dxa"/>
            <w:right w:w="0" w:type="dxa"/>
          </w:tblCellMar>
          <w:tblLook w:val="01E0"/>
        </w:tblPrEx>
        <w:trPr>
          <w:trHeight w:val="1247"/>
          <w:jc w:val="left"/>
        </w:trPr>
        <w:tc>
          <w:tcPr>
            <w:tcW w:w="108" w:type="dxa"/>
          </w:tcPr>
          <w:p>
            <w:pPr>
              <w:pStyle w:val="TableParagraph"/>
              <w:rPr>
                <w:rFonts w:ascii="Times New Roman"/>
                <w:sz w:val="16"/>
              </w:rPr>
            </w:pPr>
          </w:p>
        </w:tc>
        <w:tc>
          <w:tcPr>
            <w:tcW w:w="1220" w:type="dxa"/>
            <w:tcBorders>
              <w:bottom w:val="single" w:sz="4" w:space="0" w:color="000000"/>
            </w:tcBorders>
          </w:tcPr>
          <w:p>
            <w:pPr>
              <w:pStyle w:val="TableParagraph"/>
              <w:rPr>
                <w:rFonts w:ascii="Times New Roman"/>
                <w:sz w:val="16"/>
              </w:rPr>
            </w:pPr>
          </w:p>
        </w:tc>
        <w:tc>
          <w:tcPr>
            <w:tcW w:w="1110" w:type="dxa"/>
            <w:tcBorders>
              <w:top w:val="single" w:sz="4" w:space="0" w:color="000000"/>
              <w:bottom w:val="single" w:sz="4" w:space="0" w:color="000000"/>
            </w:tcBorders>
          </w:tcPr>
          <w:p>
            <w:pPr>
              <w:pStyle w:val="TableParagraph"/>
              <w:rPr>
                <w:sz w:val="14"/>
              </w:rPr>
            </w:pPr>
          </w:p>
          <w:p>
            <w:pPr>
              <w:pStyle w:val="TableParagraph"/>
              <w:rPr>
                <w:sz w:val="14"/>
              </w:rPr>
            </w:pPr>
          </w:p>
          <w:p>
            <w:pPr>
              <w:pStyle w:val="TableParagraph"/>
              <w:spacing w:before="8"/>
              <w:rPr>
                <w:sz w:val="13"/>
              </w:rPr>
            </w:pPr>
          </w:p>
          <w:p>
            <w:pPr>
              <w:pStyle w:val="TableParagraph"/>
              <w:spacing w:before="1"/>
              <w:ind w:left="309" w:right="201"/>
              <w:jc w:val="center"/>
              <w:rPr>
                <w:sz w:val="14"/>
              </w:rPr>
            </w:pPr>
            <w:r>
              <w:rPr>
                <w:sz w:val="14"/>
              </w:rPr>
              <w:t>溶剂萃取</w:t>
            </w:r>
          </w:p>
        </w:tc>
        <w:tc>
          <w:tcPr>
            <w:tcW w:w="4011" w:type="dxa"/>
            <w:tcBorders>
              <w:top w:val="single" w:sz="4" w:space="0" w:color="000000"/>
              <w:bottom w:val="single" w:sz="4" w:space="0" w:color="000000"/>
            </w:tcBorders>
          </w:tcPr>
          <w:p>
            <w:pPr>
              <w:pStyle w:val="TableParagraph"/>
              <w:spacing w:before="66" w:line="417" w:lineRule="auto"/>
              <w:ind w:left="221" w:right="150"/>
              <w:jc w:val="both"/>
              <w:rPr>
                <w:sz w:val="14"/>
              </w:rPr>
            </w:pPr>
            <w:r>
              <w:rPr>
                <w:sz w:val="14"/>
              </w:rPr>
              <w:t>利用有机溶剂从与其不相混溶的水溶液中把被萃取物进行提取分离，物质从一个液相转移到另一个液相，在石油化工、有机化学、药物化学和分析化学方面应用较早，近年在核燃</w:t>
            </w:r>
          </w:p>
          <w:p>
            <w:pPr>
              <w:pStyle w:val="TableParagraph"/>
              <w:spacing w:line="179" w:lineRule="exact"/>
              <w:ind w:left="221"/>
              <w:rPr>
                <w:sz w:val="14"/>
              </w:rPr>
            </w:pPr>
            <w:r>
              <w:rPr>
                <w:sz w:val="14"/>
              </w:rPr>
              <w:t>料工业、稀有冶金等工业方面也得到了很大的发展</w:t>
            </w:r>
          </w:p>
        </w:tc>
        <w:tc>
          <w:tcPr>
            <w:tcW w:w="3647" w:type="dxa"/>
            <w:tcBorders>
              <w:top w:val="single" w:sz="4" w:space="0" w:color="000000"/>
              <w:bottom w:val="single" w:sz="4" w:space="0" w:color="000000"/>
            </w:tcBorders>
          </w:tcPr>
          <w:p>
            <w:pPr>
              <w:pStyle w:val="TableParagraph"/>
              <w:spacing w:before="4"/>
              <w:rPr>
                <w:sz w:val="17"/>
              </w:rPr>
            </w:pPr>
          </w:p>
          <w:p>
            <w:pPr>
              <w:pStyle w:val="TableParagraph"/>
              <w:spacing w:line="417" w:lineRule="auto"/>
              <w:ind w:left="150" w:right="138"/>
              <w:jc w:val="both"/>
              <w:rPr>
                <w:sz w:val="14"/>
              </w:rPr>
            </w:pPr>
            <w:r>
              <w:rPr>
                <w:spacing w:val="-1"/>
                <w:sz w:val="14"/>
              </w:rPr>
              <w:t>优点是分离效果好、生产能力大、便于快速连续生产、易于实现自动控制，已逐渐变成分离大量稀土的主要方</w:t>
            </w:r>
            <w:r>
              <w:rPr>
                <w:sz w:val="14"/>
              </w:rPr>
              <w:t>法</w:t>
            </w:r>
          </w:p>
        </w:tc>
      </w:tr>
      <w:tr>
        <w:tblPrEx>
          <w:tblW w:w="0" w:type="auto"/>
          <w:jc w:val="left"/>
          <w:tblInd w:w="199" w:type="dxa"/>
          <w:tblLayout w:type="fixed"/>
          <w:tblCellMar>
            <w:top w:w="0" w:type="dxa"/>
            <w:left w:w="0" w:type="dxa"/>
            <w:bottom w:w="0" w:type="dxa"/>
            <w:right w:w="0" w:type="dxa"/>
          </w:tblCellMar>
          <w:tblLook w:val="01E0"/>
        </w:tblPrEx>
        <w:trPr>
          <w:trHeight w:val="312"/>
          <w:jc w:val="left"/>
        </w:trPr>
        <w:tc>
          <w:tcPr>
            <w:tcW w:w="108" w:type="dxa"/>
          </w:tcPr>
          <w:p>
            <w:pPr>
              <w:pStyle w:val="TableParagraph"/>
              <w:rPr>
                <w:rFonts w:ascii="Times New Roman"/>
                <w:sz w:val="16"/>
              </w:rPr>
            </w:pPr>
          </w:p>
        </w:tc>
        <w:tc>
          <w:tcPr>
            <w:tcW w:w="1220" w:type="dxa"/>
            <w:tcBorders>
              <w:top w:val="single" w:sz="4" w:space="0" w:color="000000"/>
            </w:tcBorders>
          </w:tcPr>
          <w:p>
            <w:pPr>
              <w:pStyle w:val="TableParagraph"/>
              <w:rPr>
                <w:rFonts w:ascii="Times New Roman"/>
                <w:sz w:val="16"/>
              </w:rPr>
            </w:pPr>
          </w:p>
        </w:tc>
        <w:tc>
          <w:tcPr>
            <w:tcW w:w="1110" w:type="dxa"/>
            <w:tcBorders>
              <w:top w:val="single" w:sz="4" w:space="0" w:color="000000"/>
            </w:tcBorders>
            <w:shd w:val="clear" w:color="auto" w:fill="E7E6E6"/>
          </w:tcPr>
          <w:p>
            <w:pPr>
              <w:pStyle w:val="TableParagraph"/>
              <w:rPr>
                <w:rFonts w:ascii="Times New Roman"/>
                <w:sz w:val="16"/>
              </w:rPr>
            </w:pPr>
          </w:p>
        </w:tc>
        <w:tc>
          <w:tcPr>
            <w:tcW w:w="4011" w:type="dxa"/>
            <w:tcBorders>
              <w:top w:val="single" w:sz="4" w:space="0" w:color="000000"/>
            </w:tcBorders>
            <w:shd w:val="clear" w:color="auto" w:fill="E7E6E6"/>
          </w:tcPr>
          <w:p>
            <w:pPr>
              <w:pStyle w:val="TableParagraph"/>
              <w:rPr>
                <w:rFonts w:ascii="Times New Roman"/>
                <w:sz w:val="16"/>
              </w:rPr>
            </w:pPr>
          </w:p>
        </w:tc>
        <w:tc>
          <w:tcPr>
            <w:tcW w:w="3647" w:type="dxa"/>
            <w:tcBorders>
              <w:top w:val="single" w:sz="4" w:space="0" w:color="000000"/>
            </w:tcBorders>
            <w:shd w:val="clear" w:color="auto" w:fill="E7E6E6"/>
          </w:tcPr>
          <w:p>
            <w:pPr>
              <w:pStyle w:val="TableParagraph"/>
              <w:spacing w:before="66"/>
              <w:ind w:left="150"/>
              <w:rPr>
                <w:sz w:val="14"/>
              </w:rPr>
            </w:pPr>
            <w:r>
              <w:rPr>
                <w:sz w:val="14"/>
              </w:rPr>
              <w:t>氯化物电解是生产金属最普通的方法，优点是工艺简</w:t>
            </w:r>
          </w:p>
        </w:tc>
      </w:tr>
      <w:tr>
        <w:tblPrEx>
          <w:tblW w:w="0" w:type="auto"/>
          <w:jc w:val="left"/>
          <w:tblInd w:w="199" w:type="dxa"/>
          <w:tblLayout w:type="fixed"/>
          <w:tblCellMar>
            <w:top w:w="0" w:type="dxa"/>
            <w:left w:w="0" w:type="dxa"/>
            <w:bottom w:w="0" w:type="dxa"/>
            <w:right w:w="0" w:type="dxa"/>
          </w:tblCellMar>
          <w:tblLook w:val="01E0"/>
        </w:tblPrEx>
        <w:trPr>
          <w:trHeight w:val="624"/>
          <w:jc w:val="left"/>
        </w:trPr>
        <w:tc>
          <w:tcPr>
            <w:tcW w:w="108" w:type="dxa"/>
          </w:tcPr>
          <w:p>
            <w:pPr>
              <w:pStyle w:val="TableParagraph"/>
              <w:rPr>
                <w:rFonts w:ascii="Times New Roman"/>
                <w:sz w:val="16"/>
              </w:rPr>
            </w:pPr>
          </w:p>
        </w:tc>
        <w:tc>
          <w:tcPr>
            <w:tcW w:w="1220" w:type="dxa"/>
          </w:tcPr>
          <w:p>
            <w:pPr>
              <w:pStyle w:val="TableParagraph"/>
              <w:rPr>
                <w:rFonts w:ascii="Times New Roman"/>
                <w:sz w:val="16"/>
              </w:rPr>
            </w:pPr>
          </w:p>
        </w:tc>
        <w:tc>
          <w:tcPr>
            <w:tcW w:w="1110" w:type="dxa"/>
            <w:shd w:val="clear" w:color="auto" w:fill="E7E6E6"/>
          </w:tcPr>
          <w:p>
            <w:pPr>
              <w:pStyle w:val="TableParagraph"/>
              <w:spacing w:before="4"/>
              <w:rPr>
                <w:sz w:val="17"/>
              </w:rPr>
            </w:pPr>
          </w:p>
          <w:p>
            <w:pPr>
              <w:pStyle w:val="TableParagraph"/>
              <w:ind w:left="309" w:right="201"/>
              <w:jc w:val="center"/>
              <w:rPr>
                <w:sz w:val="14"/>
              </w:rPr>
            </w:pPr>
            <w:r>
              <w:rPr>
                <w:sz w:val="14"/>
              </w:rPr>
              <w:t>熔盐电解</w:t>
            </w:r>
          </w:p>
        </w:tc>
        <w:tc>
          <w:tcPr>
            <w:tcW w:w="4011" w:type="dxa"/>
            <w:shd w:val="clear" w:color="auto" w:fill="E7E6E6"/>
          </w:tcPr>
          <w:p>
            <w:pPr>
              <w:pStyle w:val="TableParagraph"/>
              <w:spacing w:before="66"/>
              <w:ind w:left="221"/>
              <w:rPr>
                <w:sz w:val="14"/>
              </w:rPr>
            </w:pPr>
            <w:r>
              <w:rPr>
                <w:sz w:val="14"/>
              </w:rPr>
              <w:t>此法一般用于大批量生产混合稀土金属，电解法分为氯化物</w:t>
            </w:r>
          </w:p>
          <w:p>
            <w:pPr>
              <w:pStyle w:val="TableParagraph"/>
              <w:spacing w:before="4"/>
              <w:rPr>
                <w:sz w:val="10"/>
              </w:rPr>
            </w:pPr>
          </w:p>
          <w:p>
            <w:pPr>
              <w:pStyle w:val="TableParagraph"/>
              <w:ind w:left="221"/>
              <w:rPr>
                <w:sz w:val="14"/>
              </w:rPr>
            </w:pPr>
            <w:r>
              <w:rPr>
                <w:sz w:val="14"/>
              </w:rPr>
              <w:t>电解和氧化物电解</w:t>
            </w:r>
          </w:p>
        </w:tc>
        <w:tc>
          <w:tcPr>
            <w:tcW w:w="3647" w:type="dxa"/>
            <w:shd w:val="clear" w:color="auto" w:fill="E7E6E6"/>
          </w:tcPr>
          <w:p>
            <w:pPr>
              <w:pStyle w:val="TableParagraph"/>
              <w:spacing w:before="66"/>
              <w:ind w:left="150"/>
              <w:rPr>
                <w:sz w:val="14"/>
              </w:rPr>
            </w:pPr>
            <w:r>
              <w:rPr>
                <w:w w:val="95"/>
                <w:sz w:val="14"/>
              </w:rPr>
              <w:t>单，成本便宜，投资小；缺点是氯气放出导致环境污染</w:t>
            </w:r>
          </w:p>
          <w:p>
            <w:pPr>
              <w:pStyle w:val="TableParagraph"/>
              <w:spacing w:before="4"/>
              <w:rPr>
                <w:sz w:val="10"/>
              </w:rPr>
            </w:pPr>
          </w:p>
          <w:p>
            <w:pPr>
              <w:pStyle w:val="TableParagraph"/>
              <w:ind w:left="150"/>
              <w:rPr>
                <w:sz w:val="14"/>
              </w:rPr>
            </w:pPr>
            <w:r>
              <w:rPr>
                <w:w w:val="95"/>
                <w:sz w:val="14"/>
              </w:rPr>
              <w:t>问题。氧化物电解的优点是没有有害气体放出，缺点为</w:t>
            </w:r>
          </w:p>
        </w:tc>
      </w:tr>
      <w:tr>
        <w:tblPrEx>
          <w:tblW w:w="0" w:type="auto"/>
          <w:jc w:val="left"/>
          <w:tblInd w:w="199" w:type="dxa"/>
          <w:tblLayout w:type="fixed"/>
          <w:tblCellMar>
            <w:top w:w="0" w:type="dxa"/>
            <w:left w:w="0" w:type="dxa"/>
            <w:bottom w:w="0" w:type="dxa"/>
            <w:right w:w="0" w:type="dxa"/>
          </w:tblCellMar>
          <w:tblLook w:val="01E0"/>
        </w:tblPrEx>
        <w:trPr>
          <w:trHeight w:val="311"/>
          <w:jc w:val="left"/>
        </w:trPr>
        <w:tc>
          <w:tcPr>
            <w:tcW w:w="108" w:type="dxa"/>
          </w:tcPr>
          <w:p>
            <w:pPr>
              <w:pStyle w:val="TableParagraph"/>
              <w:rPr>
                <w:rFonts w:ascii="Times New Roman"/>
                <w:sz w:val="16"/>
              </w:rPr>
            </w:pPr>
          </w:p>
        </w:tc>
        <w:tc>
          <w:tcPr>
            <w:tcW w:w="1220" w:type="dxa"/>
          </w:tcPr>
          <w:p>
            <w:pPr>
              <w:pStyle w:val="TableParagraph"/>
              <w:spacing w:before="71"/>
              <w:ind w:left="309" w:right="311"/>
              <w:jc w:val="center"/>
              <w:rPr>
                <w:sz w:val="14"/>
              </w:rPr>
            </w:pPr>
            <w:r>
              <w:rPr>
                <w:sz w:val="14"/>
              </w:rPr>
              <w:t>火法冶金</w:t>
            </w:r>
          </w:p>
        </w:tc>
        <w:tc>
          <w:tcPr>
            <w:tcW w:w="1110" w:type="dxa"/>
            <w:tcBorders>
              <w:bottom w:val="single" w:sz="4" w:space="0" w:color="000000"/>
            </w:tcBorders>
            <w:shd w:val="clear" w:color="auto" w:fill="E7E6E6"/>
          </w:tcPr>
          <w:p>
            <w:pPr>
              <w:pStyle w:val="TableParagraph"/>
              <w:rPr>
                <w:rFonts w:ascii="Times New Roman"/>
                <w:sz w:val="16"/>
              </w:rPr>
            </w:pPr>
          </w:p>
        </w:tc>
        <w:tc>
          <w:tcPr>
            <w:tcW w:w="4011" w:type="dxa"/>
            <w:tcBorders>
              <w:bottom w:val="single" w:sz="4" w:space="0" w:color="000000"/>
            </w:tcBorders>
            <w:shd w:val="clear" w:color="auto" w:fill="E7E6E6"/>
          </w:tcPr>
          <w:p>
            <w:pPr>
              <w:pStyle w:val="TableParagraph"/>
              <w:rPr>
                <w:rFonts w:ascii="Times New Roman"/>
                <w:sz w:val="16"/>
              </w:rPr>
            </w:pPr>
          </w:p>
        </w:tc>
        <w:tc>
          <w:tcPr>
            <w:tcW w:w="3647" w:type="dxa"/>
            <w:tcBorders>
              <w:bottom w:val="single" w:sz="4" w:space="0" w:color="000000"/>
            </w:tcBorders>
            <w:shd w:val="clear" w:color="auto" w:fill="E7E6E6"/>
          </w:tcPr>
          <w:p>
            <w:pPr>
              <w:pStyle w:val="TableParagraph"/>
              <w:spacing w:before="66"/>
              <w:ind w:left="150"/>
              <w:rPr>
                <w:sz w:val="14"/>
              </w:rPr>
            </w:pPr>
            <w:r>
              <w:rPr>
                <w:sz w:val="14"/>
              </w:rPr>
              <w:t>成本高，多用于生产价格较高的单一稀土，如钕、镨等</w:t>
            </w:r>
          </w:p>
        </w:tc>
      </w:tr>
      <w:tr>
        <w:tblPrEx>
          <w:tblW w:w="0" w:type="auto"/>
          <w:jc w:val="left"/>
          <w:tblInd w:w="199" w:type="dxa"/>
          <w:tblLayout w:type="fixed"/>
          <w:tblCellMar>
            <w:top w:w="0" w:type="dxa"/>
            <w:left w:w="0" w:type="dxa"/>
            <w:bottom w:w="0" w:type="dxa"/>
            <w:right w:w="0" w:type="dxa"/>
          </w:tblCellMar>
          <w:tblLook w:val="01E0"/>
        </w:tblPrEx>
        <w:trPr>
          <w:trHeight w:val="950"/>
          <w:jc w:val="left"/>
        </w:trPr>
        <w:tc>
          <w:tcPr>
            <w:tcW w:w="108" w:type="dxa"/>
          </w:tcPr>
          <w:p>
            <w:pPr>
              <w:pStyle w:val="TableParagraph"/>
              <w:rPr>
                <w:rFonts w:ascii="Times New Roman"/>
                <w:sz w:val="16"/>
              </w:rPr>
            </w:pPr>
          </w:p>
        </w:tc>
        <w:tc>
          <w:tcPr>
            <w:tcW w:w="1220" w:type="dxa"/>
          </w:tcPr>
          <w:p>
            <w:pPr>
              <w:pStyle w:val="TableParagraph"/>
              <w:rPr>
                <w:rFonts w:ascii="Times New Roman"/>
                <w:sz w:val="16"/>
              </w:rPr>
            </w:pPr>
          </w:p>
        </w:tc>
        <w:tc>
          <w:tcPr>
            <w:tcW w:w="1110" w:type="dxa"/>
            <w:tcBorders>
              <w:top w:val="single" w:sz="4" w:space="0" w:color="000000"/>
            </w:tcBorders>
          </w:tcPr>
          <w:p>
            <w:pPr>
              <w:pStyle w:val="TableParagraph"/>
              <w:rPr>
                <w:sz w:val="14"/>
              </w:rPr>
            </w:pPr>
          </w:p>
          <w:p>
            <w:pPr>
              <w:pStyle w:val="TableParagraph"/>
              <w:spacing w:before="7"/>
              <w:rPr>
                <w:sz w:val="15"/>
              </w:rPr>
            </w:pPr>
          </w:p>
          <w:p>
            <w:pPr>
              <w:pStyle w:val="TableParagraph"/>
              <w:ind w:left="309" w:right="201"/>
              <w:jc w:val="center"/>
              <w:rPr>
                <w:sz w:val="14"/>
              </w:rPr>
            </w:pPr>
            <w:r>
              <w:rPr>
                <w:sz w:val="14"/>
              </w:rPr>
              <w:t>真空还原</w:t>
            </w:r>
          </w:p>
        </w:tc>
        <w:tc>
          <w:tcPr>
            <w:tcW w:w="4011" w:type="dxa"/>
            <w:tcBorders>
              <w:top w:val="single" w:sz="4" w:space="0" w:color="000000"/>
            </w:tcBorders>
          </w:tcPr>
          <w:p>
            <w:pPr>
              <w:pStyle w:val="TableParagraph"/>
              <w:spacing w:before="66"/>
              <w:ind w:left="221"/>
              <w:rPr>
                <w:sz w:val="14"/>
              </w:rPr>
            </w:pPr>
            <w:r>
              <w:rPr>
                <w:sz w:val="14"/>
              </w:rPr>
              <w:t>制备钐、铕、镱、铥利用金属的高蒸汽压和镧金属的低蒸气</w:t>
            </w:r>
          </w:p>
          <w:p>
            <w:pPr>
              <w:pStyle w:val="TableParagraph"/>
              <w:spacing w:before="2" w:line="310" w:lineRule="atLeast"/>
              <w:ind w:left="221" w:right="150"/>
              <w:rPr>
                <w:sz w:val="14"/>
              </w:rPr>
            </w:pPr>
            <w:r>
              <w:rPr>
                <w:sz w:val="14"/>
              </w:rPr>
              <w:t>压原理，将稀土氧化物与镧金属的碎屑进行混合压块，在真空炉中还原成金属后收集在冷凝上，便于与渣进行分离</w:t>
            </w:r>
          </w:p>
        </w:tc>
        <w:tc>
          <w:tcPr>
            <w:tcW w:w="3647" w:type="dxa"/>
            <w:tcBorders>
              <w:top w:val="single" w:sz="4" w:space="0" w:color="000000"/>
            </w:tcBorders>
          </w:tcPr>
          <w:p>
            <w:pPr>
              <w:pStyle w:val="TableParagraph"/>
              <w:spacing w:before="4"/>
              <w:rPr>
                <w:sz w:val="17"/>
              </w:rPr>
            </w:pPr>
          </w:p>
          <w:p>
            <w:pPr>
              <w:pStyle w:val="TableParagraph"/>
              <w:spacing w:line="417" w:lineRule="auto"/>
              <w:ind w:left="150" w:right="97"/>
              <w:rPr>
                <w:sz w:val="14"/>
              </w:rPr>
            </w:pPr>
            <w:r>
              <w:rPr>
                <w:sz w:val="14"/>
              </w:rPr>
              <w:t>此法一般用于制备杂质较低，纯度高的稀土金属，且可以生产所有的单一稀土金属，钐、铕、镱、铥除外</w:t>
            </w:r>
          </w:p>
        </w:tc>
      </w:tr>
    </w:tbl>
    <w:p>
      <w:pPr>
        <w:pStyle w:val="BodyText"/>
        <w:spacing w:line="20" w:lineRule="exact"/>
        <w:ind w:left="187"/>
        <w:rPr>
          <w:sz w:val="2"/>
        </w:rPr>
      </w:pPr>
      <w:r>
        <w:rPr>
          <w:sz w:val="2"/>
        </w:rPr>
        <w:pict>
          <v:group id="_x0000_i1179" style="width:510.35pt;height:1pt;mso-position-horizontal-relative:char;mso-position-vertical-relative:line" coordorigin="0,0" coordsize="10207,20">
            <v:line id="_x0000_s1180" style="position:absolute" from="108,5" to="1328,5" stroked="t" strokecolor="black" strokeweight="0.48pt">
              <v:stroke dashstyle="solid"/>
            </v:line>
            <v:line id="_x0000_s1181" style="position:absolute" from="0,14" to="10207,14" stroked="t" strokecolor="#013e96" strokeweight="0.48pt">
              <v:stroke dashstyle="solid"/>
            </v:line>
            <w10:wrap type="none"/>
          </v:group>
        </w:pict>
      </w:r>
    </w:p>
    <w:p>
      <w:pPr>
        <w:spacing w:before="87"/>
        <w:ind w:left="300" w:right="0" w:firstLine="0"/>
        <w:jc w:val="left"/>
        <w:rPr>
          <w:sz w:val="15"/>
        </w:rPr>
      </w:pPr>
      <w:r>
        <w:t xml:space="preserve">数据来源：亚洲金属网，《我国稀土资源冶炼分离技术研究进展》胡轶文等，， </w:t>
      </w:r>
    </w:p>
    <w:p>
      <w:pPr>
        <w:pStyle w:val="BodyText"/>
        <w:spacing w:before="6"/>
        <w:rPr>
          <w:sz w:val="19"/>
        </w:rPr>
      </w:pPr>
    </w:p>
    <w:p>
      <w:pPr>
        <w:pStyle w:val="BodyText"/>
        <w:spacing w:before="72" w:line="348" w:lineRule="auto"/>
        <w:ind w:left="2712" w:right="218" w:firstLine="423"/>
      </w:pPr>
      <w:r>
        <w:rPr>
          <w:b/>
        </w:rPr>
        <w:t>稀土资源开发对自然环境有较大影响，高昂的环境成本也是除技术工艺外另一</w:t>
      </w:r>
      <w:r>
        <w:rPr>
          <w:b/>
          <w:spacing w:val="-6"/>
        </w:rPr>
        <w:t>个海外稀土资源开发利用的障碍。</w:t>
      </w:r>
      <w:r>
        <w:rPr>
          <w:spacing w:val="-6"/>
        </w:rPr>
        <w:t>稀土的开发对整个生态环境有很大的影响，若处理</w:t>
      </w:r>
      <w:r>
        <w:rPr>
          <w:spacing w:val="-11"/>
        </w:rPr>
        <w:t>不当，最为严重的危害是来自稀土元素钍和铀的轻度放射性浆尾矿，此外毒酸是精炼</w:t>
      </w:r>
      <w:r>
        <w:rPr>
          <w:spacing w:val="-10"/>
        </w:rPr>
        <w:t>稀土元素过程中的必须辅料，可造成一系列的环境问题包括水土流失，山体滑坡，地</w:t>
      </w:r>
      <w:r>
        <w:rPr>
          <w:spacing w:val="-11"/>
        </w:rPr>
        <w:t>面裂缝和沉降、良田被毁、矿区水源富营养化、重金属污染等。正是由于稀土开采对</w:t>
      </w:r>
      <w:r>
        <w:rPr>
          <w:spacing w:val="-8"/>
        </w:rPr>
        <w:t>环境的影响很大，美国、马来西亚等国为保护环境、保护资源基本上停止开采稀土。</w:t>
      </w:r>
      <w:r>
        <w:rPr>
          <w:spacing w:val="-10"/>
        </w:rPr>
        <w:t>美国芒廷帕斯稀土矿、钕磁铁制造公司相继停产；法国初级稀土原料基本依靠从中国</w:t>
      </w:r>
      <w:r>
        <w:rPr>
          <w:spacing w:val="-12"/>
        </w:rPr>
        <w:t>进口；日本、德国也基本靠进口，西方国家的用意明显：与其付出高额环保成本在本国生产稀土，不如买中国没多少环保成本的廉价稀土。因此尽管近期海外自主开发稀</w:t>
      </w:r>
      <w:r>
        <w:rPr>
          <w:spacing w:val="-6"/>
        </w:rPr>
        <w:t>土资源的呼声不断，高昂的环境成本是除技术工艺外又一大障碍。</w:t>
      </w:r>
    </w:p>
    <w:p>
      <w:pPr>
        <w:spacing w:before="145"/>
        <w:ind w:left="307" w:right="0" w:firstLine="0"/>
        <w:jc w:val="left"/>
        <w:rPr>
          <w:b/>
          <w:i/>
          <w:sz w:val="22"/>
        </w:rPr>
      </w:pPr>
      <w:r>
        <w:pict>
          <v:shape id="_x0000_s1182" style="width:510.6pt;height:0.1pt;margin-top:26.53pt;margin-left:42.24pt;mso-position-horizontal-relative:page;mso-wrap-distance-left:0;mso-wrap-distance-right:0;position:absolute;z-index:-251633664" coordorigin="845,531" coordsize="10212,0" path="m845,531l11056,531e" filled="f" stroked="t" strokecolor="#013e96" strokeweight="0.48pt">
            <v:stroke dashstyle="solid"/>
            <v:path arrowok="t"/>
            <w10:wrap type="topAndBottom"/>
          </v:shape>
        </w:pict>
      </w:r>
      <w:r>
        <w:rPr>
          <w:b/>
          <w:i/>
          <w:sz w:val="22"/>
        </w:rPr>
        <w:t xml:space="preserve">图表 </w:t>
      </w:r>
      <w:r>
        <w:rPr>
          <w:rFonts w:ascii="Arial" w:eastAsia="Arial"/>
          <w:b/>
          <w:i/>
          <w:sz w:val="21"/>
        </w:rPr>
        <w:t>4</w:t>
      </w:r>
      <w:r>
        <w:rPr>
          <w:b/>
          <w:i/>
          <w:sz w:val="22"/>
        </w:rPr>
        <w:t>：中国不同稀土矿的分布和对环境影响</w:t>
      </w:r>
    </w:p>
    <w:p>
      <w:pPr>
        <w:spacing w:after="0"/>
        <w:jc w:val="left"/>
        <w:rPr>
          <w:sz w:val="22"/>
        </w:rPr>
        <w:sectPr>
          <w:headerReference w:type="default" r:id="rId28"/>
          <w:footerReference w:type="default" r:id="rId29"/>
          <w:pgSz w:w="11910" w:h="16840"/>
          <w:pgMar w:top="1360" w:right="520" w:bottom="660" w:left="660" w:header="708" w:footer="708"/>
          <w:pgNumType w:start="12"/>
          <w:cols w:space="708"/>
        </w:sectPr>
      </w:pPr>
    </w:p>
    <w:p>
      <w:pPr>
        <w:pStyle w:val="BodyText"/>
        <w:spacing w:before="5"/>
        <w:rPr>
          <w:b/>
          <w:i/>
          <w:sz w:val="3"/>
        </w:rPr>
      </w:pPr>
      <w:r>
        <w:pict>
          <v:shape id="_x0000_s1183" type="#_x0000_t202" style="width:60pt;height:12pt;margin-top:36.85pt;margin-left:488.98pt;mso-position-horizontal-relative:page;mso-position-vertical-relative:page;position:absolute;z-index:-251630592" filled="f" stroked="f">
            <v:textbox inset="0,0,0,0">
              <w:txbxContent>
                <w:p>
                  <w:pPr>
                    <w:spacing w:before="0" w:line="240" w:lineRule="exact"/>
                    <w:ind w:left="0" w:right="0" w:firstLine="0"/>
                    <w:jc w:val="left"/>
                    <w:rPr>
                      <w:sz w:val="24"/>
                    </w:rPr>
                  </w:pPr>
                  <w:r>
                    <w:rPr>
                      <w:sz w:val="24"/>
                    </w:rPr>
                    <w:t>丨公司名称</w:t>
                  </w:r>
                </w:p>
              </w:txbxContent>
            </v:textbox>
          </v:shape>
        </w:pict>
      </w:r>
      <w:r>
        <w:drawing>
          <wp:anchor distT="0" distB="0" distL="0" distR="0" simplePos="0" relativeHeight="251686912" behindDoc="1" locked="0" layoutInCell="1" allowOverlap="1">
            <wp:simplePos x="0" y="0"/>
            <wp:positionH relativeFrom="page">
              <wp:posOffset>1659794</wp:posOffset>
            </wp:positionH>
            <wp:positionV relativeFrom="page">
              <wp:posOffset>1815718</wp:posOffset>
            </wp:positionV>
            <wp:extent cx="44005" cy="66008"/>
            <wp:effectExtent l="0" t="0" r="0" b="0"/>
            <wp:wrapNone/>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pic:nvPicPr>
                  <pic:blipFill>
                    <a:blip xmlns:r="http://schemas.openxmlformats.org/officeDocument/2006/relationships" r:embed="rId30" cstate="print"/>
                    <a:stretch>
                      <a:fillRect/>
                    </a:stretch>
                  </pic:blipFill>
                  <pic:spPr>
                    <a:xfrm>
                      <a:off x="0" y="0"/>
                      <a:ext cx="44005" cy="66008"/>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3481444</wp:posOffset>
            </wp:positionH>
            <wp:positionV relativeFrom="page">
              <wp:posOffset>2219578</wp:posOffset>
            </wp:positionV>
            <wp:extent cx="44005" cy="66008"/>
            <wp:effectExtent l="0" t="0" r="0" b="0"/>
            <wp:wrapNone/>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pic:nvPicPr>
                  <pic:blipFill>
                    <a:blip xmlns:r="http://schemas.openxmlformats.org/officeDocument/2006/relationships" r:embed="rId30" cstate="print"/>
                    <a:stretch>
                      <a:fillRect/>
                    </a:stretch>
                  </pic:blipFill>
                  <pic:spPr>
                    <a:xfrm>
                      <a:off x="0" y="0"/>
                      <a:ext cx="44005" cy="66008"/>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3624598</wp:posOffset>
            </wp:positionH>
            <wp:positionV relativeFrom="page">
              <wp:posOffset>2219578</wp:posOffset>
            </wp:positionV>
            <wp:extent cx="44005" cy="66008"/>
            <wp:effectExtent l="0" t="0" r="0" b="0"/>
            <wp:wrapNone/>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png"/>
                    <pic:cNvPicPr/>
                  </pic:nvPicPr>
                  <pic:blipFill>
                    <a:blip xmlns:r="http://schemas.openxmlformats.org/officeDocument/2006/relationships" r:embed="rId30" cstate="print"/>
                    <a:stretch>
                      <a:fillRect/>
                    </a:stretch>
                  </pic:blipFill>
                  <pic:spPr>
                    <a:xfrm>
                      <a:off x="0" y="0"/>
                      <a:ext cx="44005" cy="66008"/>
                    </a:xfrm>
                    <a:prstGeom prst="rect">
                      <a:avLst/>
                    </a:prstGeom>
                  </pic:spPr>
                </pic:pic>
              </a:graphicData>
            </a:graphic>
          </wp:anchor>
        </w:drawing>
      </w:r>
      <w:r>
        <w:drawing>
          <wp:anchor distT="0" distB="0" distL="0" distR="0" simplePos="0" relativeHeight="251689984" behindDoc="1" locked="0" layoutInCell="1" allowOverlap="1">
            <wp:simplePos x="0" y="0"/>
            <wp:positionH relativeFrom="page">
              <wp:posOffset>4267986</wp:posOffset>
            </wp:positionH>
            <wp:positionV relativeFrom="page">
              <wp:posOffset>2219578</wp:posOffset>
            </wp:positionV>
            <wp:extent cx="44005" cy="66008"/>
            <wp:effectExtent l="0" t="0" r="0" b="0"/>
            <wp:wrapNone/>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png"/>
                    <pic:cNvPicPr/>
                  </pic:nvPicPr>
                  <pic:blipFill>
                    <a:blip xmlns:r="http://schemas.openxmlformats.org/officeDocument/2006/relationships" r:embed="rId30" cstate="print"/>
                    <a:stretch>
                      <a:fillRect/>
                    </a:stretch>
                  </pic:blipFill>
                  <pic:spPr>
                    <a:xfrm>
                      <a:off x="0" y="0"/>
                      <a:ext cx="44005" cy="66008"/>
                    </a:xfrm>
                    <a:prstGeom prst="rect">
                      <a:avLst/>
                    </a:prstGeom>
                  </pic:spPr>
                </pic:pic>
              </a:graphicData>
            </a:graphic>
          </wp:anchor>
        </w:drawing>
      </w:r>
      <w:r>
        <w:drawing>
          <wp:anchor distT="0" distB="0" distL="0" distR="0" simplePos="0" relativeHeight="251691008" behindDoc="1" locked="0" layoutInCell="1" allowOverlap="1">
            <wp:simplePos x="0" y="0"/>
            <wp:positionH relativeFrom="page">
              <wp:posOffset>4720716</wp:posOffset>
            </wp:positionH>
            <wp:positionV relativeFrom="page">
              <wp:posOffset>2615818</wp:posOffset>
            </wp:positionV>
            <wp:extent cx="44005" cy="66008"/>
            <wp:effectExtent l="0" t="0" r="0" b="0"/>
            <wp:wrapNone/>
            <wp:docPr id="1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png"/>
                    <pic:cNvPicPr/>
                  </pic:nvPicPr>
                  <pic:blipFill>
                    <a:blip xmlns:r="http://schemas.openxmlformats.org/officeDocument/2006/relationships" r:embed="rId30" cstate="print"/>
                    <a:stretch>
                      <a:fillRect/>
                    </a:stretch>
                  </pic:blipFill>
                  <pic:spPr>
                    <a:xfrm>
                      <a:off x="0" y="0"/>
                      <a:ext cx="44005" cy="66008"/>
                    </a:xfrm>
                    <a:prstGeom prst="rect">
                      <a:avLst/>
                    </a:prstGeom>
                  </pic:spPr>
                </pic:pic>
              </a:graphicData>
            </a:graphic>
          </wp:anchor>
        </w:drawing>
      </w:r>
      <w:r>
        <w:pict>
          <v:line id="_x0000_s1184" style="mso-position-horizontal-relative:page;mso-position-vertical-relative:page;position:absolute;z-index:251694080" from="42.6pt,71.15pt" to="552.95pt,71.15pt" stroked="t" strokecolor="#013e96" strokeweight="0.48pt">
            <v:stroke dashstyle="solid"/>
          </v:line>
        </w:pict>
      </w:r>
    </w:p>
    <w:tbl>
      <w:tblPr>
        <w:tblStyle w:val="TableNormal1"/>
        <w:tblW w:w="0" w:type="auto"/>
        <w:jc w:val="left"/>
        <w:tblInd w:w="3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30"/>
        <w:gridCol w:w="1760"/>
        <w:gridCol w:w="6901"/>
      </w:tblGrid>
      <w:tr>
        <w:tblPrEx>
          <w:tblW w:w="0" w:type="auto"/>
          <w:jc w:val="left"/>
          <w:tblInd w:w="3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4"/>
          <w:jc w:val="left"/>
        </w:trPr>
        <w:tc>
          <w:tcPr>
            <w:tcW w:w="1330" w:type="dxa"/>
            <w:shd w:val="clear" w:color="auto" w:fill="4774CA"/>
          </w:tcPr>
          <w:p>
            <w:pPr>
              <w:pStyle w:val="TableParagraph"/>
              <w:spacing w:before="97"/>
              <w:ind w:left="120" w:right="115"/>
              <w:jc w:val="center"/>
              <w:rPr>
                <w:sz w:val="16"/>
              </w:rPr>
            </w:pPr>
            <w:r>
              <w:rPr>
                <w:color w:val="FFFFFF"/>
                <w:sz w:val="16"/>
              </w:rPr>
              <w:t>稀土矿类型</w:t>
            </w:r>
          </w:p>
        </w:tc>
        <w:tc>
          <w:tcPr>
            <w:tcW w:w="1760" w:type="dxa"/>
            <w:shd w:val="clear" w:color="auto" w:fill="4774CA"/>
          </w:tcPr>
          <w:p>
            <w:pPr>
              <w:pStyle w:val="TableParagraph"/>
              <w:spacing w:before="97"/>
              <w:ind w:left="80" w:right="64"/>
              <w:jc w:val="center"/>
              <w:rPr>
                <w:sz w:val="16"/>
              </w:rPr>
            </w:pPr>
            <w:r>
              <w:rPr>
                <w:color w:val="FFFFFF"/>
                <w:sz w:val="16"/>
              </w:rPr>
              <w:t>分布</w:t>
            </w:r>
          </w:p>
        </w:tc>
        <w:tc>
          <w:tcPr>
            <w:tcW w:w="6901" w:type="dxa"/>
            <w:shd w:val="clear" w:color="auto" w:fill="4774CA"/>
          </w:tcPr>
          <w:p>
            <w:pPr>
              <w:pStyle w:val="TableParagraph"/>
              <w:spacing w:before="97"/>
              <w:ind w:left="3036" w:right="3025"/>
              <w:jc w:val="center"/>
              <w:rPr>
                <w:sz w:val="16"/>
              </w:rPr>
            </w:pPr>
            <w:r>
              <w:rPr>
                <w:color w:val="FFFFFF"/>
                <w:sz w:val="16"/>
              </w:rPr>
              <w:t>对环境影响</w:t>
            </w:r>
          </w:p>
        </w:tc>
      </w:tr>
      <w:tr>
        <w:tblPrEx>
          <w:tblW w:w="0" w:type="auto"/>
          <w:jc w:val="left"/>
          <w:tblInd w:w="307" w:type="dxa"/>
          <w:tblLayout w:type="fixed"/>
          <w:tblCellMar>
            <w:top w:w="0" w:type="dxa"/>
            <w:left w:w="0" w:type="dxa"/>
            <w:bottom w:w="0" w:type="dxa"/>
            <w:right w:w="0" w:type="dxa"/>
          </w:tblCellMar>
          <w:tblLook w:val="01E0"/>
        </w:tblPrEx>
        <w:trPr>
          <w:trHeight w:val="312"/>
          <w:jc w:val="left"/>
        </w:trPr>
        <w:tc>
          <w:tcPr>
            <w:tcW w:w="1330" w:type="dxa"/>
          </w:tcPr>
          <w:p>
            <w:pPr>
              <w:pStyle w:val="TableParagraph"/>
              <w:rPr>
                <w:rFonts w:ascii="Times New Roman"/>
                <w:sz w:val="16"/>
              </w:rPr>
            </w:pPr>
          </w:p>
        </w:tc>
        <w:tc>
          <w:tcPr>
            <w:tcW w:w="1760" w:type="dxa"/>
          </w:tcPr>
          <w:p>
            <w:pPr>
              <w:pStyle w:val="TableParagraph"/>
              <w:spacing w:before="61"/>
              <w:ind w:left="80" w:right="65"/>
              <w:jc w:val="center"/>
              <w:rPr>
                <w:sz w:val="15"/>
              </w:rPr>
            </w:pPr>
            <w:r>
              <w:rPr>
                <w:sz w:val="15"/>
              </w:rPr>
              <w:t>是我国储量最丰富的稀</w:t>
            </w:r>
          </w:p>
        </w:tc>
        <w:tc>
          <w:tcPr>
            <w:tcW w:w="6901" w:type="dxa"/>
          </w:tcPr>
          <w:p>
            <w:pPr>
              <w:pStyle w:val="TableParagraph"/>
              <w:spacing w:before="61"/>
              <w:ind w:left="119"/>
              <w:rPr>
                <w:sz w:val="15"/>
              </w:rPr>
            </w:pPr>
            <w:r>
              <w:rPr>
                <w:sz w:val="15"/>
              </w:rPr>
              <w:t>浓硫酸高温焙烧或高温强化焙烧工艺废渣、废气、废水产生量大，且治理的难度较大。混合稀土精矿</w:t>
            </w:r>
          </w:p>
        </w:tc>
      </w:tr>
      <w:tr>
        <w:tblPrEx>
          <w:tblW w:w="0" w:type="auto"/>
          <w:jc w:val="left"/>
          <w:tblInd w:w="307" w:type="dxa"/>
          <w:tblLayout w:type="fixed"/>
          <w:tblCellMar>
            <w:top w:w="0" w:type="dxa"/>
            <w:left w:w="0" w:type="dxa"/>
            <w:bottom w:w="0" w:type="dxa"/>
            <w:right w:w="0" w:type="dxa"/>
          </w:tblCellMar>
          <w:tblLook w:val="01E0"/>
        </w:tblPrEx>
        <w:trPr>
          <w:trHeight w:val="312"/>
          <w:jc w:val="left"/>
        </w:trPr>
        <w:tc>
          <w:tcPr>
            <w:tcW w:w="1330" w:type="dxa"/>
          </w:tcPr>
          <w:p>
            <w:pPr>
              <w:pStyle w:val="TableParagraph"/>
              <w:rPr>
                <w:rFonts w:ascii="Times New Roman"/>
                <w:sz w:val="16"/>
              </w:rPr>
            </w:pPr>
          </w:p>
        </w:tc>
        <w:tc>
          <w:tcPr>
            <w:tcW w:w="1760" w:type="dxa"/>
          </w:tcPr>
          <w:p>
            <w:pPr>
              <w:pStyle w:val="TableParagraph"/>
              <w:spacing w:before="60"/>
              <w:ind w:left="80" w:right="65"/>
              <w:jc w:val="center"/>
              <w:rPr>
                <w:sz w:val="15"/>
              </w:rPr>
            </w:pPr>
            <w:r>
              <w:rPr>
                <w:sz w:val="15"/>
              </w:rPr>
              <w:t>土矿物，其储量占我国</w:t>
            </w:r>
          </w:p>
        </w:tc>
        <w:tc>
          <w:tcPr>
            <w:tcW w:w="6901" w:type="dxa"/>
          </w:tcPr>
          <w:p>
            <w:pPr>
              <w:pStyle w:val="TableParagraph"/>
              <w:spacing w:before="60"/>
              <w:ind w:left="119"/>
              <w:rPr>
                <w:sz w:val="15"/>
              </w:rPr>
            </w:pPr>
            <w:r>
              <w:rPr>
                <w:sz w:val="15"/>
              </w:rPr>
              <w:t>中含萤石，用浓硫酸高温焙烧分解精矿时产生氟化氢、二氧化硫、三氧化硫等含尘烟气。每处理 1t</w:t>
            </w:r>
          </w:p>
        </w:tc>
      </w:tr>
      <w:tr>
        <w:tblPrEx>
          <w:tblW w:w="0" w:type="auto"/>
          <w:jc w:val="left"/>
          <w:tblInd w:w="307" w:type="dxa"/>
          <w:tblLayout w:type="fixed"/>
          <w:tblCellMar>
            <w:top w:w="0" w:type="dxa"/>
            <w:left w:w="0" w:type="dxa"/>
            <w:bottom w:w="0" w:type="dxa"/>
            <w:right w:w="0" w:type="dxa"/>
          </w:tblCellMar>
          <w:tblLook w:val="01E0"/>
        </w:tblPrEx>
        <w:trPr>
          <w:trHeight w:val="311"/>
          <w:jc w:val="left"/>
        </w:trPr>
        <w:tc>
          <w:tcPr>
            <w:tcW w:w="1330" w:type="dxa"/>
          </w:tcPr>
          <w:p>
            <w:pPr>
              <w:pStyle w:val="TableParagraph"/>
              <w:spacing w:before="60"/>
              <w:ind w:left="120" w:right="119"/>
              <w:jc w:val="center"/>
              <w:rPr>
                <w:sz w:val="15"/>
              </w:rPr>
            </w:pPr>
            <w:r>
              <w:rPr>
                <w:sz w:val="15"/>
              </w:rPr>
              <w:t>混合型稀土精矿</w:t>
            </w:r>
          </w:p>
        </w:tc>
        <w:tc>
          <w:tcPr>
            <w:tcW w:w="1760" w:type="dxa"/>
          </w:tcPr>
          <w:p>
            <w:pPr>
              <w:pStyle w:val="TableParagraph"/>
              <w:spacing w:before="60"/>
              <w:ind w:left="78" w:right="65"/>
              <w:jc w:val="center"/>
              <w:rPr>
                <w:sz w:val="15"/>
              </w:rPr>
            </w:pPr>
            <w:r>
              <w:rPr>
                <w:sz w:val="15"/>
              </w:rPr>
              <w:t>稀土资源总储量的</w:t>
            </w:r>
          </w:p>
        </w:tc>
        <w:tc>
          <w:tcPr>
            <w:tcW w:w="6901" w:type="dxa"/>
          </w:tcPr>
          <w:p>
            <w:pPr>
              <w:pStyle w:val="TableParagraph"/>
              <w:spacing w:before="60"/>
              <w:ind w:left="119"/>
              <w:rPr>
                <w:sz w:val="15"/>
              </w:rPr>
            </w:pPr>
            <w:r>
              <w:rPr>
                <w:sz w:val="15"/>
              </w:rPr>
              <w:t>包头稀土矿产生约 60000m3 的焙烧废气，且焙烧尾气治理过程产生高氟废水。每焙烧 1t 稀土精矿约</w:t>
            </w:r>
          </w:p>
        </w:tc>
      </w:tr>
      <w:tr>
        <w:tblPrEx>
          <w:tblW w:w="0" w:type="auto"/>
          <w:jc w:val="left"/>
          <w:tblInd w:w="307" w:type="dxa"/>
          <w:tblLayout w:type="fixed"/>
          <w:tblCellMar>
            <w:top w:w="0" w:type="dxa"/>
            <w:left w:w="0" w:type="dxa"/>
            <w:bottom w:w="0" w:type="dxa"/>
            <w:right w:w="0" w:type="dxa"/>
          </w:tblCellMar>
          <w:tblLook w:val="01E0"/>
        </w:tblPrEx>
        <w:trPr>
          <w:trHeight w:val="312"/>
          <w:jc w:val="left"/>
        </w:trPr>
        <w:tc>
          <w:tcPr>
            <w:tcW w:w="1330" w:type="dxa"/>
          </w:tcPr>
          <w:p>
            <w:pPr>
              <w:pStyle w:val="TableParagraph"/>
              <w:rPr>
                <w:rFonts w:ascii="Times New Roman"/>
                <w:sz w:val="16"/>
              </w:rPr>
            </w:pPr>
          </w:p>
        </w:tc>
        <w:tc>
          <w:tcPr>
            <w:tcW w:w="1760" w:type="dxa"/>
          </w:tcPr>
          <w:p>
            <w:pPr>
              <w:pStyle w:val="TableParagraph"/>
              <w:spacing w:before="60"/>
              <w:ind w:left="78" w:right="65"/>
              <w:jc w:val="center"/>
              <w:rPr>
                <w:sz w:val="15"/>
              </w:rPr>
            </w:pPr>
            <w:r>
              <w:rPr>
                <w:sz w:val="15"/>
              </w:rPr>
              <w:t>84 ，主要分布在内蒙</w:t>
            </w:r>
          </w:p>
        </w:tc>
        <w:tc>
          <w:tcPr>
            <w:tcW w:w="6901" w:type="dxa"/>
          </w:tcPr>
          <w:p>
            <w:pPr>
              <w:pStyle w:val="TableParagraph"/>
              <w:spacing w:before="60"/>
              <w:ind w:left="119"/>
              <w:rPr>
                <w:sz w:val="15"/>
              </w:rPr>
            </w:pPr>
            <w:r>
              <w:rPr>
                <w:sz w:val="15"/>
              </w:rPr>
              <w:t>产生 600kg 干渣，属Ⅰ级低放射性废渣，需建库贮存。碱法分解工艺无废气排放，但其酸浸工序和碱</w:t>
            </w:r>
          </w:p>
        </w:tc>
      </w:tr>
      <w:tr>
        <w:tblPrEx>
          <w:tblW w:w="0" w:type="auto"/>
          <w:jc w:val="left"/>
          <w:tblInd w:w="307" w:type="dxa"/>
          <w:tblLayout w:type="fixed"/>
          <w:tblCellMar>
            <w:top w:w="0" w:type="dxa"/>
            <w:left w:w="0" w:type="dxa"/>
            <w:bottom w:w="0" w:type="dxa"/>
            <w:right w:w="0" w:type="dxa"/>
          </w:tblCellMar>
          <w:tblLook w:val="01E0"/>
        </w:tblPrEx>
        <w:trPr>
          <w:trHeight w:val="310"/>
          <w:jc w:val="left"/>
        </w:trPr>
        <w:tc>
          <w:tcPr>
            <w:tcW w:w="1330" w:type="dxa"/>
            <w:tcBorders>
              <w:bottom w:val="single" w:sz="4" w:space="0" w:color="000000"/>
            </w:tcBorders>
          </w:tcPr>
          <w:p>
            <w:pPr>
              <w:pStyle w:val="TableParagraph"/>
              <w:rPr>
                <w:rFonts w:ascii="Times New Roman"/>
                <w:sz w:val="16"/>
              </w:rPr>
            </w:pPr>
          </w:p>
        </w:tc>
        <w:tc>
          <w:tcPr>
            <w:tcW w:w="1760" w:type="dxa"/>
            <w:tcBorders>
              <w:bottom w:val="single" w:sz="4" w:space="0" w:color="000000"/>
            </w:tcBorders>
          </w:tcPr>
          <w:p>
            <w:pPr>
              <w:pStyle w:val="TableParagraph"/>
              <w:spacing w:before="60"/>
              <w:ind w:left="80" w:right="65"/>
              <w:jc w:val="center"/>
              <w:rPr>
                <w:sz w:val="15"/>
              </w:rPr>
            </w:pPr>
            <w:r>
              <w:rPr>
                <w:sz w:val="15"/>
              </w:rPr>
              <w:t>古包头白云鄂博地区</w:t>
            </w:r>
          </w:p>
        </w:tc>
        <w:tc>
          <w:tcPr>
            <w:tcW w:w="6901" w:type="dxa"/>
            <w:tcBorders>
              <w:bottom w:val="single" w:sz="4" w:space="0" w:color="000000"/>
            </w:tcBorders>
          </w:tcPr>
          <w:p>
            <w:pPr>
              <w:pStyle w:val="TableParagraph"/>
              <w:spacing w:before="60"/>
              <w:ind w:left="119"/>
              <w:rPr>
                <w:sz w:val="15"/>
              </w:rPr>
            </w:pPr>
            <w:r>
              <w:rPr>
                <w:sz w:val="15"/>
              </w:rPr>
              <w:t>浆水洗工序产生大量高氟的废水，其产生的废渣需要转入硫酸强化焙烧体系回收稀土和固定钍。</w:t>
            </w:r>
          </w:p>
        </w:tc>
      </w:tr>
      <w:tr>
        <w:tblPrEx>
          <w:tblW w:w="0" w:type="auto"/>
          <w:jc w:val="left"/>
          <w:tblInd w:w="307" w:type="dxa"/>
          <w:tblLayout w:type="fixed"/>
          <w:tblCellMar>
            <w:top w:w="0" w:type="dxa"/>
            <w:left w:w="0" w:type="dxa"/>
            <w:bottom w:w="0" w:type="dxa"/>
            <w:right w:w="0" w:type="dxa"/>
          </w:tblCellMar>
          <w:tblLook w:val="01E0"/>
        </w:tblPrEx>
        <w:trPr>
          <w:trHeight w:val="315"/>
          <w:jc w:val="left"/>
        </w:trPr>
        <w:tc>
          <w:tcPr>
            <w:tcW w:w="1330" w:type="dxa"/>
            <w:tcBorders>
              <w:top w:val="single" w:sz="4" w:space="0" w:color="000000"/>
            </w:tcBorders>
          </w:tcPr>
          <w:p>
            <w:pPr>
              <w:pStyle w:val="TableParagraph"/>
              <w:rPr>
                <w:rFonts w:ascii="Times New Roman"/>
                <w:sz w:val="16"/>
              </w:rPr>
            </w:pPr>
          </w:p>
        </w:tc>
        <w:tc>
          <w:tcPr>
            <w:tcW w:w="1760" w:type="dxa"/>
            <w:tcBorders>
              <w:top w:val="single" w:sz="4" w:space="0" w:color="000000"/>
            </w:tcBorders>
          </w:tcPr>
          <w:p>
            <w:pPr>
              <w:pStyle w:val="TableParagraph"/>
              <w:rPr>
                <w:rFonts w:ascii="Times New Roman"/>
                <w:sz w:val="16"/>
              </w:rPr>
            </w:pPr>
          </w:p>
        </w:tc>
        <w:tc>
          <w:tcPr>
            <w:tcW w:w="6901" w:type="dxa"/>
            <w:tcBorders>
              <w:top w:val="single" w:sz="4" w:space="0" w:color="000000"/>
            </w:tcBorders>
          </w:tcPr>
          <w:p>
            <w:pPr>
              <w:pStyle w:val="TableParagraph"/>
              <w:spacing w:before="63"/>
              <w:ind w:left="119"/>
              <w:rPr>
                <w:sz w:val="15"/>
              </w:rPr>
            </w:pPr>
            <w:r>
              <w:rPr>
                <w:sz w:val="15"/>
              </w:rPr>
              <w:t>选矿后的精矿中含 8 ~9 的氟以及 0.2 的放射性元素钍。精矿中的氟在整个生产过程中，只有极少</w:t>
            </w:r>
          </w:p>
        </w:tc>
      </w:tr>
      <w:tr>
        <w:tblPrEx>
          <w:tblW w:w="0" w:type="auto"/>
          <w:jc w:val="left"/>
          <w:tblInd w:w="307" w:type="dxa"/>
          <w:tblLayout w:type="fixed"/>
          <w:tblCellMar>
            <w:top w:w="0" w:type="dxa"/>
            <w:left w:w="0" w:type="dxa"/>
            <w:bottom w:w="0" w:type="dxa"/>
            <w:right w:w="0" w:type="dxa"/>
          </w:tblCellMar>
          <w:tblLook w:val="01E0"/>
        </w:tblPrEx>
        <w:trPr>
          <w:trHeight w:val="311"/>
          <w:jc w:val="left"/>
        </w:trPr>
        <w:tc>
          <w:tcPr>
            <w:tcW w:w="1330" w:type="dxa"/>
          </w:tcPr>
          <w:p>
            <w:pPr>
              <w:pStyle w:val="TableParagraph"/>
              <w:rPr>
                <w:rFonts w:ascii="Times New Roman"/>
                <w:sz w:val="16"/>
              </w:rPr>
            </w:pPr>
          </w:p>
        </w:tc>
        <w:tc>
          <w:tcPr>
            <w:tcW w:w="1760" w:type="dxa"/>
          </w:tcPr>
          <w:p>
            <w:pPr>
              <w:pStyle w:val="TableParagraph"/>
              <w:spacing w:before="60"/>
              <w:ind w:left="80" w:right="65"/>
              <w:jc w:val="center"/>
              <w:rPr>
                <w:sz w:val="15"/>
              </w:rPr>
            </w:pPr>
            <w:r>
              <w:rPr>
                <w:sz w:val="15"/>
              </w:rPr>
              <w:t>主要分布在我国四川</w:t>
            </w:r>
          </w:p>
        </w:tc>
        <w:tc>
          <w:tcPr>
            <w:tcW w:w="6901" w:type="dxa"/>
          </w:tcPr>
          <w:p>
            <w:pPr>
              <w:pStyle w:val="TableParagraph"/>
              <w:spacing w:before="60"/>
              <w:ind w:left="119"/>
              <w:rPr>
                <w:sz w:val="15"/>
              </w:rPr>
            </w:pPr>
            <w:r>
              <w:rPr>
                <w:sz w:val="15"/>
              </w:rPr>
              <w:t>量进入产品，其余都作为污染物排入环境，这不仅污染了环境，还极大地浪费了氟资源。氧化焙烧过</w:t>
            </w:r>
          </w:p>
        </w:tc>
      </w:tr>
      <w:tr>
        <w:tblPrEx>
          <w:tblW w:w="0" w:type="auto"/>
          <w:jc w:val="left"/>
          <w:tblInd w:w="307" w:type="dxa"/>
          <w:tblLayout w:type="fixed"/>
          <w:tblCellMar>
            <w:top w:w="0" w:type="dxa"/>
            <w:left w:w="0" w:type="dxa"/>
            <w:bottom w:w="0" w:type="dxa"/>
            <w:right w:w="0" w:type="dxa"/>
          </w:tblCellMar>
          <w:tblLook w:val="01E0"/>
        </w:tblPrEx>
        <w:trPr>
          <w:trHeight w:val="312"/>
          <w:jc w:val="left"/>
        </w:trPr>
        <w:tc>
          <w:tcPr>
            <w:tcW w:w="1330" w:type="dxa"/>
          </w:tcPr>
          <w:p>
            <w:pPr>
              <w:pStyle w:val="TableParagraph"/>
              <w:spacing w:before="60"/>
              <w:ind w:left="120" w:right="118"/>
              <w:jc w:val="center"/>
              <w:rPr>
                <w:sz w:val="15"/>
              </w:rPr>
            </w:pPr>
            <w:r>
              <w:rPr>
                <w:sz w:val="15"/>
              </w:rPr>
              <w:t>氟碳铈矿</w:t>
            </w:r>
          </w:p>
        </w:tc>
        <w:tc>
          <w:tcPr>
            <w:tcW w:w="1760" w:type="dxa"/>
          </w:tcPr>
          <w:p>
            <w:pPr>
              <w:pStyle w:val="TableParagraph"/>
              <w:spacing w:before="60"/>
              <w:ind w:left="80" w:right="65"/>
              <w:jc w:val="center"/>
              <w:rPr>
                <w:sz w:val="15"/>
              </w:rPr>
            </w:pPr>
            <w:r>
              <w:rPr>
                <w:sz w:val="15"/>
              </w:rPr>
              <w:t>省，是我国第二大稀土</w:t>
            </w:r>
          </w:p>
        </w:tc>
        <w:tc>
          <w:tcPr>
            <w:tcW w:w="6901" w:type="dxa"/>
          </w:tcPr>
          <w:p>
            <w:pPr>
              <w:pStyle w:val="TableParagraph"/>
              <w:spacing w:before="60"/>
              <w:ind w:left="119"/>
              <w:rPr>
                <w:sz w:val="15"/>
              </w:rPr>
            </w:pPr>
            <w:r>
              <w:rPr>
                <w:sz w:val="15"/>
              </w:rPr>
              <w:t>程以氟化氢形式进入尾气的氟占精矿中氟含量的 3左右。氟对人体与生态环境的主要危害在于氟污染</w:t>
            </w:r>
          </w:p>
        </w:tc>
      </w:tr>
      <w:tr>
        <w:tblPrEx>
          <w:tblW w:w="0" w:type="auto"/>
          <w:jc w:val="left"/>
          <w:tblInd w:w="307" w:type="dxa"/>
          <w:tblLayout w:type="fixed"/>
          <w:tblCellMar>
            <w:top w:w="0" w:type="dxa"/>
            <w:left w:w="0" w:type="dxa"/>
            <w:bottom w:w="0" w:type="dxa"/>
            <w:right w:w="0" w:type="dxa"/>
          </w:tblCellMar>
          <w:tblLook w:val="01E0"/>
        </w:tblPrEx>
        <w:trPr>
          <w:trHeight w:val="312"/>
          <w:jc w:val="left"/>
        </w:trPr>
        <w:tc>
          <w:tcPr>
            <w:tcW w:w="1330" w:type="dxa"/>
          </w:tcPr>
          <w:p>
            <w:pPr>
              <w:pStyle w:val="TableParagraph"/>
              <w:rPr>
                <w:rFonts w:ascii="Times New Roman"/>
                <w:sz w:val="16"/>
              </w:rPr>
            </w:pPr>
          </w:p>
        </w:tc>
        <w:tc>
          <w:tcPr>
            <w:tcW w:w="1760" w:type="dxa"/>
          </w:tcPr>
          <w:p>
            <w:pPr>
              <w:pStyle w:val="TableParagraph"/>
              <w:spacing w:before="60"/>
              <w:ind w:left="80" w:right="64"/>
              <w:jc w:val="center"/>
              <w:rPr>
                <w:sz w:val="15"/>
              </w:rPr>
            </w:pPr>
            <w:r>
              <w:rPr>
                <w:sz w:val="15"/>
              </w:rPr>
              <w:t>资源</w:t>
            </w:r>
          </w:p>
        </w:tc>
        <w:tc>
          <w:tcPr>
            <w:tcW w:w="6901" w:type="dxa"/>
          </w:tcPr>
          <w:p>
            <w:pPr>
              <w:pStyle w:val="TableParagraph"/>
              <w:spacing w:before="60"/>
              <w:ind w:left="119"/>
              <w:rPr>
                <w:sz w:val="15"/>
              </w:rPr>
            </w:pPr>
            <w:r>
              <w:rPr>
                <w:sz w:val="15"/>
              </w:rPr>
              <w:t>具有强的穿透性和不可逆转性。另外，处理每吨氟碳铈矿产生约 100m3 含氟碱性废水，该废水除氟</w:t>
            </w:r>
          </w:p>
        </w:tc>
      </w:tr>
      <w:tr>
        <w:tblPrEx>
          <w:tblW w:w="0" w:type="auto"/>
          <w:jc w:val="left"/>
          <w:tblInd w:w="307" w:type="dxa"/>
          <w:tblLayout w:type="fixed"/>
          <w:tblCellMar>
            <w:top w:w="0" w:type="dxa"/>
            <w:left w:w="0" w:type="dxa"/>
            <w:bottom w:w="0" w:type="dxa"/>
            <w:right w:w="0" w:type="dxa"/>
          </w:tblCellMar>
          <w:tblLook w:val="01E0"/>
        </w:tblPrEx>
        <w:trPr>
          <w:trHeight w:val="310"/>
          <w:jc w:val="left"/>
        </w:trPr>
        <w:tc>
          <w:tcPr>
            <w:tcW w:w="1330" w:type="dxa"/>
            <w:tcBorders>
              <w:bottom w:val="single" w:sz="4" w:space="0" w:color="000000"/>
            </w:tcBorders>
          </w:tcPr>
          <w:p>
            <w:pPr>
              <w:pStyle w:val="TableParagraph"/>
              <w:rPr>
                <w:rFonts w:ascii="Times New Roman"/>
                <w:sz w:val="16"/>
              </w:rPr>
            </w:pPr>
          </w:p>
        </w:tc>
        <w:tc>
          <w:tcPr>
            <w:tcW w:w="1760" w:type="dxa"/>
            <w:tcBorders>
              <w:bottom w:val="single" w:sz="4" w:space="0" w:color="000000"/>
            </w:tcBorders>
          </w:tcPr>
          <w:p>
            <w:pPr>
              <w:pStyle w:val="TableParagraph"/>
              <w:rPr>
                <w:rFonts w:ascii="Times New Roman"/>
                <w:sz w:val="16"/>
              </w:rPr>
            </w:pPr>
          </w:p>
        </w:tc>
        <w:tc>
          <w:tcPr>
            <w:tcW w:w="6901" w:type="dxa"/>
            <w:tcBorders>
              <w:bottom w:val="single" w:sz="4" w:space="0" w:color="000000"/>
            </w:tcBorders>
          </w:tcPr>
          <w:p>
            <w:pPr>
              <w:pStyle w:val="TableParagraph"/>
              <w:spacing w:before="60"/>
              <w:ind w:left="119"/>
              <w:rPr>
                <w:sz w:val="15"/>
              </w:rPr>
            </w:pPr>
            <w:r>
              <w:rPr>
                <w:sz w:val="15"/>
              </w:rPr>
              <w:t>效果有限，废水中的氟很难稳定达标排放。</w:t>
            </w:r>
          </w:p>
        </w:tc>
      </w:tr>
      <w:tr>
        <w:tblPrEx>
          <w:tblW w:w="0" w:type="auto"/>
          <w:jc w:val="left"/>
          <w:tblInd w:w="307" w:type="dxa"/>
          <w:tblLayout w:type="fixed"/>
          <w:tblCellMar>
            <w:top w:w="0" w:type="dxa"/>
            <w:left w:w="0" w:type="dxa"/>
            <w:bottom w:w="0" w:type="dxa"/>
            <w:right w:w="0" w:type="dxa"/>
          </w:tblCellMar>
          <w:tblLook w:val="01E0"/>
        </w:tblPrEx>
        <w:trPr>
          <w:trHeight w:val="312"/>
          <w:jc w:val="left"/>
        </w:trPr>
        <w:tc>
          <w:tcPr>
            <w:tcW w:w="1330" w:type="dxa"/>
            <w:tcBorders>
              <w:top w:val="single" w:sz="4" w:space="0" w:color="000000"/>
            </w:tcBorders>
          </w:tcPr>
          <w:p>
            <w:pPr>
              <w:pStyle w:val="TableParagraph"/>
              <w:rPr>
                <w:rFonts w:ascii="Times New Roman"/>
                <w:sz w:val="16"/>
              </w:rPr>
            </w:pPr>
          </w:p>
        </w:tc>
        <w:tc>
          <w:tcPr>
            <w:tcW w:w="1760" w:type="dxa"/>
            <w:tcBorders>
              <w:top w:val="single" w:sz="4" w:space="0" w:color="000000"/>
            </w:tcBorders>
          </w:tcPr>
          <w:p>
            <w:pPr>
              <w:pStyle w:val="TableParagraph"/>
              <w:rPr>
                <w:rFonts w:ascii="Times New Roman"/>
                <w:sz w:val="16"/>
              </w:rPr>
            </w:pPr>
          </w:p>
        </w:tc>
        <w:tc>
          <w:tcPr>
            <w:tcW w:w="6901" w:type="dxa"/>
            <w:tcBorders>
              <w:top w:val="single" w:sz="4" w:space="0" w:color="000000"/>
            </w:tcBorders>
          </w:tcPr>
          <w:p>
            <w:pPr>
              <w:pStyle w:val="TableParagraph"/>
              <w:spacing w:before="61"/>
              <w:ind w:left="119"/>
              <w:rPr>
                <w:sz w:val="15"/>
              </w:rPr>
            </w:pPr>
            <w:r>
              <w:rPr>
                <w:sz w:val="15"/>
              </w:rPr>
              <w:t>离子型稀土矿开采先后经历了池浸、堆浸和原地浸矿 3 种不同的工艺技术，池浸和堆浸的地表剥离面</w:t>
            </w:r>
          </w:p>
        </w:tc>
      </w:tr>
      <w:tr>
        <w:tblPrEx>
          <w:tblW w:w="0" w:type="auto"/>
          <w:jc w:val="left"/>
          <w:tblInd w:w="307" w:type="dxa"/>
          <w:tblLayout w:type="fixed"/>
          <w:tblCellMar>
            <w:top w:w="0" w:type="dxa"/>
            <w:left w:w="0" w:type="dxa"/>
            <w:bottom w:w="0" w:type="dxa"/>
            <w:right w:w="0" w:type="dxa"/>
          </w:tblCellMar>
          <w:tblLook w:val="01E0"/>
        </w:tblPrEx>
        <w:trPr>
          <w:trHeight w:val="312"/>
          <w:jc w:val="left"/>
        </w:trPr>
        <w:tc>
          <w:tcPr>
            <w:tcW w:w="1330" w:type="dxa"/>
          </w:tcPr>
          <w:p>
            <w:pPr>
              <w:pStyle w:val="TableParagraph"/>
              <w:rPr>
                <w:rFonts w:ascii="Times New Roman"/>
                <w:sz w:val="16"/>
              </w:rPr>
            </w:pPr>
          </w:p>
        </w:tc>
        <w:tc>
          <w:tcPr>
            <w:tcW w:w="1760" w:type="dxa"/>
          </w:tcPr>
          <w:p>
            <w:pPr>
              <w:pStyle w:val="TableParagraph"/>
              <w:spacing w:before="60"/>
              <w:ind w:left="80" w:right="65"/>
              <w:jc w:val="center"/>
              <w:rPr>
                <w:sz w:val="15"/>
              </w:rPr>
            </w:pPr>
            <w:r>
              <w:rPr>
                <w:sz w:val="15"/>
              </w:rPr>
              <w:t>主要分布在广东、福建</w:t>
            </w:r>
          </w:p>
        </w:tc>
        <w:tc>
          <w:tcPr>
            <w:tcW w:w="6901" w:type="dxa"/>
          </w:tcPr>
          <w:p>
            <w:pPr>
              <w:pStyle w:val="TableParagraph"/>
              <w:spacing w:before="60"/>
              <w:ind w:left="119"/>
              <w:rPr>
                <w:sz w:val="15"/>
              </w:rPr>
            </w:pPr>
            <w:r>
              <w:rPr>
                <w:sz w:val="15"/>
              </w:rPr>
              <w:t>大，严重破坏地表植被，容易造成矿区水土流失以及尾砂库溃坝、植被覆盖率低、地表水污染等环境</w:t>
            </w:r>
          </w:p>
        </w:tc>
      </w:tr>
      <w:tr>
        <w:tblPrEx>
          <w:tblW w:w="0" w:type="auto"/>
          <w:jc w:val="left"/>
          <w:tblInd w:w="307" w:type="dxa"/>
          <w:tblLayout w:type="fixed"/>
          <w:tblCellMar>
            <w:top w:w="0" w:type="dxa"/>
            <w:left w:w="0" w:type="dxa"/>
            <w:bottom w:w="0" w:type="dxa"/>
            <w:right w:w="0" w:type="dxa"/>
          </w:tblCellMar>
          <w:tblLook w:val="01E0"/>
        </w:tblPrEx>
        <w:trPr>
          <w:trHeight w:val="312"/>
          <w:jc w:val="left"/>
        </w:trPr>
        <w:tc>
          <w:tcPr>
            <w:tcW w:w="1330" w:type="dxa"/>
          </w:tcPr>
          <w:p>
            <w:pPr>
              <w:pStyle w:val="TableParagraph"/>
              <w:spacing w:before="60"/>
              <w:ind w:left="120" w:right="116"/>
              <w:jc w:val="center"/>
              <w:rPr>
                <w:sz w:val="15"/>
              </w:rPr>
            </w:pPr>
            <w:r>
              <w:rPr>
                <w:sz w:val="15"/>
              </w:rPr>
              <w:t>离子型稀土矿</w:t>
            </w:r>
          </w:p>
        </w:tc>
        <w:tc>
          <w:tcPr>
            <w:tcW w:w="1760" w:type="dxa"/>
          </w:tcPr>
          <w:p>
            <w:pPr>
              <w:pStyle w:val="TableParagraph"/>
              <w:spacing w:before="60"/>
              <w:ind w:left="80" w:right="65"/>
              <w:jc w:val="center"/>
              <w:rPr>
                <w:sz w:val="15"/>
              </w:rPr>
            </w:pPr>
            <w:r>
              <w:rPr>
                <w:sz w:val="15"/>
              </w:rPr>
              <w:t>等南方 7 省，属于中重</w:t>
            </w:r>
          </w:p>
        </w:tc>
        <w:tc>
          <w:tcPr>
            <w:tcW w:w="6901" w:type="dxa"/>
          </w:tcPr>
          <w:p>
            <w:pPr>
              <w:pStyle w:val="TableParagraph"/>
              <w:spacing w:before="60"/>
              <w:ind w:left="119"/>
              <w:rPr>
                <w:sz w:val="15"/>
              </w:rPr>
            </w:pPr>
            <w:r>
              <w:rPr>
                <w:sz w:val="15"/>
              </w:rPr>
              <w:t>问题。因此，堆浸工艺生产的离子型稀土精矿是稀土工业最早被列入“双高”名录的产品。原地浸矿</w:t>
            </w:r>
          </w:p>
        </w:tc>
      </w:tr>
      <w:tr>
        <w:tblPrEx>
          <w:tblW w:w="0" w:type="auto"/>
          <w:jc w:val="left"/>
          <w:tblInd w:w="307" w:type="dxa"/>
          <w:tblLayout w:type="fixed"/>
          <w:tblCellMar>
            <w:top w:w="0" w:type="dxa"/>
            <w:left w:w="0" w:type="dxa"/>
            <w:bottom w:w="0" w:type="dxa"/>
            <w:right w:w="0" w:type="dxa"/>
          </w:tblCellMar>
          <w:tblLook w:val="01E0"/>
        </w:tblPrEx>
        <w:trPr>
          <w:trHeight w:val="312"/>
          <w:jc w:val="left"/>
        </w:trPr>
        <w:tc>
          <w:tcPr>
            <w:tcW w:w="1330" w:type="dxa"/>
          </w:tcPr>
          <w:p>
            <w:pPr>
              <w:pStyle w:val="TableParagraph"/>
              <w:rPr>
                <w:rFonts w:ascii="Times New Roman"/>
                <w:sz w:val="16"/>
              </w:rPr>
            </w:pPr>
          </w:p>
        </w:tc>
        <w:tc>
          <w:tcPr>
            <w:tcW w:w="1760" w:type="dxa"/>
          </w:tcPr>
          <w:p>
            <w:pPr>
              <w:pStyle w:val="TableParagraph"/>
              <w:spacing w:before="60"/>
              <w:ind w:left="80" w:right="64"/>
              <w:jc w:val="center"/>
              <w:rPr>
                <w:sz w:val="15"/>
              </w:rPr>
            </w:pPr>
            <w:r>
              <w:rPr>
                <w:sz w:val="15"/>
              </w:rPr>
              <w:t>稀土</w:t>
            </w:r>
          </w:p>
        </w:tc>
        <w:tc>
          <w:tcPr>
            <w:tcW w:w="6901" w:type="dxa"/>
          </w:tcPr>
          <w:p>
            <w:pPr>
              <w:pStyle w:val="TableParagraph"/>
              <w:spacing w:before="60"/>
              <w:ind w:left="119"/>
              <w:rPr>
                <w:sz w:val="15"/>
              </w:rPr>
            </w:pPr>
            <w:r>
              <w:rPr>
                <w:sz w:val="15"/>
              </w:rPr>
              <w:t>不开挖山体，对生态环境影响较小，但技术难度较大，如因注液不当，导致浸出液的泄漏、山体滑坡</w:t>
            </w:r>
          </w:p>
        </w:tc>
      </w:tr>
      <w:tr>
        <w:tblPrEx>
          <w:tblW w:w="0" w:type="auto"/>
          <w:jc w:val="left"/>
          <w:tblInd w:w="307" w:type="dxa"/>
          <w:tblLayout w:type="fixed"/>
          <w:tblCellMar>
            <w:top w:w="0" w:type="dxa"/>
            <w:left w:w="0" w:type="dxa"/>
            <w:bottom w:w="0" w:type="dxa"/>
            <w:right w:w="0" w:type="dxa"/>
          </w:tblCellMar>
          <w:tblLook w:val="01E0"/>
        </w:tblPrEx>
        <w:trPr>
          <w:trHeight w:val="315"/>
          <w:jc w:val="left"/>
        </w:trPr>
        <w:tc>
          <w:tcPr>
            <w:tcW w:w="1330" w:type="dxa"/>
          </w:tcPr>
          <w:p>
            <w:pPr>
              <w:pStyle w:val="TableParagraph"/>
              <w:rPr>
                <w:rFonts w:ascii="Times New Roman"/>
                <w:sz w:val="16"/>
              </w:rPr>
            </w:pPr>
          </w:p>
        </w:tc>
        <w:tc>
          <w:tcPr>
            <w:tcW w:w="1760" w:type="dxa"/>
          </w:tcPr>
          <w:p>
            <w:pPr>
              <w:pStyle w:val="TableParagraph"/>
              <w:rPr>
                <w:rFonts w:ascii="Times New Roman"/>
                <w:sz w:val="16"/>
              </w:rPr>
            </w:pPr>
          </w:p>
        </w:tc>
        <w:tc>
          <w:tcPr>
            <w:tcW w:w="6901" w:type="dxa"/>
          </w:tcPr>
          <w:p>
            <w:pPr>
              <w:pStyle w:val="TableParagraph"/>
              <w:spacing w:before="60"/>
              <w:ind w:left="119"/>
              <w:rPr>
                <w:sz w:val="15"/>
              </w:rPr>
            </w:pPr>
            <w:r>
              <w:rPr>
                <w:sz w:val="15"/>
              </w:rPr>
              <w:t>和毁坏农田等问题。</w:t>
            </w:r>
          </w:p>
        </w:tc>
      </w:tr>
    </w:tbl>
    <w:p>
      <w:pPr>
        <w:pStyle w:val="BodyText"/>
        <w:spacing w:line="20" w:lineRule="exact"/>
        <w:ind w:left="187"/>
        <w:rPr>
          <w:sz w:val="2"/>
        </w:rPr>
      </w:pPr>
      <w:r>
        <w:rPr>
          <w:sz w:val="2"/>
        </w:rPr>
        <w:pict>
          <v:group id="_x0000_i1185" style="width:510.35pt;height:0.5pt;mso-position-horizontal-relative:char;mso-position-vertical-relative:line" coordorigin="0,0" coordsize="10207,10">
            <v:line id="_x0000_s1186" style="position:absolute" from="0,5" to="10207,5" stroked="t" strokecolor="#013e96" strokeweight="0.48pt">
              <v:stroke dashstyle="solid"/>
            </v:line>
            <w10:wrap type="none"/>
          </v:group>
        </w:pict>
      </w:r>
    </w:p>
    <w:p>
      <w:pPr>
        <w:spacing w:before="84"/>
        <w:ind w:left="300" w:right="0" w:firstLine="0"/>
        <w:jc w:val="left"/>
        <w:rPr>
          <w:sz w:val="15"/>
        </w:rPr>
      </w:pPr>
      <w:r>
        <w:t xml:space="preserve">数据来源：《我国稀土工业的污染及治理分析》安静等， </w:t>
      </w:r>
    </w:p>
    <w:p>
      <w:pPr>
        <w:pStyle w:val="BodyText"/>
        <w:spacing w:before="10"/>
        <w:rPr>
          <w:sz w:val="18"/>
        </w:rPr>
      </w:pPr>
    </w:p>
    <w:p>
      <w:pPr>
        <w:spacing w:before="81" w:line="348" w:lineRule="auto"/>
        <w:ind w:left="2712" w:right="323" w:firstLine="420"/>
        <w:jc w:val="both"/>
        <w:rPr>
          <w:b/>
          <w:sz w:val="21"/>
        </w:rPr>
      </w:pPr>
      <w:r>
        <w:rPr>
          <w:spacing w:val="-3"/>
          <w:sz w:val="21"/>
        </w:rPr>
        <w:t>稀土产业链包括：原矿开采</w:t>
      </w:r>
      <w:r>
        <w:rPr>
          <w:rFonts w:ascii="Arial" w:eastAsia="Arial" w:hAnsi="Arial"/>
          <w:sz w:val="21"/>
        </w:rPr>
        <w:t>/</w:t>
      </w:r>
      <w:r>
        <w:rPr>
          <w:spacing w:val="-2"/>
          <w:sz w:val="21"/>
        </w:rPr>
        <w:t>废料回收—精矿</w:t>
      </w:r>
      <w:r>
        <w:rPr>
          <w:rFonts w:ascii="Arial" w:eastAsia="Arial" w:hAnsi="Arial"/>
          <w:sz w:val="21"/>
        </w:rPr>
        <w:t>/</w:t>
      </w:r>
      <w:r>
        <w:rPr>
          <w:spacing w:val="-3"/>
          <w:sz w:val="21"/>
        </w:rPr>
        <w:t>初级氧化物—萃取分离成盐类—焙</w:t>
      </w:r>
      <w:r>
        <w:rPr>
          <w:spacing w:val="-5"/>
          <w:sz w:val="21"/>
        </w:rPr>
        <w:t>烧为氧化物—电解成金属—各种材料—相关产品—最终应用。</w:t>
      </w:r>
      <w:r>
        <w:rPr>
          <w:b/>
          <w:spacing w:val="-7"/>
          <w:sz w:val="21"/>
        </w:rPr>
        <w:t>从行业产值看，上游镨</w:t>
      </w:r>
      <w:r>
        <w:rPr>
          <w:b/>
          <w:spacing w:val="-14"/>
          <w:sz w:val="21"/>
        </w:rPr>
        <w:t>钕和镝铽价值量大，下游钕铁硼磁材占比大，镨钕镝铽氧化物—镨钕及镝铽金属—钕</w:t>
      </w:r>
      <w:r>
        <w:rPr>
          <w:b/>
          <w:spacing w:val="-11"/>
          <w:sz w:val="21"/>
        </w:rPr>
        <w:t>铁硼—电机—汽车等为核心产业链，紧密绑定下游稀土磁材和新能源需求。</w:t>
      </w:r>
    </w:p>
    <w:p>
      <w:pPr>
        <w:spacing w:before="148"/>
        <w:ind w:left="307" w:right="0" w:firstLine="0"/>
        <w:jc w:val="left"/>
        <w:rPr>
          <w:b/>
          <w:i/>
          <w:sz w:val="22"/>
        </w:rPr>
      </w:pPr>
      <w:r>
        <w:pict>
          <v:group id="_x0000_s1187" style="width:510.7pt;height:1pt;margin-top:26.32pt;margin-left:42.24pt;mso-position-horizontal-relative:page;mso-wrap-distance-left:0;mso-wrap-distance-right:0;position:absolute;z-index:-251624448" coordorigin="845,526" coordsize="10214,20">
            <v:line id="_x0000_s1188" style="position:absolute" from="852,541" to="11059,541" stroked="t" strokecolor="#013e96" strokeweight="0.48pt">
              <v:stroke dashstyle="solid"/>
            </v:line>
            <v:line id="_x0000_s1189" style="position:absolute" from="845,531" to="11056,531" stroked="t" strokecolor="#013e96" strokeweight="0.48pt">
              <v:stroke dashstyle="solid"/>
            </v:line>
            <w10:wrap type="topAndBottom"/>
          </v:group>
        </w:pict>
      </w:r>
      <w:r>
        <w:rPr>
          <w:b/>
          <w:i/>
          <w:sz w:val="22"/>
        </w:rPr>
        <w:t xml:space="preserve">图表 </w:t>
      </w:r>
      <w:r>
        <w:rPr>
          <w:rFonts w:ascii="Arial" w:eastAsia="Arial"/>
          <w:b/>
          <w:i/>
          <w:sz w:val="21"/>
        </w:rPr>
        <w:t>5</w:t>
      </w:r>
      <w:r>
        <w:rPr>
          <w:b/>
          <w:i/>
          <w:sz w:val="22"/>
        </w:rPr>
        <w:t>：稀土行业全产业链</w:t>
      </w:r>
    </w:p>
    <w:p>
      <w:pPr>
        <w:pStyle w:val="BodyText"/>
        <w:rPr>
          <w:b/>
          <w:i/>
          <w:sz w:val="20"/>
        </w:rPr>
      </w:pPr>
    </w:p>
    <w:p>
      <w:pPr>
        <w:pStyle w:val="BodyText"/>
        <w:spacing w:before="10"/>
        <w:rPr>
          <w:b/>
          <w:i/>
          <w:sz w:val="14"/>
        </w:rPr>
      </w:pPr>
      <w:r>
        <w:drawing>
          <wp:anchor distT="0" distB="0" distL="0" distR="0" simplePos="0" relativeHeight="251684864" behindDoc="0" locked="0" layoutInCell="1" allowOverlap="1">
            <wp:simplePos x="0" y="0"/>
            <wp:positionH relativeFrom="page">
              <wp:posOffset>618109</wp:posOffset>
            </wp:positionH>
            <wp:positionV relativeFrom="paragraph">
              <wp:posOffset>145579</wp:posOffset>
            </wp:positionV>
            <wp:extent cx="6441757" cy="3474910"/>
            <wp:effectExtent l="0" t="0" r="0" b="0"/>
            <wp:wrapTopAndBottom/>
            <wp:docPr id="19"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4.jpeg"/>
                    <pic:cNvPicPr/>
                  </pic:nvPicPr>
                  <pic:blipFill>
                    <a:blip xmlns:r="http://schemas.openxmlformats.org/officeDocument/2006/relationships" r:embed="rId31" cstate="print"/>
                    <a:stretch>
                      <a:fillRect/>
                    </a:stretch>
                  </pic:blipFill>
                  <pic:spPr>
                    <a:xfrm>
                      <a:off x="0" y="0"/>
                      <a:ext cx="6441757" cy="3474910"/>
                    </a:xfrm>
                    <a:prstGeom prst="rect">
                      <a:avLst/>
                    </a:prstGeom>
                  </pic:spPr>
                </pic:pic>
              </a:graphicData>
            </a:graphic>
          </wp:anchor>
        </w:drawing>
      </w:r>
      <w:r>
        <w:pict>
          <v:shape id="_x0000_s1190" style="width:510.35pt;height:0.1pt;margin-top:298.01pt;margin-left:42.6pt;mso-position-horizontal-relative:page;mso-wrap-distance-left:0;mso-wrap-distance-right:0;position:absolute;z-index:-251623424" coordorigin="852,5960" coordsize="10207,0" path="m852,5960l11059,5960e" filled="f" stroked="t" strokecolor="#013e96" strokeweight="0.48pt">
            <v:stroke dashstyle="solid"/>
            <v:path arrowok="t"/>
            <w10:wrap type="topAndBottom"/>
          </v:shape>
        </w:pict>
      </w:r>
    </w:p>
    <w:p>
      <w:pPr>
        <w:pStyle w:val="BodyText"/>
        <w:spacing w:before="6"/>
        <w:rPr>
          <w:b/>
          <w:i/>
          <w:sz w:val="14"/>
        </w:rPr>
        <w:sectPr>
          <w:headerReference w:type="default" r:id="rId32"/>
          <w:footerReference w:type="default" r:id="rId33"/>
          <w:pgSz w:w="11910" w:h="16840"/>
          <w:pgMar w:top="1360" w:right="520" w:bottom="660" w:left="660" w:header="708" w:footer="708"/>
          <w:pgNumType w:start="13"/>
          <w:cols w:space="708"/>
        </w:sectPr>
      </w:pPr>
    </w:p>
    <w:p>
      <w:pPr>
        <w:spacing w:before="70"/>
        <w:ind w:left="300" w:right="0" w:firstLine="0"/>
        <w:jc w:val="left"/>
        <w:rPr>
          <w:sz w:val="15"/>
        </w:rPr>
      </w:pPr>
      <w:r>
        <w:t xml:space="preserve">数据来源：各公司公告， </w:t>
      </w:r>
    </w:p>
    <w:p>
      <w:pPr>
        <w:spacing w:after="0"/>
        <w:jc w:val="left"/>
        <w:rPr>
          <w:sz w:val="15"/>
        </w:rPr>
        <w:sectPr>
          <w:headerReference w:type="default" r:id="rId34"/>
          <w:footerReference w:type="default" r:id="rId35"/>
          <w:type w:val="nextPage"/>
          <w:pgSz w:w="11910" w:h="16840"/>
          <w:pgMar w:top="1360" w:right="520" w:bottom="660" w:left="660" w:header="708" w:footer="708"/>
          <w:pgNumType w:start="14"/>
          <w:cols w:space="708"/>
          <w:titlePg w:val="0"/>
        </w:sectPr>
      </w:pPr>
    </w:p>
    <w:p>
      <w:pPr>
        <w:pStyle w:val="ListParagraph"/>
        <w:numPr>
          <w:ilvl w:val="1"/>
          <w:numId w:val="2"/>
        </w:numPr>
        <w:tabs>
          <w:tab w:val="left" w:pos="3596"/>
          <w:tab w:val="left" w:pos="3597"/>
        </w:tabs>
        <w:spacing w:before="100" w:after="0" w:line="240" w:lineRule="auto"/>
        <w:ind w:left="3596" w:right="0" w:hanging="854"/>
        <w:jc w:val="left"/>
        <w:rPr>
          <w:b/>
          <w:sz w:val="21"/>
        </w:rPr>
      </w:pPr>
      <w:r>
        <w:pict>
          <v:shape id="_x0000_s1191" type="#_x0000_t202" style="width:60pt;height:12pt;margin-top:36.85pt;margin-left:488.98pt;mso-position-horizontal-relative:page;mso-position-vertical-relative:page;position:absolute;z-index:-251621376" filled="f" stroked="f">
            <v:textbox inset="0,0,0,0">
              <w:txbxContent>
                <w:p>
                  <w:pPr>
                    <w:spacing w:before="0" w:line="240" w:lineRule="exact"/>
                    <w:ind w:left="0" w:right="0" w:firstLine="0"/>
                    <w:jc w:val="left"/>
                    <w:rPr>
                      <w:sz w:val="24"/>
                    </w:rPr>
                  </w:pPr>
                  <w:r>
                    <w:rPr>
                      <w:sz w:val="24"/>
                    </w:rPr>
                    <w:t>丨公司名称</w:t>
                  </w:r>
                </w:p>
              </w:txbxContent>
            </v:textbox>
          </v:shape>
        </w:pict>
      </w:r>
      <w:bookmarkStart w:id="2" w:name="_TOC_250022"/>
      <w:bookmarkEnd w:id="2"/>
      <w:r>
        <w:rPr>
          <w:b/>
          <w:spacing w:val="-3"/>
          <w:sz w:val="21"/>
        </w:rPr>
        <w:t>中国主导全球供给，供给端释放节奏取决于指标配额</w:t>
      </w:r>
    </w:p>
    <w:p>
      <w:pPr>
        <w:pStyle w:val="BodyText"/>
        <w:spacing w:before="6"/>
        <w:rPr>
          <w:b/>
        </w:rPr>
      </w:pPr>
    </w:p>
    <w:p>
      <w:pPr>
        <w:pStyle w:val="ListParagraph"/>
        <w:numPr>
          <w:ilvl w:val="2"/>
          <w:numId w:val="2"/>
        </w:numPr>
        <w:tabs>
          <w:tab w:val="left" w:pos="3596"/>
          <w:tab w:val="left" w:pos="3597"/>
        </w:tabs>
        <w:spacing w:before="1" w:after="0" w:line="240" w:lineRule="auto"/>
        <w:ind w:left="3596" w:right="0" w:hanging="854"/>
        <w:jc w:val="left"/>
        <w:rPr>
          <w:b/>
          <w:sz w:val="21"/>
        </w:rPr>
      </w:pPr>
      <w:bookmarkStart w:id="3" w:name="_TOC_250021"/>
      <w:bookmarkEnd w:id="3"/>
      <w:r>
        <w:rPr>
          <w:b/>
          <w:spacing w:val="-2"/>
          <w:sz w:val="21"/>
        </w:rPr>
        <w:t>历史沿革：由“分散”走向“集中”</w:t>
      </w:r>
    </w:p>
    <w:p>
      <w:pPr>
        <w:pStyle w:val="BodyText"/>
        <w:spacing w:before="9"/>
        <w:rPr>
          <w:b/>
        </w:rPr>
      </w:pPr>
    </w:p>
    <w:p>
      <w:pPr>
        <w:pStyle w:val="BodyText"/>
        <w:spacing w:line="348" w:lineRule="auto"/>
        <w:ind w:left="2712" w:right="320" w:firstLine="420"/>
        <w:jc w:val="both"/>
      </w:pPr>
      <w:r>
        <w:rPr>
          <w:spacing w:val="-8"/>
        </w:rPr>
        <w:t>中国是世界上稀土资源最丰富的国家，素有“稀土王国”之称，而稀土也是国家</w:t>
      </w:r>
      <w:r>
        <w:rPr>
          <w:spacing w:val="-7"/>
        </w:rPr>
        <w:t xml:space="preserve">战略性矿产资源。我国稀土工业起步于 </w:t>
      </w:r>
      <w:r>
        <w:rPr>
          <w:rFonts w:ascii="Arial" w:eastAsia="Arial" w:hAnsi="Arial"/>
        </w:rPr>
        <w:t xml:space="preserve">20 </w:t>
      </w:r>
      <w:r>
        <w:rPr>
          <w:spacing w:val="-10"/>
        </w:rPr>
        <w:t xml:space="preserve">世纪 </w:t>
      </w:r>
      <w:r>
        <w:rPr>
          <w:rFonts w:ascii="Arial" w:eastAsia="Arial" w:hAnsi="Arial"/>
        </w:rPr>
        <w:t xml:space="preserve">50 </w:t>
      </w:r>
      <w:r>
        <w:rPr>
          <w:spacing w:val="-3"/>
        </w:rPr>
        <w:t>年代，随后经历了快速发展，在</w:t>
      </w:r>
    </w:p>
    <w:p>
      <w:pPr>
        <w:pStyle w:val="BodyText"/>
        <w:spacing w:line="348" w:lineRule="auto"/>
        <w:ind w:left="2712" w:right="320"/>
        <w:jc w:val="both"/>
      </w:pPr>
      <w:r>
        <w:rPr>
          <w:rFonts w:ascii="Arial" w:eastAsia="Arial"/>
        </w:rPr>
        <w:t xml:space="preserve">1986 </w:t>
      </w:r>
      <w:r>
        <w:rPr>
          <w:spacing w:val="-3"/>
        </w:rPr>
        <w:t>年稀土冶炼分离产品产量超过美国，成为世界最大的稀土生产国。但稀土行业</w:t>
      </w:r>
      <w:r>
        <w:rPr>
          <w:spacing w:val="-9"/>
        </w:rPr>
        <w:t>在早期发展中较为粗放，因此对稀土资源整合是优化产业布局、结构性改善的必经之</w:t>
      </w:r>
      <w:r>
        <w:rPr>
          <w:spacing w:val="-11"/>
        </w:rPr>
        <w:t>路。经过十余年的行业规范和政策管控，中国已经形成了完整的稀土全产业链，稀土产业已由粗放发展阶段进入集约化发展，资源集中度实现显着提升</w:t>
      </w:r>
      <w:r>
        <w:rPr>
          <w:rFonts w:ascii="Arial" w:eastAsia="Arial"/>
        </w:rPr>
        <w:t>,</w:t>
      </w:r>
      <w:r>
        <w:rPr>
          <w:spacing w:val="-2"/>
        </w:rPr>
        <w:t>行业供给格局持</w:t>
      </w:r>
      <w:r>
        <w:rPr>
          <w:spacing w:val="-1"/>
        </w:rPr>
        <w:t>续优化。</w:t>
      </w:r>
    </w:p>
    <w:p>
      <w:pPr>
        <w:pStyle w:val="BodyText"/>
        <w:spacing w:before="154" w:line="348" w:lineRule="auto"/>
        <w:ind w:left="2712" w:right="217" w:firstLine="423"/>
      </w:pPr>
      <w:r>
        <w:rPr>
          <w:b/>
          <w:spacing w:val="-2"/>
          <w:w w:val="100"/>
        </w:rPr>
        <w:t>第一阶段</w:t>
      </w:r>
      <w:r>
        <w:rPr>
          <w:b/>
          <w:w w:val="100"/>
        </w:rPr>
        <w:t>（</w:t>
      </w:r>
      <w:r>
        <w:rPr>
          <w:rFonts w:ascii="Arial" w:eastAsia="Arial" w:hAnsi="Arial"/>
          <w:b/>
          <w:w w:val="100"/>
        </w:rPr>
        <w:t>1</w:t>
      </w:r>
      <w:r>
        <w:rPr>
          <w:rFonts w:ascii="Arial" w:eastAsia="Arial" w:hAnsi="Arial"/>
          <w:b/>
          <w:spacing w:val="-3"/>
          <w:w w:val="100"/>
        </w:rPr>
        <w:t>9</w:t>
      </w:r>
      <w:r>
        <w:rPr>
          <w:rFonts w:ascii="Arial" w:eastAsia="Arial" w:hAnsi="Arial"/>
          <w:b/>
          <w:spacing w:val="-1"/>
          <w:w w:val="100"/>
        </w:rPr>
        <w:t>4</w:t>
      </w:r>
      <w:r>
        <w:rPr>
          <w:rFonts w:ascii="Arial" w:eastAsia="Arial" w:hAnsi="Arial"/>
          <w:b/>
          <w:w w:val="100"/>
        </w:rPr>
        <w:t>9</w:t>
      </w:r>
      <w:r>
        <w:rPr>
          <w:rFonts w:ascii="Arial" w:eastAsia="Arial" w:hAnsi="Arial"/>
          <w:b/>
          <w:spacing w:val="-1"/>
          <w:w w:val="100"/>
        </w:rPr>
        <w:t>-</w:t>
      </w:r>
      <w:r>
        <w:rPr>
          <w:rFonts w:ascii="Arial" w:eastAsia="Arial" w:hAnsi="Arial"/>
          <w:b/>
          <w:spacing w:val="-3"/>
          <w:w w:val="100"/>
        </w:rPr>
        <w:t>1</w:t>
      </w:r>
      <w:r>
        <w:rPr>
          <w:rFonts w:ascii="Arial" w:eastAsia="Arial" w:hAnsi="Arial"/>
          <w:b/>
          <w:spacing w:val="-1"/>
          <w:w w:val="100"/>
        </w:rPr>
        <w:t>98</w:t>
      </w:r>
      <w:r>
        <w:rPr>
          <w:rFonts w:ascii="Arial" w:eastAsia="Arial" w:hAnsi="Arial"/>
          <w:b/>
          <w:w w:val="100"/>
        </w:rPr>
        <w:t>5</w:t>
      </w:r>
      <w:r>
        <w:rPr>
          <w:rFonts w:ascii="Arial" w:eastAsia="Arial" w:hAnsi="Arial"/>
          <w:b/>
        </w:rPr>
        <w:t xml:space="preserve"> </w:t>
      </w:r>
      <w:r>
        <w:rPr>
          <w:b/>
          <w:w w:val="100"/>
        </w:rPr>
        <w:t>年</w:t>
      </w:r>
      <w:r>
        <w:rPr>
          <w:b/>
          <w:spacing w:val="-108"/>
          <w:w w:val="100"/>
        </w:rPr>
        <w:t>）</w:t>
      </w:r>
      <w:r>
        <w:rPr>
          <w:b/>
          <w:spacing w:val="-4"/>
          <w:w w:val="100"/>
        </w:rPr>
        <w:t>：资源勘探和技术研发获得突破，稀土开始规模化生产。</w:t>
      </w:r>
      <w:r>
        <w:rPr>
          <w:rFonts w:ascii="Arial" w:eastAsia="Arial" w:hAnsi="Arial"/>
          <w:spacing w:val="-4"/>
          <w:w w:val="100"/>
        </w:rPr>
        <w:t>1949</w:t>
      </w:r>
      <w:r>
        <w:rPr>
          <w:rFonts w:ascii="Arial" w:eastAsia="Arial" w:hAnsi="Arial"/>
          <w:spacing w:val="-4"/>
        </w:rPr>
        <w:t xml:space="preserve"> </w:t>
      </w:r>
      <w:r>
        <w:rPr>
          <w:spacing w:val="-7"/>
          <w:w w:val="100"/>
        </w:rPr>
        <w:t>年新中国成立后，国家组织白云鄂博调查队进行资源勘探和研究，“一五”</w:t>
      </w:r>
      <w:r>
        <w:rPr>
          <w:spacing w:val="-7"/>
        </w:rPr>
        <w:t>期间，白云鄂博矿的综合利用被列为国家重点科研项目；</w:t>
      </w:r>
      <w:r>
        <w:rPr>
          <w:rFonts w:ascii="Arial" w:eastAsia="Arial" w:hAnsi="Arial"/>
          <w:spacing w:val="-7"/>
        </w:rPr>
        <w:t xml:space="preserve">1956 </w:t>
      </w:r>
      <w:r>
        <w:t>年国家发布《</w:t>
      </w:r>
      <w:r>
        <w:rPr>
          <w:rFonts w:ascii="Arial" w:eastAsia="Arial" w:hAnsi="Arial"/>
        </w:rPr>
        <w:t xml:space="preserve">1956- 1967 </w:t>
      </w:r>
      <w:r>
        <w:rPr>
          <w:spacing w:val="-14"/>
        </w:rPr>
        <w:t xml:space="preserve">年科学技术发展远景规划纲要》，第 </w:t>
      </w:r>
      <w:r>
        <w:rPr>
          <w:rFonts w:ascii="Arial" w:eastAsia="Arial" w:hAnsi="Arial"/>
        </w:rPr>
        <w:t xml:space="preserve">16 </w:t>
      </w:r>
      <w:r>
        <w:rPr>
          <w:spacing w:val="-3"/>
        </w:rPr>
        <w:t>项中涉及对稀土的研究并探索新用途的内容；在此期间稀土火法冶金技术获得突破，稀土开始规模化生产，行业发展迅速。</w:t>
      </w:r>
      <w:r>
        <w:rPr>
          <w:spacing w:val="-7"/>
        </w:rPr>
        <w:t xml:space="preserve">国外稀土工业的发展始于 </w:t>
      </w:r>
      <w:r>
        <w:rPr>
          <w:rFonts w:ascii="Arial" w:eastAsia="Arial" w:hAnsi="Arial"/>
        </w:rPr>
        <w:t xml:space="preserve">1886 </w:t>
      </w:r>
      <w:r>
        <w:rPr>
          <w:spacing w:val="-23"/>
        </w:rPr>
        <w:t xml:space="preserve">年，到 </w:t>
      </w:r>
      <w:r>
        <w:rPr>
          <w:rFonts w:ascii="Arial" w:eastAsia="Arial" w:hAnsi="Arial"/>
        </w:rPr>
        <w:t xml:space="preserve">20 </w:t>
      </w:r>
      <w:r>
        <w:rPr>
          <w:spacing w:val="-18"/>
        </w:rPr>
        <w:t xml:space="preserve">世纪 </w:t>
      </w:r>
      <w:r>
        <w:rPr>
          <w:rFonts w:ascii="Arial" w:eastAsia="Arial" w:hAnsi="Arial"/>
        </w:rPr>
        <w:t xml:space="preserve">80 </w:t>
      </w:r>
      <w:r>
        <w:rPr>
          <w:spacing w:val="-8"/>
        </w:rPr>
        <w:t>年代前半期，稀土的分离加工国主</w:t>
      </w:r>
      <w:r>
        <w:rPr>
          <w:spacing w:val="-5"/>
        </w:rPr>
        <w:t>要有美国、日本、法国、英国、德国、奥地利、加拿大和苏联等。</w:t>
      </w:r>
    </w:p>
    <w:p>
      <w:pPr>
        <w:pStyle w:val="BodyText"/>
        <w:spacing w:before="156" w:line="348" w:lineRule="auto"/>
        <w:ind w:left="2712" w:right="320" w:firstLine="423"/>
        <w:jc w:val="both"/>
      </w:pPr>
      <w:r>
        <w:rPr>
          <w:b/>
          <w:spacing w:val="-1"/>
          <w:w w:val="100"/>
        </w:rPr>
        <w:t>第二阶段（</w:t>
      </w:r>
      <w:r>
        <w:rPr>
          <w:rFonts w:ascii="Arial" w:eastAsia="Arial" w:hAnsi="Arial"/>
          <w:b/>
          <w:spacing w:val="-3"/>
          <w:w w:val="100"/>
        </w:rPr>
        <w:t>1</w:t>
      </w:r>
      <w:r>
        <w:rPr>
          <w:rFonts w:ascii="Arial" w:eastAsia="Arial" w:hAnsi="Arial"/>
          <w:b/>
          <w:spacing w:val="-1"/>
          <w:w w:val="100"/>
        </w:rPr>
        <w:t>9</w:t>
      </w:r>
      <w:r>
        <w:rPr>
          <w:rFonts w:ascii="Arial" w:eastAsia="Arial" w:hAnsi="Arial"/>
          <w:b/>
          <w:spacing w:val="-3"/>
          <w:w w:val="100"/>
        </w:rPr>
        <w:t>8</w:t>
      </w:r>
      <w:r>
        <w:rPr>
          <w:rFonts w:ascii="Arial" w:eastAsia="Arial" w:hAnsi="Arial"/>
          <w:b/>
          <w:w w:val="100"/>
        </w:rPr>
        <w:t>5</w:t>
      </w:r>
      <w:r>
        <w:rPr>
          <w:rFonts w:ascii="Arial" w:eastAsia="Arial" w:hAnsi="Arial"/>
          <w:b/>
          <w:spacing w:val="-1"/>
          <w:w w:val="100"/>
        </w:rPr>
        <w:t>-20</w:t>
      </w:r>
      <w:r>
        <w:rPr>
          <w:rFonts w:ascii="Arial" w:eastAsia="Arial" w:hAnsi="Arial"/>
          <w:b/>
          <w:spacing w:val="-2"/>
          <w:w w:val="100"/>
        </w:rPr>
        <w:t>0</w:t>
      </w:r>
      <w:r>
        <w:rPr>
          <w:rFonts w:ascii="Arial" w:eastAsia="Arial" w:hAnsi="Arial"/>
          <w:b/>
          <w:w w:val="100"/>
        </w:rPr>
        <w:t>4</w:t>
      </w:r>
      <w:r>
        <w:rPr>
          <w:rFonts w:ascii="Arial" w:eastAsia="Arial" w:hAnsi="Arial"/>
          <w:b/>
        </w:rPr>
        <w:t xml:space="preserve"> </w:t>
      </w:r>
      <w:r>
        <w:rPr>
          <w:b/>
          <w:w w:val="100"/>
        </w:rPr>
        <w:t>年</w:t>
      </w:r>
      <w:r>
        <w:rPr>
          <w:b/>
          <w:spacing w:val="-106"/>
          <w:w w:val="100"/>
        </w:rPr>
        <w:t>）</w:t>
      </w:r>
      <w:r>
        <w:rPr>
          <w:b/>
          <w:spacing w:val="-3"/>
          <w:w w:val="100"/>
        </w:rPr>
        <w:t>：鼓励稀土出口，规范开采程序，中国主导全球稀土</w:t>
      </w:r>
      <w:r>
        <w:rPr>
          <w:b/>
          <w:spacing w:val="-3"/>
        </w:rPr>
        <w:t>行业。</w:t>
      </w:r>
      <w:r>
        <w:rPr>
          <w:spacing w:val="-5"/>
        </w:rPr>
        <w:t xml:space="preserve">根据出口换外汇的经济发展思路，国务院宣布自 </w:t>
      </w:r>
      <w:r>
        <w:rPr>
          <w:rFonts w:ascii="Arial" w:eastAsia="Arial" w:hAnsi="Arial"/>
        </w:rPr>
        <w:t xml:space="preserve">1985 </w:t>
      </w:r>
      <w:r>
        <w:rPr>
          <w:spacing w:val="-14"/>
        </w:rPr>
        <w:t xml:space="preserve">年 </w:t>
      </w:r>
      <w:r>
        <w:rPr>
          <w:rFonts w:ascii="Arial" w:eastAsia="Arial" w:hAnsi="Arial"/>
        </w:rPr>
        <w:t>4</w:t>
      </w:r>
      <w:r>
        <w:rPr>
          <w:rFonts w:ascii="Arial" w:eastAsia="Arial" w:hAnsi="Arial"/>
          <w:spacing w:val="51"/>
        </w:rPr>
        <w:t xml:space="preserve"> </w:t>
      </w:r>
      <w:r>
        <w:rPr>
          <w:spacing w:val="-14"/>
        </w:rPr>
        <w:t xml:space="preserve">月 </w:t>
      </w:r>
      <w:r>
        <w:rPr>
          <w:rFonts w:ascii="Arial" w:eastAsia="Arial" w:hAnsi="Arial"/>
        </w:rPr>
        <w:t xml:space="preserve">1 </w:t>
      </w:r>
      <w:r>
        <w:rPr>
          <w:spacing w:val="-2"/>
        </w:rPr>
        <w:t>日起对稀土</w:t>
      </w:r>
      <w:r>
        <w:rPr>
          <w:spacing w:val="-3"/>
        </w:rPr>
        <w:t>产品实行出口退税政策；</w:t>
      </w:r>
      <w:r>
        <w:rPr>
          <w:rFonts w:ascii="Arial" w:eastAsia="Arial" w:hAnsi="Arial"/>
        </w:rPr>
        <w:t xml:space="preserve">1986 </w:t>
      </w:r>
      <w:r>
        <w:rPr>
          <w:spacing w:val="-3"/>
        </w:rPr>
        <w:t>年稀土冶炼分离产品产量超过美国，成为世界最大的</w:t>
      </w:r>
      <w:r>
        <w:rPr>
          <w:spacing w:val="-3"/>
          <w:w w:val="100"/>
        </w:rPr>
        <w:t>稀土生产国；</w:t>
      </w:r>
      <w:r>
        <w:rPr>
          <w:rFonts w:ascii="Arial" w:eastAsia="Arial" w:hAnsi="Arial"/>
          <w:spacing w:val="-3"/>
          <w:w w:val="100"/>
        </w:rPr>
        <w:t>1</w:t>
      </w:r>
      <w:r>
        <w:rPr>
          <w:rFonts w:ascii="Arial" w:eastAsia="Arial" w:hAnsi="Arial"/>
          <w:w w:val="100"/>
        </w:rPr>
        <w:t>992</w:t>
      </w:r>
      <w:r>
        <w:rPr>
          <w:rFonts w:ascii="Arial" w:eastAsia="Arial" w:hAnsi="Arial"/>
        </w:rPr>
        <w:t xml:space="preserve"> </w:t>
      </w:r>
      <w:r>
        <w:rPr>
          <w:spacing w:val="-16"/>
          <w:w w:val="100"/>
        </w:rPr>
        <w:t>年邓小平也在南巡时指出：“中东有石油，中国有稀土”。当时恰</w:t>
      </w:r>
      <w:r>
        <w:rPr>
          <w:spacing w:val="-8"/>
        </w:rPr>
        <w:t>逢全球半导体产业飞速发展，稀土的国内外需求快速增长，</w:t>
      </w:r>
      <w:r>
        <w:rPr>
          <w:rFonts w:ascii="Arial" w:eastAsia="Arial" w:hAnsi="Arial"/>
          <w:spacing w:val="-3"/>
        </w:rPr>
        <w:t>1991</w:t>
      </w:r>
      <w:r>
        <w:rPr>
          <w:spacing w:val="-3"/>
        </w:rPr>
        <w:t>—</w:t>
      </w:r>
      <w:r>
        <w:rPr>
          <w:rFonts w:ascii="Arial" w:eastAsia="Arial" w:hAnsi="Arial"/>
          <w:spacing w:val="-3"/>
        </w:rPr>
        <w:t xml:space="preserve">2004 </w:t>
      </w:r>
      <w:r>
        <w:rPr>
          <w:spacing w:val="-2"/>
        </w:rPr>
        <w:t xml:space="preserve">年中国稀土出口量由 </w:t>
      </w:r>
      <w:r>
        <w:rPr>
          <w:rFonts w:ascii="Arial" w:eastAsia="Arial" w:hAnsi="Arial"/>
        </w:rPr>
        <w:t xml:space="preserve">8204 </w:t>
      </w:r>
      <w:r>
        <w:rPr>
          <w:spacing w:val="-2"/>
        </w:rPr>
        <w:t xml:space="preserve">吨增长到 </w:t>
      </w:r>
      <w:r>
        <w:rPr>
          <w:rFonts w:ascii="Arial" w:eastAsia="Arial" w:hAnsi="Arial"/>
        </w:rPr>
        <w:t>5.33</w:t>
      </w:r>
      <w:r>
        <w:rPr>
          <w:rFonts w:ascii="Arial" w:eastAsia="Arial" w:hAnsi="Arial"/>
          <w:spacing w:val="51"/>
        </w:rPr>
        <w:t xml:space="preserve"> </w:t>
      </w:r>
      <w:r>
        <w:rPr>
          <w:spacing w:val="-9"/>
        </w:rPr>
        <w:t xml:space="preserve">万吨，但由于产业盲目扩张，出口均价从 </w:t>
      </w:r>
      <w:r>
        <w:rPr>
          <w:rFonts w:ascii="Arial" w:eastAsia="Arial" w:hAnsi="Arial"/>
        </w:rPr>
        <w:t xml:space="preserve">1991 </w:t>
      </w:r>
      <w:r>
        <w:t>年的</w:t>
      </w:r>
    </w:p>
    <w:p>
      <w:pPr>
        <w:pStyle w:val="ListParagraph"/>
        <w:numPr>
          <w:ilvl w:val="1"/>
          <w:numId w:val="1"/>
        </w:numPr>
        <w:tabs>
          <w:tab w:val="left" w:pos="3227"/>
        </w:tabs>
        <w:spacing w:before="0" w:after="0" w:line="348" w:lineRule="auto"/>
        <w:ind w:left="2712" w:right="320" w:firstLine="0"/>
        <w:jc w:val="both"/>
        <w:rPr>
          <w:sz w:val="21"/>
        </w:rPr>
      </w:pPr>
      <w:r>
        <w:rPr>
          <w:sz w:val="21"/>
        </w:rPr>
        <w:t>万美元</w:t>
      </w:r>
      <w:r>
        <w:rPr>
          <w:rFonts w:ascii="Arial" w:eastAsia="Arial"/>
          <w:spacing w:val="-4"/>
          <w:sz w:val="21"/>
        </w:rPr>
        <w:t>/</w:t>
      </w:r>
      <w:r>
        <w:rPr>
          <w:sz w:val="21"/>
        </w:rPr>
        <w:t xml:space="preserve">吨降到 </w:t>
      </w:r>
      <w:r>
        <w:rPr>
          <w:rFonts w:ascii="Arial" w:eastAsia="Arial"/>
          <w:sz w:val="21"/>
        </w:rPr>
        <w:t>2004</w:t>
      </w:r>
      <w:r>
        <w:rPr>
          <w:rFonts w:ascii="Arial" w:eastAsia="Arial"/>
          <w:spacing w:val="52"/>
          <w:sz w:val="21"/>
        </w:rPr>
        <w:t xml:space="preserve"> </w:t>
      </w:r>
      <w:r>
        <w:rPr>
          <w:spacing w:val="-16"/>
          <w:sz w:val="21"/>
        </w:rPr>
        <w:t xml:space="preserve">年的 </w:t>
      </w:r>
      <w:r>
        <w:rPr>
          <w:rFonts w:ascii="Arial" w:eastAsia="Arial"/>
          <w:sz w:val="21"/>
        </w:rPr>
        <w:t>0.93</w:t>
      </w:r>
      <w:r>
        <w:rPr>
          <w:rFonts w:ascii="Arial" w:eastAsia="Arial"/>
          <w:spacing w:val="-3"/>
          <w:sz w:val="21"/>
        </w:rPr>
        <w:t xml:space="preserve"> </w:t>
      </w:r>
      <w:r>
        <w:rPr>
          <w:spacing w:val="-2"/>
          <w:sz w:val="21"/>
        </w:rPr>
        <w:t>万美元</w:t>
      </w:r>
      <w:r>
        <w:rPr>
          <w:rFonts w:ascii="Arial" w:eastAsia="Arial"/>
          <w:sz w:val="21"/>
        </w:rPr>
        <w:t>/</w:t>
      </w:r>
      <w:r>
        <w:rPr>
          <w:spacing w:val="-5"/>
          <w:sz w:val="21"/>
        </w:rPr>
        <w:t>吨。此外，日本、美国等发达国家专利</w:t>
      </w:r>
      <w:r>
        <w:rPr>
          <w:spacing w:val="-9"/>
          <w:sz w:val="21"/>
        </w:rPr>
        <w:t>壁垒导致稀土产品长期附加值低、出口价格低廉，而产业的无序扩张引发了严重的资</w:t>
      </w:r>
      <w:r>
        <w:rPr>
          <w:spacing w:val="-11"/>
          <w:sz w:val="21"/>
        </w:rPr>
        <w:t>源浪费和环境污染。针对以上问题政府在保护离子型稀土资源、规范开采利用程序等</w:t>
      </w:r>
      <w:r>
        <w:rPr>
          <w:spacing w:val="-17"/>
          <w:sz w:val="21"/>
        </w:rPr>
        <w:t xml:space="preserve">方面出台政策，但 </w:t>
      </w:r>
      <w:r>
        <w:rPr>
          <w:rFonts w:ascii="Arial" w:eastAsia="Arial"/>
          <w:sz w:val="21"/>
        </w:rPr>
        <w:t>90</w:t>
      </w:r>
      <w:r>
        <w:rPr>
          <w:rFonts w:ascii="Arial" w:eastAsia="Arial"/>
          <w:spacing w:val="4"/>
          <w:sz w:val="21"/>
        </w:rPr>
        <w:t xml:space="preserve"> </w:t>
      </w:r>
      <w:r>
        <w:rPr>
          <w:spacing w:val="-6"/>
          <w:sz w:val="21"/>
        </w:rPr>
        <w:t>年代因为增加外汇储备的需求管制政策相对温和。</w:t>
      </w:r>
      <w:r>
        <w:rPr>
          <w:rFonts w:ascii="Arial" w:eastAsia="Arial"/>
          <w:sz w:val="21"/>
        </w:rPr>
        <w:t>2001</w:t>
      </w:r>
      <w:r>
        <w:rPr>
          <w:rFonts w:ascii="Arial" w:eastAsia="Arial"/>
          <w:spacing w:val="2"/>
          <w:sz w:val="21"/>
        </w:rPr>
        <w:t xml:space="preserve"> </w:t>
      </w:r>
      <w:r>
        <w:rPr>
          <w:sz w:val="21"/>
        </w:rPr>
        <w:t>年加入</w:t>
      </w:r>
      <w:r>
        <w:rPr>
          <w:rFonts w:ascii="Arial" w:eastAsia="Arial"/>
          <w:sz w:val="21"/>
        </w:rPr>
        <w:t>WTO</w:t>
      </w:r>
      <w:r>
        <w:rPr>
          <w:rFonts w:ascii="Arial" w:eastAsia="Arial"/>
          <w:spacing w:val="27"/>
          <w:sz w:val="21"/>
        </w:rPr>
        <w:t xml:space="preserve"> </w:t>
      </w:r>
      <w:r>
        <w:rPr>
          <w:spacing w:val="-3"/>
          <w:sz w:val="21"/>
        </w:rPr>
        <w:t>后外汇压力减小，中国开始在稀土产业集中度、出口退税等方面采取措施，稀土功能材料研发也逐渐引起重视。</w:t>
      </w:r>
    </w:p>
    <w:p>
      <w:pPr>
        <w:spacing w:before="146"/>
        <w:ind w:left="2846" w:right="0" w:firstLine="0"/>
        <w:jc w:val="both"/>
        <w:rPr>
          <w:b/>
          <w:i/>
          <w:sz w:val="22"/>
        </w:rPr>
      </w:pPr>
      <w:r>
        <w:pict>
          <v:shape id="_x0000_s1192" style="width:383.25pt;height:0.1pt;margin-top:26.58pt;margin-left:169.22pt;mso-position-horizontal-relative:page;mso-wrap-distance-left:0;mso-wrap-distance-right:0;position:absolute;z-index:-251620352" coordorigin="3384,532" coordsize="7665,0" path="m3384,532l11049,532e" filled="f" stroked="t" strokecolor="#013e96" strokeweight="0.48pt">
            <v:stroke dashstyle="solid"/>
            <v:path arrowok="t"/>
            <w10:wrap type="topAndBottom"/>
          </v:shape>
        </w:pict>
      </w:r>
      <w:r>
        <w:rPr>
          <w:b/>
          <w:i/>
          <w:sz w:val="22"/>
        </w:rPr>
        <w:t xml:space="preserve">图表 </w:t>
      </w:r>
      <w:r>
        <w:rPr>
          <w:rFonts w:ascii="Arial" w:eastAsia="Arial"/>
          <w:b/>
          <w:i/>
          <w:sz w:val="21"/>
        </w:rPr>
        <w:t>6</w:t>
      </w:r>
      <w:r>
        <w:rPr>
          <w:b/>
          <w:i/>
          <w:sz w:val="22"/>
        </w:rPr>
        <w:t>：</w:t>
      </w:r>
      <w:r>
        <w:rPr>
          <w:rFonts w:ascii="Arial" w:eastAsia="Arial"/>
          <w:b/>
          <w:i/>
          <w:sz w:val="21"/>
        </w:rPr>
        <w:t xml:space="preserve">1985-2004 </w:t>
      </w:r>
      <w:r>
        <w:rPr>
          <w:b/>
          <w:i/>
          <w:sz w:val="22"/>
        </w:rPr>
        <w:t>年中国主要稀土政策</w:t>
      </w:r>
    </w:p>
    <w:p>
      <w:pPr>
        <w:spacing w:after="0"/>
        <w:jc w:val="both"/>
        <w:rPr>
          <w:sz w:val="22"/>
        </w:rPr>
        <w:sectPr>
          <w:headerReference w:type="default" r:id="rId36"/>
          <w:footerReference w:type="default" r:id="rId37"/>
          <w:pgSz w:w="11910" w:h="16840"/>
          <w:pgMar w:top="1360" w:right="520" w:bottom="660" w:left="660" w:header="708" w:footer="708"/>
          <w:pgNumType w:start="15"/>
          <w:cols w:space="708"/>
        </w:sectPr>
      </w:pPr>
    </w:p>
    <w:p>
      <w:pPr>
        <w:pStyle w:val="BodyText"/>
        <w:rPr>
          <w:b/>
          <w:i/>
          <w:sz w:val="3"/>
        </w:rPr>
      </w:pPr>
      <w:r>
        <w:pict>
          <v:shape id="_x0000_s1193" type="#_x0000_t202" style="width:60pt;height:12pt;margin-top:36.85pt;margin-left:488.98pt;mso-position-horizontal-relative:page;mso-position-vertical-relative:page;position:absolute;z-index:-251617280" filled="f" stroked="f">
            <v:textbox inset="0,0,0,0">
              <w:txbxContent>
                <w:p>
                  <w:pPr>
                    <w:spacing w:before="0" w:line="240" w:lineRule="exact"/>
                    <w:ind w:left="0" w:right="0" w:firstLine="0"/>
                    <w:jc w:val="left"/>
                    <w:rPr>
                      <w:sz w:val="24"/>
                    </w:rPr>
                  </w:pPr>
                  <w:r>
                    <w:rPr>
                      <w:sz w:val="24"/>
                    </w:rPr>
                    <w:t>丨公司名称</w:t>
                  </w:r>
                </w:p>
              </w:txbxContent>
            </v:textbox>
          </v:shape>
        </w:pict>
      </w:r>
    </w:p>
    <w:p>
      <w:pPr>
        <w:pStyle w:val="BodyText"/>
        <w:spacing w:line="20" w:lineRule="exact"/>
        <w:ind w:left="2733"/>
        <w:rPr>
          <w:sz w:val="2"/>
        </w:rPr>
      </w:pPr>
      <w:r>
        <w:rPr>
          <w:sz w:val="2"/>
        </w:rPr>
        <w:pict>
          <v:group id="_x0000_i1194" style="width:383pt;height:0.5pt;mso-position-horizontal-relative:char;mso-position-vertical-relative:line" coordorigin="0,0" coordsize="7660,10">
            <v:line id="_x0000_s1195" style="position:absolute" from="0,5" to="7660,5" stroked="t" strokecolor="#013e96" strokeweight="0.48pt">
              <v:stroke dashstyle="solid"/>
            </v:line>
            <w10:wrap type="none"/>
          </v:group>
        </w:pict>
      </w:r>
    </w:p>
    <w:p>
      <w:pPr>
        <w:pStyle w:val="BodyText"/>
        <w:spacing w:before="8"/>
        <w:rPr>
          <w:b/>
          <w:i/>
          <w:sz w:val="16"/>
        </w:rPr>
      </w:pPr>
      <w:r>
        <w:drawing>
          <wp:anchor distT="0" distB="0" distL="0" distR="0" simplePos="0" relativeHeight="251697152" behindDoc="0" locked="0" layoutInCell="1" allowOverlap="1">
            <wp:simplePos x="0" y="0"/>
            <wp:positionH relativeFrom="page">
              <wp:posOffset>2452139</wp:posOffset>
            </wp:positionH>
            <wp:positionV relativeFrom="paragraph">
              <wp:posOffset>160599</wp:posOffset>
            </wp:positionV>
            <wp:extent cx="4503641" cy="1871376"/>
            <wp:effectExtent l="0" t="0" r="0" b="0"/>
            <wp:wrapTopAndBottom/>
            <wp:docPr id="21"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5.jpeg"/>
                    <pic:cNvPicPr/>
                  </pic:nvPicPr>
                  <pic:blipFill>
                    <a:blip xmlns:r="http://schemas.openxmlformats.org/officeDocument/2006/relationships" r:embed="rId38" cstate="print"/>
                    <a:stretch>
                      <a:fillRect/>
                    </a:stretch>
                  </pic:blipFill>
                  <pic:spPr>
                    <a:xfrm>
                      <a:off x="0" y="0"/>
                      <a:ext cx="4503641" cy="1871376"/>
                    </a:xfrm>
                    <a:prstGeom prst="rect">
                      <a:avLst/>
                    </a:prstGeom>
                  </pic:spPr>
                </pic:pic>
              </a:graphicData>
            </a:graphic>
          </wp:anchor>
        </w:drawing>
      </w:r>
      <w:r>
        <w:pict>
          <v:shape id="_x0000_s1196" style="width:383pt;height:0.1pt;margin-top:171.35pt;margin-left:169.94pt;mso-position-horizontal-relative:page;mso-wrap-distance-left:0;mso-wrap-distance-right:0;position:absolute;z-index:-251616256" coordorigin="3399,3427" coordsize="7660,0" path="m3399,3427l11059,3427e" filled="f" stroked="t" strokecolor="#013e96" strokeweight="0.48pt">
            <v:stroke dashstyle="solid"/>
            <v:path arrowok="t"/>
            <w10:wrap type="topAndBottom"/>
          </v:shape>
        </w:pict>
      </w:r>
    </w:p>
    <w:p>
      <w:pPr>
        <w:pStyle w:val="BodyText"/>
        <w:rPr>
          <w:b/>
          <w:i/>
          <w:sz w:val="12"/>
        </w:rPr>
      </w:pPr>
    </w:p>
    <w:p>
      <w:pPr>
        <w:spacing w:before="70"/>
        <w:ind w:left="2846" w:right="0" w:firstLine="0"/>
        <w:jc w:val="left"/>
        <w:rPr>
          <w:sz w:val="15"/>
        </w:rPr>
      </w:pPr>
      <w:r>
        <w:t xml:space="preserve">数据来源：《中国稀土政策演进逻辑与优化调整方向》周美静等， </w:t>
      </w:r>
    </w:p>
    <w:p>
      <w:pPr>
        <w:pStyle w:val="BodyText"/>
        <w:spacing w:before="4"/>
        <w:rPr>
          <w:sz w:val="12"/>
        </w:rPr>
      </w:pPr>
    </w:p>
    <w:p>
      <w:pPr>
        <w:spacing w:before="0"/>
        <w:ind w:left="2846" w:right="0" w:firstLine="0"/>
        <w:jc w:val="left"/>
        <w:rPr>
          <w:b/>
          <w:i/>
          <w:sz w:val="22"/>
        </w:rPr>
      </w:pPr>
      <w:r>
        <w:pict>
          <v:group id="_x0000_s1197" style="width:383.75pt;height:1pt;margin-top:18.95pt;margin-left:169.22pt;mso-position-horizontal-relative:page;mso-wrap-distance-left:0;mso-wrap-distance-right:0;position:absolute;z-index:-251615232" coordorigin="3384,379" coordsize="7675,20">
            <v:line id="_x0000_s1198" style="position:absolute" from="3399,393" to="11059,393" stroked="t" strokecolor="#013e96" strokeweight="0.48pt">
              <v:stroke dashstyle="solid"/>
            </v:line>
            <v:line id="_x0000_s1199" style="position:absolute" from="3384,384" to="11049,384" stroked="t" strokecolor="#013e96" strokeweight="0.48pt">
              <v:stroke dashstyle="solid"/>
            </v:line>
            <w10:wrap type="topAndBottom"/>
          </v:group>
        </w:pict>
      </w:r>
      <w:r>
        <w:drawing>
          <wp:anchor distT="0" distB="0" distL="0" distR="0" simplePos="0" relativeHeight="251698176" behindDoc="0" locked="0" layoutInCell="1" allowOverlap="1">
            <wp:simplePos x="0" y="0"/>
            <wp:positionH relativeFrom="page">
              <wp:posOffset>2542862</wp:posOffset>
            </wp:positionH>
            <wp:positionV relativeFrom="paragraph">
              <wp:posOffset>412554</wp:posOffset>
            </wp:positionV>
            <wp:extent cx="4318667" cy="2099691"/>
            <wp:effectExtent l="0" t="0" r="0" b="0"/>
            <wp:wrapTopAndBottom/>
            <wp:docPr id="2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6.jpeg"/>
                    <pic:cNvPicPr/>
                  </pic:nvPicPr>
                  <pic:blipFill>
                    <a:blip xmlns:r="http://schemas.openxmlformats.org/officeDocument/2006/relationships" r:embed="rId39" cstate="print"/>
                    <a:stretch>
                      <a:fillRect/>
                    </a:stretch>
                  </pic:blipFill>
                  <pic:spPr>
                    <a:xfrm>
                      <a:off x="0" y="0"/>
                      <a:ext cx="4318667" cy="2099691"/>
                    </a:xfrm>
                    <a:prstGeom prst="rect">
                      <a:avLst/>
                    </a:prstGeom>
                  </pic:spPr>
                </pic:pic>
              </a:graphicData>
            </a:graphic>
          </wp:anchor>
        </w:drawing>
      </w:r>
      <w:r>
        <w:pict>
          <v:shape id="_x0000_s1200" style="width:383pt;height:0.1pt;margin-top:207.37pt;margin-left:169.94pt;mso-position-horizontal-relative:page;mso-wrap-distance-left:0;mso-wrap-distance-right:0;position:absolute;z-index:-251614208" coordorigin="3399,4147" coordsize="7660,0" path="m3399,4147l11059,4147e" filled="f" stroked="t" strokecolor="#013e96" strokeweight="0.48pt">
            <v:stroke dashstyle="solid"/>
            <v:path arrowok="t"/>
            <w10:wrap type="topAndBottom"/>
          </v:shape>
        </w:pict>
      </w:r>
      <w:r>
        <w:rPr>
          <w:b/>
          <w:i/>
          <w:sz w:val="22"/>
        </w:rPr>
        <w:t xml:space="preserve">图表 </w:t>
      </w:r>
      <w:r>
        <w:rPr>
          <w:rFonts w:ascii="Arial" w:eastAsia="Arial" w:hAnsi="Arial"/>
          <w:b/>
          <w:i/>
          <w:sz w:val="21"/>
        </w:rPr>
        <w:t>7</w:t>
      </w:r>
      <w:r>
        <w:rPr>
          <w:b/>
          <w:i/>
          <w:sz w:val="22"/>
        </w:rPr>
        <w:t>：</w:t>
      </w:r>
      <w:r>
        <w:rPr>
          <w:rFonts w:ascii="Arial" w:eastAsia="Arial" w:hAnsi="Arial"/>
          <w:b/>
          <w:i/>
          <w:sz w:val="21"/>
        </w:rPr>
        <w:t>1991</w:t>
      </w:r>
      <w:r>
        <w:rPr>
          <w:b/>
          <w:i/>
          <w:sz w:val="22"/>
        </w:rPr>
        <w:t>—</w:t>
      </w:r>
      <w:r>
        <w:rPr>
          <w:rFonts w:ascii="Arial" w:eastAsia="Arial" w:hAnsi="Arial"/>
          <w:b/>
          <w:i/>
          <w:sz w:val="21"/>
        </w:rPr>
        <w:t xml:space="preserve">2017 </w:t>
      </w:r>
      <w:r>
        <w:rPr>
          <w:b/>
          <w:i/>
          <w:sz w:val="22"/>
        </w:rPr>
        <w:t>年中国稀土产品的出口情况</w:t>
      </w:r>
    </w:p>
    <w:p>
      <w:pPr>
        <w:pStyle w:val="BodyText"/>
        <w:spacing w:before="3"/>
        <w:rPr>
          <w:b/>
          <w:i/>
          <w:sz w:val="14"/>
        </w:rPr>
      </w:pPr>
    </w:p>
    <w:p>
      <w:pPr>
        <w:pStyle w:val="BodyText"/>
        <w:spacing w:before="2"/>
        <w:rPr>
          <w:b/>
          <w:i/>
          <w:sz w:val="9"/>
        </w:rPr>
      </w:pPr>
    </w:p>
    <w:p>
      <w:pPr>
        <w:spacing w:before="72"/>
        <w:ind w:left="2846" w:right="0" w:firstLine="0"/>
        <w:jc w:val="left"/>
        <w:rPr>
          <w:sz w:val="15"/>
        </w:rPr>
      </w:pPr>
      <w:r>
        <w:t xml:space="preserve">数据来源：《中国稀土政策演进逻辑与优化调整方向》周美静等， </w:t>
      </w:r>
    </w:p>
    <w:p>
      <w:pPr>
        <w:pStyle w:val="BodyText"/>
        <w:spacing w:before="10"/>
        <w:rPr>
          <w:sz w:val="18"/>
        </w:rPr>
      </w:pPr>
    </w:p>
    <w:p>
      <w:pPr>
        <w:spacing w:before="81" w:line="348" w:lineRule="auto"/>
        <w:ind w:left="2712" w:right="218" w:firstLine="423"/>
        <w:jc w:val="left"/>
        <w:rPr>
          <w:sz w:val="21"/>
        </w:rPr>
      </w:pPr>
      <w:r>
        <w:rPr>
          <w:b/>
          <w:w w:val="100"/>
          <w:sz w:val="21"/>
        </w:rPr>
        <w:t>第三阶段（</w:t>
      </w:r>
      <w:r>
        <w:rPr>
          <w:rFonts w:ascii="Arial" w:eastAsia="Arial" w:hAnsi="Arial"/>
          <w:b/>
          <w:w w:val="100"/>
          <w:sz w:val="21"/>
        </w:rPr>
        <w:t>2</w:t>
      </w:r>
      <w:r>
        <w:rPr>
          <w:rFonts w:ascii="Arial" w:eastAsia="Arial" w:hAnsi="Arial"/>
          <w:b/>
          <w:spacing w:val="-3"/>
          <w:w w:val="100"/>
          <w:sz w:val="21"/>
        </w:rPr>
        <w:t>0</w:t>
      </w:r>
      <w:r>
        <w:rPr>
          <w:rFonts w:ascii="Arial" w:eastAsia="Arial" w:hAnsi="Arial"/>
          <w:b/>
          <w:spacing w:val="-1"/>
          <w:w w:val="100"/>
          <w:sz w:val="21"/>
        </w:rPr>
        <w:t>0</w:t>
      </w:r>
      <w:r>
        <w:rPr>
          <w:rFonts w:ascii="Arial" w:eastAsia="Arial" w:hAnsi="Arial"/>
          <w:b/>
          <w:w w:val="100"/>
          <w:sz w:val="21"/>
        </w:rPr>
        <w:t>4</w:t>
      </w:r>
      <w:r>
        <w:rPr>
          <w:rFonts w:ascii="Arial" w:eastAsia="Arial" w:hAnsi="Arial"/>
          <w:b/>
          <w:spacing w:val="-1"/>
          <w:w w:val="100"/>
          <w:sz w:val="21"/>
        </w:rPr>
        <w:t>-</w:t>
      </w:r>
      <w:r>
        <w:rPr>
          <w:rFonts w:ascii="Arial" w:eastAsia="Arial" w:hAnsi="Arial"/>
          <w:b/>
          <w:spacing w:val="-3"/>
          <w:w w:val="100"/>
          <w:sz w:val="21"/>
        </w:rPr>
        <w:t>2</w:t>
      </w:r>
      <w:r>
        <w:rPr>
          <w:rFonts w:ascii="Arial" w:eastAsia="Arial" w:hAnsi="Arial"/>
          <w:b/>
          <w:spacing w:val="-1"/>
          <w:w w:val="100"/>
          <w:sz w:val="21"/>
        </w:rPr>
        <w:t>0</w:t>
      </w:r>
      <w:r>
        <w:rPr>
          <w:rFonts w:ascii="Arial" w:eastAsia="Arial" w:hAnsi="Arial"/>
          <w:b/>
          <w:spacing w:val="-3"/>
          <w:w w:val="100"/>
          <w:sz w:val="21"/>
        </w:rPr>
        <w:t>1</w:t>
      </w:r>
      <w:r>
        <w:rPr>
          <w:rFonts w:ascii="Arial" w:eastAsia="Arial" w:hAnsi="Arial"/>
          <w:b/>
          <w:w w:val="100"/>
          <w:sz w:val="21"/>
        </w:rPr>
        <w:t>0</w:t>
      </w:r>
      <w:r>
        <w:rPr>
          <w:rFonts w:ascii="Arial" w:eastAsia="Arial" w:hAnsi="Arial"/>
          <w:b/>
          <w:spacing w:val="9"/>
          <w:sz w:val="21"/>
        </w:rPr>
        <w:t xml:space="preserve"> </w:t>
      </w:r>
      <w:r>
        <w:rPr>
          <w:b/>
          <w:w w:val="100"/>
          <w:sz w:val="21"/>
        </w:rPr>
        <w:t>年</w:t>
      </w:r>
      <w:r>
        <w:rPr>
          <w:b/>
          <w:spacing w:val="-106"/>
          <w:w w:val="100"/>
          <w:sz w:val="21"/>
        </w:rPr>
        <w:t>）</w:t>
      </w:r>
      <w:r>
        <w:rPr>
          <w:b/>
          <w:spacing w:val="-2"/>
          <w:w w:val="100"/>
          <w:sz w:val="21"/>
        </w:rPr>
        <w:t>：出台开采、生产和出口总量控制政策。</w:t>
      </w:r>
      <w:r>
        <w:rPr>
          <w:w w:val="100"/>
          <w:sz w:val="21"/>
        </w:rPr>
        <w:t>自</w:t>
      </w:r>
      <w:r>
        <w:rPr>
          <w:spacing w:val="-38"/>
          <w:sz w:val="21"/>
        </w:rPr>
        <w:t xml:space="preserve"> </w:t>
      </w:r>
      <w:r>
        <w:rPr>
          <w:rFonts w:ascii="Arial" w:eastAsia="Arial" w:hAnsi="Arial"/>
          <w:spacing w:val="-3"/>
          <w:w w:val="100"/>
          <w:sz w:val="21"/>
        </w:rPr>
        <w:t>2</w:t>
      </w:r>
      <w:r>
        <w:rPr>
          <w:rFonts w:ascii="Arial" w:eastAsia="Arial" w:hAnsi="Arial"/>
          <w:spacing w:val="-1"/>
          <w:w w:val="100"/>
          <w:sz w:val="21"/>
        </w:rPr>
        <w:t>0</w:t>
      </w:r>
      <w:r>
        <w:rPr>
          <w:rFonts w:ascii="Arial" w:eastAsia="Arial" w:hAnsi="Arial"/>
          <w:spacing w:val="-3"/>
          <w:w w:val="100"/>
          <w:sz w:val="21"/>
        </w:rPr>
        <w:t>0</w:t>
      </w:r>
      <w:r>
        <w:rPr>
          <w:rFonts w:ascii="Arial" w:eastAsia="Arial" w:hAnsi="Arial"/>
          <w:w w:val="100"/>
          <w:sz w:val="21"/>
        </w:rPr>
        <w:t>4</w:t>
      </w:r>
      <w:r>
        <w:rPr>
          <w:rFonts w:ascii="Arial" w:eastAsia="Arial" w:hAnsi="Arial"/>
          <w:spacing w:val="9"/>
          <w:sz w:val="21"/>
        </w:rPr>
        <w:t xml:space="preserve"> </w:t>
      </w:r>
      <w:r>
        <w:rPr>
          <w:w w:val="100"/>
          <w:sz w:val="21"/>
        </w:rPr>
        <w:t>年</w:t>
      </w:r>
      <w:r>
        <w:rPr>
          <w:spacing w:val="-4"/>
          <w:sz w:val="21"/>
        </w:rPr>
        <w:t>开始中国政府开始在开采、生产和出口等方面制定了相关政策，虽然仍然存在环保、</w:t>
      </w:r>
      <w:r>
        <w:rPr>
          <w:spacing w:val="-9"/>
          <w:sz w:val="21"/>
        </w:rPr>
        <w:t>非法开采和走私的情况，但稀土“贱卖”情况减少，中国在全球稀土产业链话语权提</w:t>
      </w:r>
      <w:r>
        <w:rPr>
          <w:spacing w:val="-5"/>
          <w:sz w:val="21"/>
        </w:rPr>
        <w:t>升。出口方面，</w:t>
      </w:r>
      <w:r>
        <w:rPr>
          <w:rFonts w:ascii="Arial" w:eastAsia="Arial" w:hAnsi="Arial"/>
          <w:sz w:val="21"/>
        </w:rPr>
        <w:t>2004</w:t>
      </w:r>
      <w:r>
        <w:rPr>
          <w:rFonts w:ascii="Arial" w:eastAsia="Arial" w:hAnsi="Arial"/>
          <w:spacing w:val="10"/>
          <w:sz w:val="21"/>
        </w:rPr>
        <w:t xml:space="preserve"> </w:t>
      </w:r>
      <w:r>
        <w:rPr>
          <w:spacing w:val="-19"/>
          <w:sz w:val="21"/>
        </w:rPr>
        <w:t xml:space="preserve">年 </w:t>
      </w:r>
      <w:r>
        <w:rPr>
          <w:rFonts w:ascii="Arial" w:eastAsia="Arial" w:hAnsi="Arial"/>
          <w:sz w:val="21"/>
        </w:rPr>
        <w:t>1</w:t>
      </w:r>
      <w:r>
        <w:rPr>
          <w:rFonts w:ascii="Arial" w:eastAsia="Arial" w:hAnsi="Arial"/>
          <w:spacing w:val="14"/>
          <w:sz w:val="21"/>
        </w:rPr>
        <w:t xml:space="preserve"> </w:t>
      </w:r>
      <w:r>
        <w:rPr>
          <w:spacing w:val="-5"/>
          <w:sz w:val="21"/>
        </w:rPr>
        <w:t xml:space="preserve">月开始逐步取消出口退税政策，并在 </w:t>
      </w:r>
      <w:r>
        <w:rPr>
          <w:rFonts w:ascii="Arial" w:eastAsia="Arial" w:hAnsi="Arial"/>
          <w:sz w:val="21"/>
        </w:rPr>
        <w:t>2005</w:t>
      </w:r>
      <w:r>
        <w:rPr>
          <w:rFonts w:ascii="Arial" w:eastAsia="Arial" w:hAnsi="Arial"/>
          <w:spacing w:val="14"/>
          <w:sz w:val="21"/>
        </w:rPr>
        <w:t xml:space="preserve"> </w:t>
      </w:r>
      <w:r>
        <w:rPr>
          <w:spacing w:val="-3"/>
          <w:sz w:val="21"/>
        </w:rPr>
        <w:t>年开始减少出</w:t>
      </w:r>
    </w:p>
    <w:p>
      <w:pPr>
        <w:pStyle w:val="BodyText"/>
        <w:spacing w:line="268" w:lineRule="exact"/>
        <w:ind w:left="2712"/>
      </w:pPr>
      <w:r>
        <w:rPr>
          <w:spacing w:val="-16"/>
        </w:rPr>
        <w:t xml:space="preserve">口配额，在 </w:t>
      </w:r>
      <w:r>
        <w:rPr>
          <w:rFonts w:ascii="Arial" w:eastAsia="Arial"/>
        </w:rPr>
        <w:t>2006</w:t>
      </w:r>
      <w:r>
        <w:rPr>
          <w:rFonts w:ascii="Arial" w:eastAsia="Arial"/>
          <w:spacing w:val="-5"/>
        </w:rPr>
        <w:t xml:space="preserve"> </w:t>
      </w:r>
      <w:r>
        <w:rPr>
          <w:spacing w:val="-25"/>
        </w:rPr>
        <w:t xml:space="preserve">年 </w:t>
      </w:r>
      <w:r>
        <w:rPr>
          <w:rFonts w:ascii="Arial" w:eastAsia="Arial"/>
          <w:spacing w:val="-9"/>
        </w:rPr>
        <w:t>11</w:t>
      </w:r>
      <w:r>
        <w:rPr>
          <w:rFonts w:ascii="Arial" w:eastAsia="Arial"/>
          <w:spacing w:val="-3"/>
        </w:rPr>
        <w:t xml:space="preserve"> </w:t>
      </w:r>
      <w:r>
        <w:rPr>
          <w:spacing w:val="-4"/>
        </w:rPr>
        <w:t>月开始征收关税，</w:t>
      </w:r>
      <w:r>
        <w:rPr>
          <w:rFonts w:ascii="Arial" w:eastAsia="Arial"/>
          <w:spacing w:val="-8"/>
        </w:rPr>
        <w:t>2005</w:t>
      </w:r>
      <w:r>
        <w:rPr>
          <w:rFonts w:ascii="Arial" w:eastAsia="Arial"/>
          <w:spacing w:val="-3"/>
        </w:rPr>
        <w:t xml:space="preserve"> </w:t>
      </w:r>
      <w:r>
        <w:rPr>
          <w:spacing w:val="-26"/>
        </w:rPr>
        <w:t xml:space="preserve">到 </w:t>
      </w:r>
      <w:r>
        <w:rPr>
          <w:rFonts w:ascii="Arial" w:eastAsia="Arial"/>
        </w:rPr>
        <w:t>2010</w:t>
      </w:r>
      <w:r>
        <w:rPr>
          <w:rFonts w:ascii="Arial" w:eastAsia="Arial"/>
          <w:spacing w:val="-3"/>
        </w:rPr>
        <w:t xml:space="preserve"> </w:t>
      </w:r>
      <w:r>
        <w:rPr>
          <w:spacing w:val="-9"/>
        </w:rPr>
        <w:t xml:space="preserve">年稀土出口配额由 </w:t>
      </w:r>
      <w:r>
        <w:rPr>
          <w:rFonts w:ascii="Arial" w:eastAsia="Arial"/>
        </w:rPr>
        <w:t>6.56</w:t>
      </w:r>
      <w:r>
        <w:rPr>
          <w:rFonts w:ascii="Arial" w:eastAsia="Arial"/>
          <w:spacing w:val="-3"/>
        </w:rPr>
        <w:t xml:space="preserve"> </w:t>
      </w:r>
      <w:r>
        <w:t>万吨</w:t>
      </w:r>
    </w:p>
    <w:p>
      <w:pPr>
        <w:pStyle w:val="BodyText"/>
        <w:spacing w:before="122"/>
        <w:ind w:left="2712"/>
        <w:jc w:val="both"/>
      </w:pPr>
      <w:r>
        <w:rPr>
          <w:spacing w:val="-13"/>
        </w:rPr>
        <w:t xml:space="preserve">减少至 </w:t>
      </w:r>
      <w:r>
        <w:rPr>
          <w:rFonts w:ascii="Arial" w:eastAsia="Arial"/>
        </w:rPr>
        <w:t>3.03</w:t>
      </w:r>
      <w:r>
        <w:rPr>
          <w:rFonts w:ascii="Arial" w:eastAsia="Arial"/>
          <w:spacing w:val="-2"/>
        </w:rPr>
        <w:t xml:space="preserve"> </w:t>
      </w:r>
      <w:r>
        <w:rPr>
          <w:spacing w:val="-6"/>
        </w:rPr>
        <w:t>万吨；生产方面，</w:t>
      </w:r>
      <w:r>
        <w:rPr>
          <w:rFonts w:ascii="Arial" w:eastAsia="Arial"/>
          <w:spacing w:val="-6"/>
        </w:rPr>
        <w:t>2006</w:t>
      </w:r>
      <w:r>
        <w:rPr>
          <w:rFonts w:ascii="Arial" w:eastAsia="Arial"/>
        </w:rPr>
        <w:t xml:space="preserve">  </w:t>
      </w:r>
      <w:r>
        <w:rPr>
          <w:spacing w:val="-9"/>
        </w:rPr>
        <w:t xml:space="preserve">年国土资源部下达了《关于下达 </w:t>
      </w:r>
      <w:r>
        <w:rPr>
          <w:rFonts w:ascii="Arial" w:eastAsia="Arial"/>
        </w:rPr>
        <w:t>2006</w:t>
      </w:r>
      <w:r>
        <w:rPr>
          <w:rFonts w:ascii="Arial" w:eastAsia="Arial"/>
          <w:spacing w:val="1"/>
        </w:rPr>
        <w:t xml:space="preserve"> </w:t>
      </w:r>
      <w:r>
        <w:rPr>
          <w:spacing w:val="-2"/>
        </w:rPr>
        <w:t>年钨矿和</w:t>
      </w:r>
    </w:p>
    <w:p>
      <w:pPr>
        <w:pStyle w:val="BodyText"/>
        <w:spacing w:before="120" w:line="348" w:lineRule="auto"/>
        <w:ind w:left="2712" w:right="320"/>
        <w:jc w:val="both"/>
      </w:pPr>
      <w:r>
        <w:rPr>
          <w:spacing w:val="-14"/>
        </w:rPr>
        <w:t>稀土矿开采总量控制指标的通知》，下达了</w:t>
      </w:r>
      <w:r>
        <w:rPr>
          <w:rFonts w:ascii="Arial" w:eastAsia="Arial"/>
        </w:rPr>
        <w:t xml:space="preserve">2006 </w:t>
      </w:r>
      <w:r>
        <w:rPr>
          <w:spacing w:val="-3"/>
        </w:rPr>
        <w:t>年全国矿山稀土开采总量控制指标， 这是第一次对稀土进行开采总量控制；生产方面，</w:t>
      </w:r>
      <w:r>
        <w:rPr>
          <w:rFonts w:ascii="Arial" w:eastAsia="Arial"/>
        </w:rPr>
        <w:t xml:space="preserve">2007 </w:t>
      </w:r>
      <w:r>
        <w:rPr>
          <w:spacing w:val="-3"/>
        </w:rPr>
        <w:t>年将稀土矿产品和冶炼分离产品共同纳入指标。</w:t>
      </w:r>
    </w:p>
    <w:p>
      <w:pPr>
        <w:spacing w:before="148"/>
        <w:ind w:left="94" w:right="0" w:firstLine="0"/>
        <w:jc w:val="center"/>
        <w:rPr>
          <w:b/>
          <w:i/>
          <w:sz w:val="22"/>
        </w:rPr>
      </w:pPr>
      <w:r>
        <w:pict>
          <v:group id="_x0000_s1201" style="width:383.75pt;height:20.55pt;margin-top:26.32pt;margin-left:169.22pt;mso-position-horizontal-relative:page;mso-wrap-distance-left:0;mso-wrap-distance-right:0;position:absolute;z-index:-251613184" coordorigin="3384,526" coordsize="7675,411">
            <v:rect id="_x0000_s1202" style="width:108;height:392;left:4395;position:absolute;top:545" filled="t" fillcolor="#4774ca" stroked="f">
              <v:fill type="solid"/>
            </v:rect>
            <v:rect id="_x0000_s1203" style="width:108;height:392;left:3506;position:absolute;top:545" filled="t" fillcolor="#4774ca" stroked="f">
              <v:fill type="solid"/>
            </v:rect>
            <v:rect id="_x0000_s1204" style="width:781;height:392;left:3614;position:absolute;top:545" filled="t" fillcolor="#4774ca" stroked="f">
              <v:fill type="solid"/>
            </v:rect>
            <v:rect id="_x0000_s1205" style="width:108;height:392;left:4503;position:absolute;top:545" filled="t" fillcolor="#4774ca" stroked="f">
              <v:fill type="solid"/>
            </v:rect>
            <v:rect id="_x0000_s1206" style="width:108;height:392;left:10840;position:absolute;top:545" filled="t" fillcolor="#4774ca" stroked="f">
              <v:fill type="solid"/>
            </v:rect>
            <v:rect id="_x0000_s1207" style="width:6229;height:392;left:4611;position:absolute;top:545" filled="t" fillcolor="#4774ca" stroked="f">
              <v:fill type="solid"/>
            </v:rect>
            <v:line id="_x0000_s1208" style="position:absolute" from="3399,541" to="11059,541" stroked="t" strokecolor="#013e96" strokeweight="0.48pt">
              <v:stroke dashstyle="solid"/>
            </v:line>
            <v:line id="_x0000_s1209" style="position:absolute" from="3384,531" to="11049,531" stroked="t" strokecolor="#013e96" strokeweight="0.48pt">
              <v:stroke dashstyle="solid"/>
            </v:line>
            <v:shape id="_x0000_s1210" type="#_x0000_t202" style="width:7442;height:401;left:3506;position:absolute;top:536" filled="f" stroked="f">
              <v:textbox inset="0,0,0,0">
                <w:txbxContent>
                  <w:p>
                    <w:pPr>
                      <w:tabs>
                        <w:tab w:val="left" w:pos="4037"/>
                      </w:tabs>
                      <w:spacing w:before="88"/>
                      <w:ind w:left="317" w:right="0" w:firstLine="0"/>
                      <w:jc w:val="left"/>
                      <w:rPr>
                        <w:sz w:val="18"/>
                      </w:rPr>
                    </w:pPr>
                    <w:r>
                      <w:rPr>
                        <w:color w:val="FFFFFF"/>
                        <w:sz w:val="18"/>
                      </w:rPr>
                      <w:t>方面</w:t>
                      <w:tab/>
                      <w:t>政策</w:t>
                    </w:r>
                  </w:p>
                </w:txbxContent>
              </v:textbox>
            </v:shape>
            <w10:wrap type="topAndBottom"/>
          </v:group>
        </w:pict>
      </w:r>
      <w:r>
        <w:rPr>
          <w:b/>
          <w:i/>
          <w:sz w:val="22"/>
        </w:rPr>
        <w:t xml:space="preserve">图表 </w:t>
      </w:r>
      <w:r>
        <w:rPr>
          <w:rFonts w:ascii="Arial" w:eastAsia="Arial"/>
          <w:b/>
          <w:i/>
          <w:sz w:val="21"/>
        </w:rPr>
        <w:t>8</w:t>
      </w:r>
      <w:r>
        <w:rPr>
          <w:b/>
          <w:i/>
          <w:sz w:val="22"/>
        </w:rPr>
        <w:t xml:space="preserve">： </w:t>
      </w:r>
      <w:r>
        <w:rPr>
          <w:rFonts w:ascii="Arial" w:eastAsia="Arial"/>
          <w:b/>
          <w:i/>
          <w:sz w:val="21"/>
        </w:rPr>
        <w:t xml:space="preserve">2004-2010 </w:t>
      </w:r>
      <w:r>
        <w:rPr>
          <w:b/>
          <w:i/>
          <w:sz w:val="22"/>
        </w:rPr>
        <w:t>年开采、生产和出口总量控制政策</w:t>
      </w:r>
    </w:p>
    <w:p>
      <w:pPr>
        <w:spacing w:before="50" w:line="212" w:lineRule="exact"/>
        <w:ind w:left="3951" w:right="0" w:firstLine="0"/>
        <w:jc w:val="left"/>
        <w:rPr>
          <w:sz w:val="18"/>
        </w:rPr>
      </w:pPr>
      <w:r>
        <w:rPr>
          <w:sz w:val="18"/>
        </w:rPr>
        <w:t>2004 年 1 月开始逐步取消出口退税政策，并在 2005 年开始减少出口配额，在</w:t>
      </w:r>
    </w:p>
    <w:p>
      <w:pPr>
        <w:spacing w:before="0" w:line="194" w:lineRule="exact"/>
        <w:ind w:left="3164" w:right="0" w:firstLine="0"/>
        <w:jc w:val="left"/>
        <w:rPr>
          <w:sz w:val="18"/>
        </w:rPr>
      </w:pPr>
      <w:r>
        <w:rPr>
          <w:sz w:val="18"/>
        </w:rPr>
        <w:t>出口</w:t>
      </w:r>
    </w:p>
    <w:p>
      <w:pPr>
        <w:spacing w:before="0" w:line="213" w:lineRule="exact"/>
        <w:ind w:left="3951" w:right="0" w:firstLine="0"/>
        <w:jc w:val="left"/>
        <w:rPr>
          <w:sz w:val="18"/>
        </w:rPr>
      </w:pPr>
      <w:r>
        <w:pict>
          <v:group id="_x0000_s1211" style="width:372.8pt;height:0.5pt;margin-top:14.69pt;margin-left:174.62pt;mso-position-horizontal-relative:page;mso-wrap-distance-left:0;mso-wrap-distance-right:0;position:absolute;z-index:-251612160" coordorigin="3492,294" coordsize="7456,10">
            <v:line id="_x0000_s1212" style="position:absolute" from="3492,299" to="4503,299" stroked="t" strokecolor="black" strokeweight="0.48pt">
              <v:stroke dashstyle="solid"/>
            </v:line>
            <v:rect id="_x0000_s1213" style="width:10;height:10;left:4489;position:absolute;top:293" filled="t" fillcolor="black" stroked="f">
              <v:fill type="solid"/>
            </v:rect>
            <v:line id="_x0000_s1214" style="position:absolute" from="4499,299" to="10948,299" stroked="t" strokecolor="black" strokeweight="0.48pt">
              <v:stroke dashstyle="solid"/>
            </v:line>
            <w10:wrap type="topAndBottom"/>
          </v:group>
        </w:pict>
      </w:r>
      <w:r>
        <w:pict>
          <v:shape id="_x0000_s1215" style="width:383.75pt;height:0.1pt;margin-top:36.29pt;margin-left:169.22pt;mso-position-horizontal-relative:page;mso-wrap-distance-left:0;mso-wrap-distance-right:0;position:absolute;z-index:-251611136" coordorigin="3384,726" coordsize="7675,0" path="m3384,726l11059,726e" filled="f" stroked="t" strokecolor="#013e96" strokeweight="0.48pt">
            <v:stroke dashstyle="solid"/>
            <v:path arrowok="t"/>
            <w10:wrap type="topAndBottom"/>
          </v:shape>
        </w:pict>
      </w:r>
      <w:r>
        <w:rPr>
          <w:sz w:val="18"/>
        </w:rPr>
        <w:t>2006 年 11 月开始征收关税</w:t>
      </w:r>
    </w:p>
    <w:p>
      <w:pPr>
        <w:pStyle w:val="BodyText"/>
        <w:spacing w:before="3"/>
        <w:rPr>
          <w:sz w:val="27"/>
        </w:rPr>
      </w:pPr>
    </w:p>
    <w:p>
      <w:pPr>
        <w:spacing w:after="0"/>
        <w:rPr>
          <w:sz w:val="27"/>
        </w:rPr>
        <w:sectPr>
          <w:headerReference w:type="default" r:id="rId40"/>
          <w:footerReference w:type="default" r:id="rId41"/>
          <w:pgSz w:w="11910" w:h="16840"/>
          <w:pgMar w:top="1360" w:right="520" w:bottom="660" w:left="660" w:header="708" w:footer="708"/>
          <w:pgNumType w:start="16"/>
          <w:cols w:space="708"/>
        </w:sectPr>
      </w:pPr>
    </w:p>
    <w:p>
      <w:pPr>
        <w:pStyle w:val="BodyText"/>
        <w:rPr>
          <w:sz w:val="3"/>
        </w:rPr>
      </w:pPr>
      <w:r>
        <w:pict>
          <v:shape id="_x0000_s1216" type="#_x0000_t202" style="width:60pt;height:12pt;margin-top:36.85pt;margin-left:488.98pt;mso-position-horizontal-relative:page;mso-position-vertical-relative:page;position:absolute;z-index:-251610112" filled="f" stroked="f">
            <v:textbox inset="0,0,0,0">
              <w:txbxContent>
                <w:p>
                  <w:pPr>
                    <w:spacing w:before="0" w:line="240" w:lineRule="exact"/>
                    <w:ind w:left="0" w:right="0" w:firstLine="0"/>
                    <w:jc w:val="left"/>
                    <w:rPr>
                      <w:sz w:val="24"/>
                    </w:rPr>
                  </w:pPr>
                  <w:r>
                    <w:rPr>
                      <w:sz w:val="24"/>
                    </w:rPr>
                    <w:t>丨公司名称</w:t>
                  </w:r>
                </w:p>
              </w:txbxContent>
            </v:textbox>
          </v:shape>
        </w:pict>
      </w:r>
    </w:p>
    <w:p>
      <w:pPr>
        <w:pStyle w:val="BodyText"/>
        <w:spacing w:line="20" w:lineRule="exact"/>
        <w:ind w:left="2733"/>
        <w:rPr>
          <w:sz w:val="2"/>
        </w:rPr>
      </w:pPr>
      <w:r>
        <w:rPr>
          <w:sz w:val="2"/>
        </w:rPr>
        <w:pict>
          <v:group id="_x0000_i1217" style="width:383pt;height:1pt;mso-position-horizontal-relative:char;mso-position-vertical-relative:line" coordorigin="0,0" coordsize="7660,20">
            <v:line id="_x0000_s1218" style="position:absolute" from="108,14" to="1104,14" stroked="t" strokecolor="black" strokeweight="0.48pt">
              <v:stroke dashstyle="solid"/>
            </v:line>
            <v:rect id="_x0000_s1219" style="width:10;height:10;left:1104;position:absolute;top:9" filled="t" fillcolor="black" stroked="f">
              <v:fill type="solid"/>
            </v:rect>
            <v:line id="_x0000_s1220" style="position:absolute" from="1114,14" to="7550,14" stroked="t" strokecolor="black" strokeweight="0.48pt">
              <v:stroke dashstyle="solid"/>
            </v:line>
            <v:line id="_x0000_s1221" style="position:absolute" from="0,5" to="7660,5" stroked="t" strokecolor="#013e96" strokeweight="0.48pt">
              <v:stroke dashstyle="solid"/>
            </v:line>
            <w10:wrap type="none"/>
          </v:group>
        </w:pict>
      </w:r>
    </w:p>
    <w:p>
      <w:pPr>
        <w:spacing w:before="78"/>
        <w:ind w:left="3951" w:right="0" w:firstLine="0"/>
        <w:jc w:val="left"/>
        <w:rPr>
          <w:sz w:val="18"/>
        </w:rPr>
      </w:pPr>
      <w:r>
        <w:rPr>
          <w:sz w:val="18"/>
        </w:rPr>
        <w:t>2006 年国土资源部下达了《关于下达 2006 年钨矿和稀土矿开采总量控制指标</w:t>
      </w:r>
    </w:p>
    <w:p>
      <w:pPr>
        <w:tabs>
          <w:tab w:val="left" w:pos="3951"/>
        </w:tabs>
        <w:spacing w:before="161" w:line="405" w:lineRule="auto"/>
        <w:ind w:left="3951" w:right="561" w:hanging="788"/>
        <w:jc w:val="left"/>
        <w:rPr>
          <w:sz w:val="18"/>
        </w:rPr>
      </w:pPr>
      <w:r>
        <w:pict>
          <v:group id="_x0000_s1222" style="width:372.1pt;height:0.5pt;margin-top:43.09pt;margin-left:175.34pt;mso-position-horizontal-relative:page;position:absolute;z-index:-251609088" coordorigin="3507,862" coordsize="7442,10">
            <v:line id="_x0000_s1223" style="position:absolute" from="3507,867" to="4503,867" stroked="t" strokecolor="black" strokeweight="0.48pt">
              <v:stroke dashstyle="solid"/>
            </v:line>
            <v:rect id="_x0000_s1224" style="width:10;height:10;left:4503;position:absolute;top:861" filled="t" fillcolor="black" stroked="f">
              <v:fill type="solid"/>
            </v:rect>
            <v:line id="_x0000_s1225" style="position:absolute" from="4513,867" to="10948,867" stroked="t" strokecolor="black" strokeweight="0.48pt">
              <v:stroke dashstyle="solid"/>
            </v:line>
          </v:group>
        </w:pict>
      </w:r>
      <w:r>
        <w:rPr>
          <w:sz w:val="18"/>
        </w:rPr>
        <w:t>开采</w:t>
        <w:tab/>
        <w:t>的通知》，下达了</w:t>
      </w:r>
      <w:r>
        <w:rPr>
          <w:spacing w:val="-45"/>
          <w:sz w:val="18"/>
        </w:rPr>
        <w:t xml:space="preserve"> </w:t>
      </w:r>
      <w:r>
        <w:rPr>
          <w:sz w:val="18"/>
        </w:rPr>
        <w:t>2006</w:t>
      </w:r>
      <w:r>
        <w:rPr>
          <w:spacing w:val="-43"/>
          <w:sz w:val="18"/>
        </w:rPr>
        <w:t xml:space="preserve"> </w:t>
      </w:r>
      <w:r>
        <w:rPr>
          <w:sz w:val="18"/>
        </w:rPr>
        <w:t>年全</w:t>
      </w:r>
      <w:r>
        <w:rPr>
          <w:spacing w:val="-3"/>
          <w:sz w:val="18"/>
        </w:rPr>
        <w:t>国</w:t>
      </w:r>
      <w:r>
        <w:rPr>
          <w:sz w:val="18"/>
        </w:rPr>
        <w:t>矿山稀土开采总量控制指标，这是第一次对稀</w:t>
      </w:r>
      <w:r>
        <w:rPr>
          <w:spacing w:val="-15"/>
          <w:sz w:val="18"/>
        </w:rPr>
        <w:t>土</w:t>
      </w:r>
      <w:r>
        <w:rPr>
          <w:sz w:val="18"/>
        </w:rPr>
        <w:t>进行开采总量控制</w:t>
      </w:r>
    </w:p>
    <w:p>
      <w:pPr>
        <w:tabs>
          <w:tab w:val="left" w:pos="3951"/>
        </w:tabs>
        <w:spacing w:before="10"/>
        <w:ind w:left="3164" w:right="0" w:firstLine="0"/>
        <w:jc w:val="left"/>
        <w:rPr>
          <w:sz w:val="18"/>
        </w:rPr>
      </w:pPr>
      <w:r>
        <w:pict>
          <v:group id="_x0000_s1226" style="width:383pt;height:1.35pt;margin-top:15.98pt;margin-left:169.94pt;mso-position-horizontal-relative:page;mso-wrap-distance-left:0;mso-wrap-distance-right:0;position:absolute;z-index:-251608064" coordorigin="3399,320" coordsize="7660,27">
            <v:line id="_x0000_s1227" style="position:absolute" from="3492,324" to="4503,324" stroked="t" strokecolor="black" strokeweight="0.48pt">
              <v:stroke dashstyle="solid"/>
            </v:line>
            <v:rect id="_x0000_s1228" style="width:10;height:10;left:4489;position:absolute;top:319" filled="t" fillcolor="black" stroked="f">
              <v:fill type="solid"/>
            </v:rect>
            <v:line id="_x0000_s1229" style="position:absolute" from="4499,324" to="10948,324" stroked="t" strokecolor="black" strokeweight="0.48pt">
              <v:stroke dashstyle="solid"/>
            </v:line>
            <v:line id="_x0000_s1230" style="position:absolute" from="3399,341" to="11059,341" stroked="t" strokecolor="#013e96" strokeweight="0.48pt">
              <v:stroke dashstyle="solid"/>
            </v:line>
            <w10:wrap type="topAndBottom"/>
          </v:group>
        </w:pict>
      </w:r>
      <w:r>
        <w:rPr>
          <w:sz w:val="18"/>
        </w:rPr>
        <w:t>生产</w:t>
        <w:tab/>
        <w:t>2007</w:t>
      </w:r>
      <w:r>
        <w:rPr>
          <w:spacing w:val="-43"/>
          <w:sz w:val="18"/>
        </w:rPr>
        <w:t xml:space="preserve"> </w:t>
      </w:r>
      <w:r>
        <w:rPr>
          <w:sz w:val="18"/>
        </w:rPr>
        <w:t>年将稀土矿产品和冶炼</w:t>
      </w:r>
      <w:r>
        <w:rPr>
          <w:spacing w:val="-3"/>
          <w:sz w:val="18"/>
        </w:rPr>
        <w:t>分</w:t>
      </w:r>
      <w:r>
        <w:rPr>
          <w:sz w:val="18"/>
        </w:rPr>
        <w:t>离产品共同纳入指标</w:t>
      </w:r>
    </w:p>
    <w:p>
      <w:pPr>
        <w:spacing w:before="73" w:line="484" w:lineRule="auto"/>
        <w:ind w:left="2846" w:right="522" w:firstLine="0"/>
        <w:jc w:val="left"/>
        <w:rPr>
          <w:sz w:val="15"/>
        </w:rPr>
      </w:pPr>
      <w:r>
        <w:t xml:space="preserve">数据来源：《中国稀土政策演进逻辑与优化调整方向》周美静等，《中国稀土政策的变迁及对稀土产业的影响》邱南平等， </w:t>
      </w:r>
    </w:p>
    <w:p>
      <w:pPr>
        <w:spacing w:before="121" w:line="348" w:lineRule="auto"/>
        <w:ind w:left="2712" w:right="323" w:firstLine="423"/>
        <w:jc w:val="both"/>
        <w:rPr>
          <w:sz w:val="21"/>
        </w:rPr>
      </w:pPr>
      <w:r>
        <w:rPr>
          <w:b/>
          <w:w w:val="100"/>
          <w:sz w:val="21"/>
        </w:rPr>
        <w:t>第四阶段（</w:t>
      </w:r>
      <w:r>
        <w:rPr>
          <w:rFonts w:ascii="Arial" w:eastAsia="Arial"/>
          <w:b/>
          <w:w w:val="100"/>
          <w:sz w:val="21"/>
        </w:rPr>
        <w:t>2</w:t>
      </w:r>
      <w:r>
        <w:rPr>
          <w:rFonts w:ascii="Arial" w:eastAsia="Arial"/>
          <w:b/>
          <w:spacing w:val="-3"/>
          <w:w w:val="100"/>
          <w:sz w:val="21"/>
        </w:rPr>
        <w:t>0</w:t>
      </w:r>
      <w:r>
        <w:rPr>
          <w:rFonts w:ascii="Arial" w:eastAsia="Arial"/>
          <w:b/>
          <w:spacing w:val="-12"/>
          <w:w w:val="100"/>
          <w:sz w:val="21"/>
        </w:rPr>
        <w:t>1</w:t>
      </w:r>
      <w:r>
        <w:rPr>
          <w:rFonts w:ascii="Arial" w:eastAsia="Arial"/>
          <w:b/>
          <w:w w:val="100"/>
          <w:sz w:val="21"/>
        </w:rPr>
        <w:t>1</w:t>
      </w:r>
      <w:r>
        <w:rPr>
          <w:rFonts w:ascii="Arial" w:eastAsia="Arial"/>
          <w:b/>
          <w:spacing w:val="-1"/>
          <w:w w:val="100"/>
          <w:sz w:val="21"/>
        </w:rPr>
        <w:t>-</w:t>
      </w:r>
      <w:r>
        <w:rPr>
          <w:rFonts w:ascii="Arial" w:eastAsia="Arial"/>
          <w:b/>
          <w:w w:val="100"/>
          <w:sz w:val="21"/>
        </w:rPr>
        <w:t>2</w:t>
      </w:r>
      <w:r>
        <w:rPr>
          <w:rFonts w:ascii="Arial" w:eastAsia="Arial"/>
          <w:b/>
          <w:spacing w:val="-3"/>
          <w:w w:val="100"/>
          <w:sz w:val="21"/>
        </w:rPr>
        <w:t>0</w:t>
      </w:r>
      <w:r>
        <w:rPr>
          <w:rFonts w:ascii="Arial" w:eastAsia="Arial"/>
          <w:b/>
          <w:w w:val="100"/>
          <w:sz w:val="21"/>
        </w:rPr>
        <w:t>15</w:t>
      </w:r>
      <w:r>
        <w:rPr>
          <w:rFonts w:ascii="Arial" w:eastAsia="Arial"/>
          <w:b/>
          <w:sz w:val="21"/>
        </w:rPr>
        <w:t xml:space="preserve"> </w:t>
      </w:r>
      <w:r>
        <w:rPr>
          <w:b/>
          <w:w w:val="100"/>
          <w:sz w:val="21"/>
        </w:rPr>
        <w:t>年</w:t>
      </w:r>
      <w:r>
        <w:rPr>
          <w:b/>
          <w:spacing w:val="-108"/>
          <w:w w:val="100"/>
          <w:sz w:val="21"/>
        </w:rPr>
        <w:t>）</w:t>
      </w:r>
      <w:r>
        <w:rPr>
          <w:b/>
          <w:spacing w:val="-2"/>
          <w:w w:val="100"/>
          <w:sz w:val="21"/>
        </w:rPr>
        <w:t>：行业秩序治理和组织结构调整。</w:t>
      </w:r>
      <w:r>
        <w:rPr>
          <w:spacing w:val="-3"/>
          <w:w w:val="100"/>
          <w:sz w:val="21"/>
        </w:rPr>
        <w:t>稀土出口量的大幅</w:t>
      </w:r>
      <w:r>
        <w:rPr>
          <w:spacing w:val="-11"/>
          <w:sz w:val="21"/>
        </w:rPr>
        <w:t xml:space="preserve">减少，尤其在 </w:t>
      </w:r>
      <w:r>
        <w:rPr>
          <w:rFonts w:ascii="Arial" w:eastAsia="Arial"/>
          <w:sz w:val="21"/>
        </w:rPr>
        <w:t xml:space="preserve">2010 </w:t>
      </w:r>
      <w:r>
        <w:rPr>
          <w:spacing w:val="-8"/>
          <w:sz w:val="21"/>
        </w:rPr>
        <w:t xml:space="preserve">年钓鱼岛事件后，引起了全球市场恐慌，相比 </w:t>
      </w:r>
      <w:r>
        <w:rPr>
          <w:rFonts w:ascii="Arial" w:eastAsia="Arial"/>
          <w:sz w:val="21"/>
        </w:rPr>
        <w:t xml:space="preserve">2010 </w:t>
      </w:r>
      <w:r>
        <w:rPr>
          <w:spacing w:val="-4"/>
          <w:sz w:val="21"/>
        </w:rPr>
        <w:t>年，</w:t>
      </w:r>
      <w:r>
        <w:rPr>
          <w:rFonts w:ascii="Arial" w:eastAsia="Arial"/>
          <w:spacing w:val="-8"/>
          <w:sz w:val="21"/>
        </w:rPr>
        <w:t xml:space="preserve">2011 </w:t>
      </w:r>
      <w:r>
        <w:rPr>
          <w:sz w:val="21"/>
        </w:rPr>
        <w:t>年</w:t>
      </w:r>
    </w:p>
    <w:p>
      <w:pPr>
        <w:pStyle w:val="BodyText"/>
        <w:spacing w:line="348" w:lineRule="auto"/>
        <w:ind w:left="2712" w:right="320"/>
        <w:jc w:val="both"/>
      </w:pPr>
      <w:r>
        <w:rPr>
          <w:spacing w:val="-4"/>
        </w:rPr>
        <w:t xml:space="preserve">的中国稀土金属及合金产品的出口均价上涨了 </w:t>
      </w:r>
      <w:r>
        <w:rPr>
          <w:rFonts w:ascii="Arial" w:eastAsia="Arial"/>
        </w:rPr>
        <w:t xml:space="preserve">5.53 </w:t>
      </w:r>
      <w:r>
        <w:rPr>
          <w:spacing w:val="-3"/>
        </w:rPr>
        <w:t>倍，稀土价格不理性的波动也阻碍了稀土功能材料及其应用产业的发展，国外开始谋求其他技术代替稀土。</w:t>
      </w:r>
      <w:r>
        <w:rPr>
          <w:rFonts w:ascii="Arial" w:eastAsia="Arial"/>
          <w:spacing w:val="-6"/>
        </w:rPr>
        <w:t xml:space="preserve">2011 </w:t>
      </w:r>
      <w:r>
        <w:t>年</w:t>
      </w:r>
      <w:r>
        <w:rPr>
          <w:spacing w:val="-19"/>
        </w:rPr>
        <w:t>国务院印发《国务院关于促进稀土行业持续健康发展的若干意见》，在行业准入管理、</w:t>
      </w:r>
      <w:r>
        <w:rPr>
          <w:spacing w:val="-12"/>
        </w:rPr>
        <w:t>指令性生产计划等方面做出详细部署规划，统筹南北方稀土资源开采，同时也密集出台了环境治理、结构调整和秩序整顿政策。这些政策在压缩落后产能、打击违法违规行为、优化产业结构、提升下游应用水平和绿色生产水平等方面取得了积极进展，但</w:t>
      </w:r>
      <w:r>
        <w:rPr>
          <w:spacing w:val="-6"/>
        </w:rPr>
        <w:t>改革仍不彻底，产业问题有不同程度的遗留。</w:t>
      </w:r>
    </w:p>
    <w:p>
      <w:pPr>
        <w:spacing w:before="154"/>
        <w:ind w:left="3135" w:right="0" w:firstLine="0"/>
        <w:jc w:val="both"/>
        <w:rPr>
          <w:b/>
          <w:sz w:val="21"/>
        </w:rPr>
      </w:pPr>
      <w:r>
        <w:rPr>
          <w:b/>
          <w:w w:val="100"/>
          <w:sz w:val="21"/>
        </w:rPr>
        <w:t>第五阶段（</w:t>
      </w:r>
      <w:r>
        <w:rPr>
          <w:rFonts w:ascii="Arial" w:eastAsia="Arial"/>
          <w:b/>
          <w:w w:val="100"/>
          <w:sz w:val="21"/>
        </w:rPr>
        <w:t>2</w:t>
      </w:r>
      <w:r>
        <w:rPr>
          <w:rFonts w:ascii="Arial" w:eastAsia="Arial"/>
          <w:b/>
          <w:spacing w:val="-3"/>
          <w:w w:val="100"/>
          <w:sz w:val="21"/>
        </w:rPr>
        <w:t>0</w:t>
      </w:r>
      <w:r>
        <w:rPr>
          <w:rFonts w:ascii="Arial" w:eastAsia="Arial"/>
          <w:b/>
          <w:spacing w:val="-1"/>
          <w:w w:val="100"/>
          <w:sz w:val="21"/>
        </w:rPr>
        <w:t>1</w:t>
      </w:r>
      <w:r>
        <w:rPr>
          <w:rFonts w:ascii="Arial" w:eastAsia="Arial"/>
          <w:b/>
          <w:w w:val="100"/>
          <w:sz w:val="21"/>
        </w:rPr>
        <w:t>6</w:t>
      </w:r>
      <w:r>
        <w:rPr>
          <w:rFonts w:ascii="Arial" w:eastAsia="Arial"/>
          <w:b/>
          <w:spacing w:val="-8"/>
          <w:sz w:val="21"/>
        </w:rPr>
        <w:t xml:space="preserve"> </w:t>
      </w:r>
      <w:r>
        <w:rPr>
          <w:b/>
          <w:w w:val="100"/>
          <w:sz w:val="21"/>
        </w:rPr>
        <w:t>年至今</w:t>
      </w:r>
      <w:r>
        <w:rPr>
          <w:b/>
          <w:spacing w:val="-108"/>
          <w:w w:val="100"/>
          <w:sz w:val="21"/>
        </w:rPr>
        <w:t>）</w:t>
      </w:r>
      <w:r>
        <w:rPr>
          <w:b/>
          <w:spacing w:val="-3"/>
          <w:w w:val="100"/>
          <w:sz w:val="21"/>
        </w:rPr>
        <w:t>：供给侧改革开启，集团重组重塑稀土行业战略格局</w:t>
      </w:r>
    </w:p>
    <w:p>
      <w:pPr>
        <w:pStyle w:val="BodyText"/>
        <w:spacing w:before="9"/>
        <w:rPr>
          <w:b/>
        </w:rPr>
      </w:pPr>
    </w:p>
    <w:p>
      <w:pPr>
        <w:pStyle w:val="ListParagraph"/>
        <w:numPr>
          <w:ilvl w:val="2"/>
          <w:numId w:val="1"/>
        </w:numPr>
        <w:tabs>
          <w:tab w:val="left" w:pos="3679"/>
        </w:tabs>
        <w:spacing w:before="0" w:after="0" w:line="348" w:lineRule="auto"/>
        <w:ind w:left="2712" w:right="222" w:firstLine="423"/>
        <w:jc w:val="both"/>
        <w:rPr>
          <w:sz w:val="21"/>
        </w:rPr>
      </w:pPr>
      <w:r>
        <w:rPr>
          <w:b/>
          <w:sz w:val="21"/>
        </w:rPr>
        <w:t>“十三五”开启供给侧改革，形成“</w:t>
      </w:r>
      <w:r>
        <w:rPr>
          <w:rFonts w:ascii="Arial" w:eastAsia="Arial" w:hAnsi="Arial"/>
          <w:b/>
          <w:sz w:val="21"/>
        </w:rPr>
        <w:t>5+1</w:t>
      </w:r>
      <w:r>
        <w:rPr>
          <w:b/>
          <w:sz w:val="21"/>
        </w:rPr>
        <w:t>”稀土大集团和严厉打击黑稀土</w:t>
      </w:r>
      <w:r>
        <w:rPr>
          <w:b/>
          <w:spacing w:val="-14"/>
          <w:sz w:val="21"/>
        </w:rPr>
        <w:t>。</w:t>
      </w:r>
      <w:r>
        <w:rPr>
          <w:spacing w:val="-13"/>
          <w:sz w:val="21"/>
        </w:rPr>
        <w:t xml:space="preserve">此前在 </w:t>
      </w:r>
      <w:r>
        <w:rPr>
          <w:rFonts w:ascii="Arial" w:eastAsia="Arial" w:hAnsi="Arial"/>
          <w:sz w:val="21"/>
        </w:rPr>
        <w:t>2014</w:t>
      </w:r>
      <w:r>
        <w:rPr>
          <w:rFonts w:ascii="Arial" w:eastAsia="Arial" w:hAnsi="Arial"/>
          <w:spacing w:val="1"/>
          <w:sz w:val="21"/>
        </w:rPr>
        <w:t xml:space="preserve"> </w:t>
      </w:r>
      <w:r>
        <w:rPr>
          <w:spacing w:val="-17"/>
          <w:sz w:val="21"/>
        </w:rPr>
        <w:t>年工信部发布《组建大型稀土企业集团工作指引》，支持北方稀土、中国</w:t>
      </w:r>
    </w:p>
    <w:p>
      <w:pPr>
        <w:pStyle w:val="BodyText"/>
        <w:spacing w:line="269" w:lineRule="exact"/>
        <w:ind w:left="2712"/>
        <w:jc w:val="both"/>
      </w:pPr>
      <w:r>
        <w:rPr>
          <w:spacing w:val="-3"/>
        </w:rPr>
        <w:t xml:space="preserve">五矿、中铝公司、厦门钨业、南方稀土及广东稀土集团 </w:t>
      </w:r>
      <w:r>
        <w:rPr>
          <w:rFonts w:ascii="Arial" w:eastAsia="Arial"/>
        </w:rPr>
        <w:t>6</w:t>
      </w:r>
      <w:r>
        <w:rPr>
          <w:rFonts w:ascii="Arial" w:eastAsia="Arial"/>
          <w:spacing w:val="3"/>
        </w:rPr>
        <w:t xml:space="preserve">  </w:t>
      </w:r>
      <w:r>
        <w:rPr>
          <w:spacing w:val="-3"/>
        </w:rPr>
        <w:t>家大型稀土企业组建大型</w:t>
      </w:r>
    </w:p>
    <w:p>
      <w:pPr>
        <w:pStyle w:val="BodyText"/>
        <w:spacing w:before="120"/>
        <w:ind w:left="2712"/>
        <w:jc w:val="both"/>
      </w:pPr>
      <w:r>
        <w:rPr>
          <w:spacing w:val="-2"/>
        </w:rPr>
        <w:t>稀土企业集团。</w:t>
      </w:r>
      <w:r>
        <w:rPr>
          <w:rFonts w:ascii="Arial" w:eastAsia="Arial"/>
        </w:rPr>
        <w:t>2016</w:t>
      </w:r>
      <w:r>
        <w:rPr>
          <w:rFonts w:ascii="Arial" w:eastAsia="Arial"/>
          <w:spacing w:val="18"/>
        </w:rPr>
        <w:t xml:space="preserve"> </w:t>
      </w:r>
      <w:r>
        <w:rPr>
          <w:spacing w:val="-15"/>
        </w:rPr>
        <w:t xml:space="preserve">年 </w:t>
      </w:r>
      <w:r>
        <w:rPr>
          <w:rFonts w:ascii="Arial" w:eastAsia="Arial"/>
        </w:rPr>
        <w:t>6</w:t>
      </w:r>
      <w:r>
        <w:rPr>
          <w:rFonts w:ascii="Arial" w:eastAsia="Arial"/>
          <w:spacing w:val="20"/>
        </w:rPr>
        <w:t xml:space="preserve"> </w:t>
      </w:r>
      <w:r>
        <w:rPr>
          <w:spacing w:val="-5"/>
        </w:rPr>
        <w:t xml:space="preserve">家稀土集团完成重组，共整合了全国 </w:t>
      </w:r>
      <w:r>
        <w:rPr>
          <w:rFonts w:ascii="Arial" w:eastAsia="Arial"/>
        </w:rPr>
        <w:t>67</w:t>
      </w:r>
      <w:r>
        <w:rPr>
          <w:rFonts w:ascii="Arial" w:eastAsia="Arial"/>
          <w:spacing w:val="18"/>
        </w:rPr>
        <w:t xml:space="preserve"> </w:t>
      </w:r>
      <w:r>
        <w:rPr>
          <w:spacing w:val="-3"/>
        </w:rPr>
        <w:t>本稀土采矿证中</w:t>
      </w:r>
    </w:p>
    <w:p>
      <w:pPr>
        <w:pStyle w:val="BodyText"/>
        <w:spacing w:before="122" w:line="348" w:lineRule="auto"/>
        <w:ind w:left="2712" w:right="320"/>
        <w:jc w:val="both"/>
      </w:pPr>
      <w:r>
        <w:rPr>
          <w:spacing w:val="-24"/>
        </w:rPr>
        <w:t xml:space="preserve">的 </w:t>
      </w:r>
      <w:r>
        <w:rPr>
          <w:rFonts w:ascii="Arial" w:eastAsia="Arial" w:hAnsi="Arial"/>
        </w:rPr>
        <w:t xml:space="preserve">66 </w:t>
      </w:r>
      <w:r>
        <w:rPr>
          <w:spacing w:val="-18"/>
        </w:rPr>
        <w:t xml:space="preserve">本和 </w:t>
      </w:r>
      <w:r>
        <w:rPr>
          <w:rFonts w:ascii="Arial" w:eastAsia="Arial" w:hAnsi="Arial"/>
        </w:rPr>
        <w:t>99</w:t>
      </w:r>
      <w:r>
        <w:rPr>
          <w:rFonts w:ascii="Arial" w:eastAsia="Arial" w:hAnsi="Arial"/>
          <w:spacing w:val="-3"/>
        </w:rPr>
        <w:t xml:space="preserve"> </w:t>
      </w:r>
      <w:r>
        <w:rPr>
          <w:spacing w:val="-8"/>
        </w:rPr>
        <w:t xml:space="preserve">家冶炼分离企业中的 </w:t>
      </w:r>
      <w:r>
        <w:rPr>
          <w:rFonts w:ascii="Arial" w:eastAsia="Arial" w:hAnsi="Arial"/>
        </w:rPr>
        <w:t>77</w:t>
      </w:r>
      <w:r>
        <w:rPr>
          <w:rFonts w:ascii="Arial" w:eastAsia="Arial" w:hAnsi="Arial"/>
          <w:spacing w:val="-3"/>
        </w:rPr>
        <w:t xml:space="preserve"> </w:t>
      </w:r>
      <w:r>
        <w:rPr>
          <w:spacing w:val="-12"/>
        </w:rPr>
        <w:t xml:space="preserve">家，剩余 </w:t>
      </w:r>
      <w:r>
        <w:rPr>
          <w:rFonts w:ascii="Arial" w:eastAsia="Arial" w:hAnsi="Arial"/>
        </w:rPr>
        <w:t>1</w:t>
      </w:r>
      <w:r>
        <w:rPr>
          <w:rFonts w:ascii="Arial" w:eastAsia="Arial" w:hAnsi="Arial"/>
          <w:spacing w:val="-3"/>
        </w:rPr>
        <w:t xml:space="preserve"> </w:t>
      </w:r>
      <w:r>
        <w:rPr>
          <w:spacing w:val="-10"/>
        </w:rPr>
        <w:t xml:space="preserve">本采矿证和 </w:t>
      </w:r>
      <w:r>
        <w:rPr>
          <w:rFonts w:ascii="Arial" w:eastAsia="Arial" w:hAnsi="Arial"/>
        </w:rPr>
        <w:t>22</w:t>
      </w:r>
      <w:r>
        <w:rPr>
          <w:rFonts w:ascii="Arial" w:eastAsia="Arial" w:hAnsi="Arial"/>
          <w:spacing w:val="-1"/>
        </w:rPr>
        <w:t xml:space="preserve"> </w:t>
      </w:r>
      <w:r>
        <w:rPr>
          <w:spacing w:val="-3"/>
        </w:rPr>
        <w:t>家冶炼分离企业也</w:t>
      </w:r>
      <w:r>
        <w:rPr>
          <w:spacing w:val="-8"/>
        </w:rPr>
        <w:t xml:space="preserve">已明确整合意向或列入淘汰落后计划。此外，加大“黑稀土“打击力度，中国稀土行业协会统计显示 </w:t>
      </w:r>
      <w:r>
        <w:rPr>
          <w:rFonts w:ascii="Arial" w:eastAsia="Arial" w:hAnsi="Arial"/>
        </w:rPr>
        <w:t>2014</w:t>
      </w:r>
      <w:r>
        <w:rPr>
          <w:rFonts w:ascii="Arial" w:eastAsia="Arial" w:hAnsi="Arial"/>
          <w:spacing w:val="25"/>
        </w:rPr>
        <w:t xml:space="preserve"> </w:t>
      </w:r>
      <w:r>
        <w:rPr>
          <w:spacing w:val="-5"/>
        </w:rPr>
        <w:t xml:space="preserve">年全国共生产钕铁硼永磁材料 </w:t>
      </w:r>
      <w:r>
        <w:rPr>
          <w:rFonts w:ascii="Arial" w:eastAsia="Arial" w:hAnsi="Arial"/>
        </w:rPr>
        <w:t>14.5</w:t>
      </w:r>
      <w:r>
        <w:rPr>
          <w:rFonts w:ascii="Arial" w:eastAsia="Arial" w:hAnsi="Arial"/>
          <w:spacing w:val="22"/>
        </w:rPr>
        <w:t xml:space="preserve"> </w:t>
      </w:r>
      <w:r>
        <w:rPr>
          <w:spacing w:val="-3"/>
        </w:rPr>
        <w:t>万吨，扣除回收利用新生</w:t>
      </w:r>
    </w:p>
    <w:p>
      <w:pPr>
        <w:pStyle w:val="BodyText"/>
        <w:spacing w:line="348" w:lineRule="auto"/>
        <w:ind w:left="2712" w:right="323"/>
        <w:jc w:val="both"/>
      </w:pPr>
      <w:r>
        <w:rPr>
          <w:spacing w:val="-12"/>
        </w:rPr>
        <w:t xml:space="preserve">产的在 </w:t>
      </w:r>
      <w:r>
        <w:rPr>
          <w:rFonts w:ascii="Arial" w:eastAsia="Arial" w:hAnsi="Arial"/>
        </w:rPr>
        <w:t xml:space="preserve">12 </w:t>
      </w:r>
      <w:r>
        <w:rPr>
          <w:spacing w:val="-7"/>
        </w:rPr>
        <w:t xml:space="preserve">万吨左右，据此估算 </w:t>
      </w:r>
      <w:r>
        <w:rPr>
          <w:rFonts w:ascii="Arial" w:eastAsia="Arial" w:hAnsi="Arial"/>
        </w:rPr>
        <w:t xml:space="preserve">2014 </w:t>
      </w:r>
      <w:r>
        <w:rPr>
          <w:spacing w:val="-6"/>
        </w:rPr>
        <w:t xml:space="preserve">年全国的“黑稀土”金属产量约 </w:t>
      </w:r>
      <w:r>
        <w:rPr>
          <w:rFonts w:ascii="Arial" w:eastAsia="Arial" w:hAnsi="Arial"/>
        </w:rPr>
        <w:t xml:space="preserve">4 </w:t>
      </w:r>
      <w:r>
        <w:rPr>
          <w:spacing w:val="-2"/>
        </w:rPr>
        <w:t>万吨，而现</w:t>
      </w:r>
      <w:r>
        <w:rPr>
          <w:spacing w:val="-3"/>
        </w:rPr>
        <w:t>在黑稀土基本退出历史舞台。</w:t>
      </w:r>
    </w:p>
    <w:p>
      <w:pPr>
        <w:pStyle w:val="ListParagraph"/>
        <w:numPr>
          <w:ilvl w:val="2"/>
          <w:numId w:val="1"/>
        </w:numPr>
        <w:tabs>
          <w:tab w:val="left" w:pos="3677"/>
        </w:tabs>
        <w:spacing w:before="154" w:after="0" w:line="348" w:lineRule="auto"/>
        <w:ind w:left="2712" w:right="320" w:firstLine="423"/>
        <w:jc w:val="both"/>
        <w:rPr>
          <w:b/>
          <w:sz w:val="21"/>
        </w:rPr>
        <w:sectPr>
          <w:headerReference w:type="default" r:id="rId42"/>
          <w:footerReference w:type="default" r:id="rId43"/>
          <w:pgSz w:w="11910" w:h="16840"/>
          <w:pgMar w:top="1360" w:right="520" w:bottom="660" w:left="660" w:header="708" w:footer="708"/>
          <w:pgNumType w:start="17"/>
          <w:cols w:space="708"/>
        </w:sectPr>
      </w:pPr>
      <w:r>
        <w:rPr>
          <w:b/>
          <w:spacing w:val="-3"/>
          <w:sz w:val="21"/>
        </w:rPr>
        <w:t>中国稀土集团成立，稀土行业“一南一北”格局已成。</w:t>
      </w:r>
      <w:r>
        <w:rPr>
          <w:spacing w:val="-3"/>
          <w:sz w:val="21"/>
        </w:rPr>
        <w:t>为进一步深化国有</w:t>
      </w:r>
      <w:r>
        <w:rPr>
          <w:spacing w:val="-11"/>
          <w:sz w:val="21"/>
        </w:rPr>
        <w:t xml:space="preserve">企业改革，优化资源配置，推动专业化整合工作，经国务院国资委研究并报国务院批准，同意于 </w:t>
      </w:r>
      <w:r>
        <w:rPr>
          <w:rFonts w:ascii="Arial" w:eastAsia="Arial" w:hAnsi="Arial"/>
          <w:sz w:val="21"/>
        </w:rPr>
        <w:t>2021</w:t>
      </w:r>
      <w:r>
        <w:rPr>
          <w:rFonts w:ascii="Arial" w:eastAsia="Arial" w:hAnsi="Arial"/>
          <w:spacing w:val="15"/>
          <w:sz w:val="21"/>
        </w:rPr>
        <w:t xml:space="preserve"> </w:t>
      </w:r>
      <w:r>
        <w:rPr>
          <w:spacing w:val="-16"/>
          <w:sz w:val="21"/>
        </w:rPr>
        <w:t xml:space="preserve">年 </w:t>
      </w:r>
      <w:r>
        <w:rPr>
          <w:rFonts w:ascii="Arial" w:eastAsia="Arial" w:hAnsi="Arial"/>
          <w:sz w:val="21"/>
        </w:rPr>
        <w:t>12</w:t>
      </w:r>
      <w:r>
        <w:rPr>
          <w:rFonts w:ascii="Arial" w:eastAsia="Arial" w:hAnsi="Arial"/>
          <w:spacing w:val="12"/>
          <w:sz w:val="21"/>
        </w:rPr>
        <w:t xml:space="preserve"> </w:t>
      </w:r>
      <w:r>
        <w:rPr>
          <w:spacing w:val="-3"/>
          <w:sz w:val="21"/>
        </w:rPr>
        <w:t>月新设立中国稀土集团，并将中铝集团持有的中国稀有稀土</w:t>
      </w:r>
      <w:r>
        <w:rPr>
          <w:spacing w:val="-6"/>
          <w:sz w:val="21"/>
        </w:rPr>
        <w:t xml:space="preserve">的 </w:t>
      </w:r>
      <w:r>
        <w:rPr>
          <w:rFonts w:ascii="Arial" w:eastAsia="Arial" w:hAnsi="Arial"/>
          <w:sz w:val="21"/>
        </w:rPr>
        <w:t>47.18%</w:t>
      </w:r>
      <w:r>
        <w:rPr>
          <w:spacing w:val="-4"/>
          <w:sz w:val="21"/>
        </w:rPr>
        <w:t xml:space="preserve">股权，中国五矿所属企业持有的五矿稀土 </w:t>
      </w:r>
      <w:r>
        <w:rPr>
          <w:rFonts w:ascii="Arial" w:eastAsia="Arial" w:hAnsi="Arial"/>
          <w:sz w:val="21"/>
        </w:rPr>
        <w:t>16.10%</w:t>
      </w:r>
      <w:r>
        <w:rPr>
          <w:spacing w:val="-3"/>
          <w:sz w:val="21"/>
        </w:rPr>
        <w:t>股权、五矿稀土集团的</w:t>
      </w:r>
      <w:r>
        <w:rPr>
          <w:rFonts w:ascii="Arial" w:eastAsia="Arial" w:hAnsi="Arial"/>
          <w:spacing w:val="-3"/>
          <w:sz w:val="21"/>
        </w:rPr>
        <w:t>100%</w:t>
      </w:r>
      <w:r>
        <w:rPr>
          <w:spacing w:val="-11"/>
          <w:sz w:val="21"/>
        </w:rPr>
        <w:t xml:space="preserve">股权，以及赣州稀土及所属企业持有的南方稀土集团 </w:t>
      </w:r>
      <w:r>
        <w:rPr>
          <w:rFonts w:ascii="Arial" w:eastAsia="Arial" w:hAnsi="Arial"/>
          <w:sz w:val="21"/>
        </w:rPr>
        <w:t>94.49%</w:t>
      </w:r>
      <w:r>
        <w:rPr>
          <w:spacing w:val="-11"/>
          <w:sz w:val="21"/>
        </w:rPr>
        <w:t>股权、赣州稀有金</w:t>
      </w:r>
      <w:r>
        <w:rPr>
          <w:spacing w:val="-14"/>
          <w:sz w:val="21"/>
        </w:rPr>
        <w:t xml:space="preserve">属交易所 </w:t>
      </w:r>
      <w:r>
        <w:rPr>
          <w:rFonts w:ascii="Arial" w:eastAsia="Arial" w:hAnsi="Arial"/>
          <w:sz w:val="21"/>
        </w:rPr>
        <w:t>80%</w:t>
      </w:r>
      <w:r>
        <w:rPr>
          <w:spacing w:val="-12"/>
          <w:sz w:val="21"/>
        </w:rPr>
        <w:t xml:space="preserve">股权、中蓝稀土的 </w:t>
      </w:r>
      <w:r>
        <w:rPr>
          <w:rFonts w:ascii="Arial" w:eastAsia="Arial" w:hAnsi="Arial"/>
          <w:sz w:val="21"/>
        </w:rPr>
        <w:t>36%</w:t>
      </w:r>
      <w:r>
        <w:rPr>
          <w:spacing w:val="-6"/>
          <w:sz w:val="21"/>
        </w:rPr>
        <w:t>股权整体划转至中国稀土集团。</w:t>
      </w:r>
      <w:r>
        <w:rPr>
          <w:rFonts w:ascii="Arial" w:eastAsia="Arial" w:hAnsi="Arial"/>
          <w:sz w:val="21"/>
        </w:rPr>
        <w:t>2023</w:t>
      </w:r>
      <w:r>
        <w:rPr>
          <w:rFonts w:ascii="Arial" w:eastAsia="Arial" w:hAnsi="Arial"/>
          <w:spacing w:val="1"/>
          <w:sz w:val="21"/>
        </w:rPr>
        <w:t xml:space="preserve"> </w:t>
      </w:r>
      <w:r>
        <w:rPr>
          <w:spacing w:val="-2"/>
          <w:sz w:val="21"/>
        </w:rPr>
        <w:t>年中国稀土集团先后通过成立合资公司和国有股权无偿划转的方式掌握了厦门钨业和广晟有</w:t>
      </w:r>
      <w:r>
        <w:rPr>
          <w:spacing w:val="-7"/>
          <w:sz w:val="21"/>
        </w:rPr>
        <w:t>色的稀土业务。</w:t>
      </w:r>
      <w:r>
        <w:rPr>
          <w:b/>
          <w:spacing w:val="-11"/>
          <w:sz w:val="21"/>
        </w:rPr>
        <w:t>稀土行业“一南一北”格局已成，北方稀土重点整合内蒙古等稀土资</w:t>
      </w:r>
    </w:p>
    <w:p>
      <w:pPr>
        <w:pStyle w:val="ListParagraph"/>
        <w:numPr>
          <w:ilvl w:val="0"/>
          <w:numId w:val="0"/>
        </w:numPr>
        <w:tabs>
          <w:tab w:val="left" w:pos="3677"/>
        </w:tabs>
        <w:spacing w:before="154" w:after="0" w:line="348" w:lineRule="auto"/>
        <w:ind w:left="2712" w:right="320" w:firstLine="423"/>
        <w:jc w:val="both"/>
        <w:rPr>
          <w:b/>
          <w:sz w:val="21"/>
        </w:rPr>
      </w:pPr>
      <w:r>
        <w:rPr>
          <w:b/>
          <w:spacing w:val="-14"/>
          <w:sz w:val="21"/>
        </w:rPr>
        <w:t>源和企业，中国稀土集团重点整合江西、湖南、云南、广西、江苏、山东、四川等地的稀土资源和企业。</w:t>
      </w:r>
    </w:p>
    <w:p>
      <w:pPr>
        <w:spacing w:after="0" w:line="348" w:lineRule="auto"/>
        <w:jc w:val="both"/>
        <w:rPr>
          <w:sz w:val="21"/>
        </w:rPr>
        <w:sectPr>
          <w:headerReference w:type="default" r:id="rId44"/>
          <w:footerReference w:type="default" r:id="rId45"/>
          <w:type w:val="nextPage"/>
          <w:pgSz w:w="11910" w:h="16840"/>
          <w:pgMar w:top="1360" w:right="520" w:bottom="660" w:left="660" w:header="708" w:footer="708"/>
          <w:pgNumType w:start="18"/>
          <w:cols w:space="708"/>
          <w:titlePg w:val="0"/>
        </w:sectPr>
      </w:pPr>
    </w:p>
    <w:p>
      <w:pPr>
        <w:spacing w:before="90"/>
        <w:ind w:left="2846" w:right="0" w:firstLine="0"/>
        <w:jc w:val="left"/>
        <w:rPr>
          <w:b/>
          <w:i/>
          <w:sz w:val="22"/>
        </w:rPr>
      </w:pPr>
      <w:r>
        <w:pict>
          <v:group id="_x0000_s1231" style="width:383.75pt;height:20.4pt;margin-top:23.56pt;margin-left:169.22pt;mso-position-horizontal-relative:page;mso-wrap-distance-left:0;mso-wrap-distance-right:0;position:absolute;z-index:-251607040" coordorigin="3384,471" coordsize="7675,408">
            <v:rect id="_x0000_s1232" style="width:108;height:389;left:6272;position:absolute;top:490" filled="t" fillcolor="#4774ca" stroked="f">
              <v:fill type="solid"/>
            </v:rect>
            <v:rect id="_x0000_s1233" style="width:108;height:389;left:3506;position:absolute;top:490" filled="t" fillcolor="#4774ca" stroked="f">
              <v:fill type="solid"/>
            </v:rect>
            <v:rect id="_x0000_s1234" style="width:2658;height:389;left:3614;position:absolute;top:490" filled="t" fillcolor="#4774ca" stroked="f">
              <v:fill type="solid"/>
            </v:rect>
            <v:rect id="_x0000_s1235" style="width:108;height:389;left:6380;position:absolute;top:490" filled="t" fillcolor="#4774ca" stroked="f">
              <v:fill type="solid"/>
            </v:rect>
            <v:rect id="_x0000_s1236" style="width:108;height:389;left:7407;position:absolute;top:490" filled="t" fillcolor="#4774ca" stroked="f">
              <v:fill type="solid"/>
            </v:rect>
            <v:rect id="_x0000_s1237" style="width:920;height:389;left:6488;position:absolute;top:490" filled="t" fillcolor="#4774ca" stroked="f">
              <v:fill type="solid"/>
            </v:rect>
            <v:rect id="_x0000_s1238" style="width:108;height:389;left:7515;position:absolute;top:490" filled="t" fillcolor="#4774ca" stroked="f">
              <v:fill type="solid"/>
            </v:rect>
            <v:rect id="_x0000_s1239" style="width:108;height:389;left:10840;position:absolute;top:490" filled="t" fillcolor="#4774ca" stroked="f">
              <v:fill type="solid"/>
            </v:rect>
            <v:rect id="_x0000_s1240" style="width:3217;height:389;left:7623;position:absolute;top:490" filled="t" fillcolor="#4774ca" stroked="f">
              <v:fill type="solid"/>
            </v:rect>
            <v:line id="_x0000_s1241" style="position:absolute" from="3399,486" to="11059,486" stroked="t" strokecolor="#013e96" strokeweight="0.48pt">
              <v:stroke dashstyle="solid"/>
            </v:line>
            <v:line id="_x0000_s1242" style="position:absolute" from="3384,476" to="11049,476" stroked="t" strokecolor="#013e96" strokeweight="0.48pt">
              <v:stroke dashstyle="solid"/>
            </v:line>
            <v:shape id="_x0000_s1243" type="#_x0000_t202" style="width:7442;height:399;left:3506;position:absolute;top:480" filled="f" stroked="f">
              <v:textbox inset="0,0,0,0">
                <w:txbxContent>
                  <w:p>
                    <w:pPr>
                      <w:tabs>
                        <w:tab w:val="left" w:pos="2004"/>
                        <w:tab w:val="left" w:pos="4289"/>
                      </w:tabs>
                      <w:spacing w:before="88"/>
                      <w:ind w:left="0" w:right="279" w:firstLine="0"/>
                      <w:jc w:val="center"/>
                      <w:rPr>
                        <w:sz w:val="18"/>
                      </w:rPr>
                    </w:pPr>
                    <w:r>
                      <w:rPr>
                        <w:color w:val="FFFFFF"/>
                        <w:sz w:val="18"/>
                      </w:rPr>
                      <w:t>稀土集团</w:t>
                      <w:tab/>
                      <w:t>稀土类型</w:t>
                      <w:tab/>
                      <w:t>整合资源</w:t>
                    </w:r>
                  </w:p>
                </w:txbxContent>
              </v:textbox>
            </v:shape>
            <w10:wrap type="topAndBottom"/>
          </v:group>
        </w:pict>
      </w:r>
      <w:r>
        <w:rPr>
          <w:b/>
          <w:i/>
          <w:sz w:val="22"/>
        </w:rPr>
        <w:t xml:space="preserve">图表 </w:t>
      </w:r>
      <w:r>
        <w:rPr>
          <w:rFonts w:ascii="Arial" w:eastAsia="Arial"/>
          <w:b/>
          <w:i/>
          <w:sz w:val="21"/>
        </w:rPr>
        <w:t>9</w:t>
      </w:r>
      <w:r>
        <w:rPr>
          <w:b/>
          <w:i/>
          <w:sz w:val="22"/>
        </w:rPr>
        <w:t>：中国稀土行业产业整合结构图</w:t>
      </w:r>
    </w:p>
    <w:p>
      <w:pPr>
        <w:spacing w:after="0"/>
        <w:jc w:val="left"/>
        <w:rPr>
          <w:sz w:val="22"/>
        </w:rPr>
        <w:sectPr>
          <w:headerReference w:type="default" r:id="rId46"/>
          <w:footerReference w:type="default" r:id="rId47"/>
          <w:pgSz w:w="11910" w:h="16840"/>
          <w:pgMar w:top="1360" w:right="520" w:bottom="660" w:left="660" w:header="708" w:footer="708"/>
          <w:pgNumType w:start="19"/>
          <w:cols w:space="708"/>
        </w:sectPr>
      </w:pPr>
    </w:p>
    <w:p>
      <w:pPr>
        <w:pStyle w:val="BodyText"/>
        <w:spacing w:before="1"/>
        <w:rPr>
          <w:b/>
          <w:i/>
          <w:sz w:val="19"/>
        </w:rPr>
      </w:pPr>
    </w:p>
    <w:p>
      <w:pPr>
        <w:tabs>
          <w:tab w:val="left" w:pos="6015"/>
        </w:tabs>
        <w:spacing w:before="0"/>
        <w:ind w:left="3922" w:right="0" w:firstLine="0"/>
        <w:jc w:val="left"/>
        <w:rPr>
          <w:sz w:val="18"/>
        </w:rPr>
      </w:pPr>
      <w:r>
        <w:rPr>
          <w:sz w:val="18"/>
        </w:rPr>
        <w:t>北方稀土</w:t>
        <w:tab/>
        <w:t>轻稀</w:t>
      </w:r>
      <w:r>
        <w:rPr>
          <w:spacing w:val="-20"/>
          <w:sz w:val="18"/>
        </w:rPr>
        <w:t>土</w:t>
      </w:r>
    </w:p>
    <w:p>
      <w:pPr>
        <w:spacing w:before="50" w:line="408" w:lineRule="auto"/>
        <w:ind w:left="367" w:right="700" w:firstLine="0"/>
        <w:jc w:val="left"/>
        <w:rPr>
          <w:sz w:val="18"/>
        </w:rPr>
      </w:pPr>
      <w:r>
        <w:br w:type="column"/>
      </w:r>
      <w:r>
        <w:rPr>
          <w:sz w:val="18"/>
        </w:rPr>
        <w:t>重点覆盖内蒙古自治区的稀土资源和冶炼分离企业</w:t>
      </w:r>
    </w:p>
    <w:p>
      <w:pPr>
        <w:spacing w:after="0" w:line="408" w:lineRule="auto"/>
        <w:jc w:val="left"/>
        <w:rPr>
          <w:sz w:val="18"/>
        </w:rPr>
        <w:sectPr>
          <w:headerReference w:type="default" r:id="rId48"/>
          <w:footerReference w:type="default" r:id="rId49"/>
          <w:type w:val="continuous"/>
          <w:pgSz w:w="11910" w:h="16840"/>
          <w:pgMar w:top="1360" w:right="520" w:bottom="660" w:left="660" w:header="708" w:footer="708"/>
          <w:pgNumType w:start="20"/>
          <w:cols w:num="2" w:space="708" w:equalWidth="0">
            <w:col w:w="6556" w:space="40"/>
            <w:col w:w="4134" w:space="0"/>
          </w:cols>
        </w:sectPr>
      </w:pPr>
    </w:p>
    <w:p>
      <w:pPr>
        <w:spacing w:before="5"/>
        <w:ind w:left="4104" w:right="0" w:firstLine="0"/>
        <w:jc w:val="center"/>
        <w:rPr>
          <w:sz w:val="18"/>
        </w:rPr>
      </w:pPr>
      <w:r>
        <w:pict>
          <v:group id="_x0000_s1244" style="width:372.1pt;height:0.5pt;margin-top:-4.19pt;margin-left:175.34pt;mso-position-horizontal-relative:page;position:absolute;z-index:-251606016" coordorigin="3507,-84" coordsize="7442,10">
            <v:line id="_x0000_s1245" style="position:absolute" from="3507,-79" to="4594,-79" stroked="t" strokecolor="black" strokeweight="0.48pt">
              <v:stroke dashstyle="solid"/>
            </v:line>
            <v:rect id="_x0000_s1246" style="width:10;height:10;left:4594;position:absolute;top:-84" filled="t" fillcolor="black" stroked="f">
              <v:fill type="solid"/>
            </v:rect>
            <v:line id="_x0000_s1247" style="position:absolute" from="4604,-79" to="6383,-79" stroked="t" strokecolor="black" strokeweight="0.48pt">
              <v:stroke dashstyle="solid"/>
            </v:line>
            <v:rect id="_x0000_s1248" style="width:10;height:10;left:6383;position:absolute;top:-84" filled="t" fillcolor="black" stroked="f">
              <v:fill type="solid"/>
            </v:rect>
            <v:line id="_x0000_s1249" style="position:absolute" from="6393,-79" to="7516,-79" stroked="t" strokecolor="black" strokeweight="0.48pt">
              <v:stroke dashstyle="solid"/>
            </v:line>
            <v:rect id="_x0000_s1250" style="width:10;height:10;left:7515;position:absolute;top:-84" filled="t" fillcolor="black" stroked="f">
              <v:fill type="solid"/>
            </v:rect>
            <v:line id="_x0000_s1251" style="position:absolute" from="7525,-79" to="10948,-79" stroked="t" strokecolor="black" strokeweight="0.48pt">
              <v:stroke dashstyle="solid"/>
            </v:line>
          </v:group>
        </w:pict>
      </w:r>
      <w:r>
        <w:rPr>
          <w:sz w:val="18"/>
        </w:rPr>
        <w:t>中国稀有稀土</w:t>
      </w:r>
    </w:p>
    <w:p>
      <w:pPr>
        <w:spacing w:before="161"/>
        <w:ind w:left="4105" w:right="0" w:firstLine="0"/>
        <w:jc w:val="center"/>
        <w:rPr>
          <w:sz w:val="18"/>
        </w:rPr>
      </w:pPr>
      <w:r>
        <w:pict>
          <v:group id="_x0000_s1252" style="width:317.7pt;height:0.5pt;margin-top:23.53pt;margin-left:229.73pt;mso-position-horizontal-relative:page;position:absolute;z-index:-251604992" coordorigin="4595,471" coordsize="6354,10">
            <v:line id="_x0000_s1253" style="position:absolute" from="4595,475" to="6383,475" stroked="t" strokecolor="black" strokeweight="0.48pt">
              <v:stroke dashstyle="solid"/>
            </v:line>
            <v:rect id="_x0000_s1254" style="width:10;height:10;left:6383;position:absolute;top:470" filled="t" fillcolor="black" stroked="f">
              <v:fill type="solid"/>
            </v:rect>
            <v:line id="_x0000_s1255" style="position:absolute" from="6393,475" to="7516,475" stroked="t" strokecolor="black" strokeweight="0.48pt">
              <v:stroke dashstyle="solid"/>
            </v:line>
            <v:rect id="_x0000_s1256" style="width:10;height:10;left:7515;position:absolute;top:470" filled="t" fillcolor="black" stroked="f">
              <v:fill type="solid"/>
            </v:rect>
            <v:line id="_x0000_s1257" style="position:absolute" from="7525,475" to="10948,475" stroked="t" strokecolor="black" strokeweight="0.48pt">
              <v:stroke dashstyle="solid"/>
            </v:line>
          </v:group>
        </w:pict>
      </w:r>
      <w:r>
        <w:rPr>
          <w:sz w:val="18"/>
        </w:rPr>
        <w:t>（中国铝业公司）</w:t>
      </w:r>
    </w:p>
    <w:p>
      <w:pPr>
        <w:pStyle w:val="BodyText"/>
        <w:spacing w:before="10"/>
        <w:rPr>
          <w:sz w:val="15"/>
        </w:rPr>
      </w:pPr>
      <w:r>
        <w:br w:type="column"/>
      </w:r>
    </w:p>
    <w:p>
      <w:pPr>
        <w:spacing w:before="0"/>
        <w:ind w:left="250" w:right="0" w:firstLine="0"/>
        <w:jc w:val="left"/>
        <w:rPr>
          <w:sz w:val="18"/>
        </w:rPr>
      </w:pPr>
      <w:r>
        <w:rPr>
          <w:sz w:val="18"/>
        </w:rPr>
        <w:t>轻、重稀土</w:t>
      </w:r>
    </w:p>
    <w:p>
      <w:pPr>
        <w:spacing w:before="5" w:line="408" w:lineRule="auto"/>
        <w:ind w:left="187" w:right="700" w:firstLine="0"/>
        <w:jc w:val="left"/>
        <w:rPr>
          <w:sz w:val="18"/>
        </w:rPr>
      </w:pPr>
      <w:r>
        <w:br w:type="column"/>
      </w:r>
      <w:r>
        <w:rPr>
          <w:sz w:val="18"/>
        </w:rPr>
        <w:t>重点整合广西、江苏、山东、四川的稀土资源和冶炼分离企业</w:t>
      </w:r>
    </w:p>
    <w:p>
      <w:pPr>
        <w:spacing w:after="0" w:line="408" w:lineRule="auto"/>
        <w:jc w:val="left"/>
        <w:rPr>
          <w:sz w:val="18"/>
        </w:rPr>
        <w:sectPr>
          <w:headerReference w:type="default" r:id="rId50"/>
          <w:footerReference w:type="default" r:id="rId51"/>
          <w:type w:val="continuous"/>
          <w:pgSz w:w="11910" w:h="16840"/>
          <w:pgMar w:top="1360" w:right="520" w:bottom="660" w:left="660" w:header="708" w:footer="708"/>
          <w:pgNumType w:start="21"/>
          <w:cols w:num="3" w:space="708" w:equalWidth="0">
            <w:col w:w="5546" w:space="40"/>
            <w:col w:w="1151" w:space="39"/>
            <w:col w:w="3954" w:space="0"/>
          </w:cols>
        </w:sectPr>
      </w:pPr>
    </w:p>
    <w:p>
      <w:pPr>
        <w:spacing w:before="8" w:line="405" w:lineRule="auto"/>
        <w:ind w:left="3209" w:right="0" w:hanging="181"/>
        <w:jc w:val="left"/>
        <w:rPr>
          <w:sz w:val="18"/>
        </w:rPr>
      </w:pPr>
      <w:r>
        <w:rPr>
          <w:sz w:val="18"/>
        </w:rPr>
        <w:t>中国稀土集团</w:t>
      </w:r>
    </w:p>
    <w:p>
      <w:pPr>
        <w:pStyle w:val="BodyText"/>
        <w:spacing w:before="10"/>
        <w:rPr>
          <w:sz w:val="15"/>
        </w:rPr>
      </w:pPr>
      <w:r>
        <w:br w:type="column"/>
      </w:r>
    </w:p>
    <w:p>
      <w:pPr>
        <w:tabs>
          <w:tab w:val="left" w:pos="2226"/>
        </w:tabs>
        <w:spacing w:before="0"/>
        <w:ind w:left="315" w:right="0" w:firstLine="0"/>
        <w:jc w:val="left"/>
        <w:rPr>
          <w:sz w:val="18"/>
        </w:rPr>
      </w:pPr>
      <w:r>
        <w:rPr>
          <w:sz w:val="18"/>
        </w:rPr>
        <w:t>中国南方稀土集团</w:t>
        <w:tab/>
        <w:t>重稀</w:t>
      </w:r>
      <w:r>
        <w:rPr>
          <w:spacing w:val="-20"/>
          <w:sz w:val="18"/>
        </w:rPr>
        <w:t>土</w:t>
      </w:r>
    </w:p>
    <w:p>
      <w:pPr>
        <w:spacing w:before="8" w:line="405" w:lineRule="auto"/>
        <w:ind w:left="367" w:right="700" w:firstLine="0"/>
        <w:jc w:val="left"/>
        <w:rPr>
          <w:sz w:val="18"/>
        </w:rPr>
      </w:pPr>
      <w:r>
        <w:br w:type="column"/>
      </w:r>
      <w:r>
        <w:rPr>
          <w:sz w:val="18"/>
        </w:rPr>
        <w:t>重点整合江西、四川稀土资源和冶炼分离企业</w:t>
      </w:r>
    </w:p>
    <w:p>
      <w:pPr>
        <w:spacing w:after="0" w:line="405" w:lineRule="auto"/>
        <w:jc w:val="left"/>
        <w:rPr>
          <w:sz w:val="18"/>
        </w:rPr>
        <w:sectPr>
          <w:headerReference w:type="default" r:id="rId52"/>
          <w:footerReference w:type="default" r:id="rId53"/>
          <w:type w:val="continuous"/>
          <w:pgSz w:w="11910" w:h="16840"/>
          <w:pgMar w:top="1360" w:right="520" w:bottom="660" w:left="660" w:header="708" w:footer="708"/>
          <w:pgNumType w:start="22"/>
          <w:cols w:num="3" w:space="708" w:equalWidth="0">
            <w:col w:w="3750" w:space="40"/>
            <w:col w:w="2767" w:space="39"/>
            <w:col w:w="4134" w:space="0"/>
          </w:cols>
        </w:sectPr>
      </w:pPr>
    </w:p>
    <w:p>
      <w:pPr>
        <w:spacing w:before="10"/>
        <w:ind w:left="4104" w:right="0" w:firstLine="0"/>
        <w:jc w:val="center"/>
        <w:rPr>
          <w:sz w:val="18"/>
        </w:rPr>
      </w:pPr>
      <w:r>
        <w:pict>
          <v:group id="_x0000_s1258" style="width:317.7pt;height:0.5pt;margin-top:-3.94pt;margin-left:229.73pt;mso-position-horizontal-relative:page;position:absolute;z-index:-251603968" coordorigin="4595,-79" coordsize="6354,10">
            <v:line id="_x0000_s1259" style="position:absolute" from="4595,-74" to="6383,-74" stroked="t" strokecolor="black" strokeweight="0.48pt">
              <v:stroke dashstyle="solid"/>
            </v:line>
            <v:rect id="_x0000_s1260" style="width:10;height:10;left:6383;position:absolute;top:-79" filled="t" fillcolor="black" stroked="f">
              <v:fill type="solid"/>
            </v:rect>
            <v:line id="_x0000_s1261" style="position:absolute" from="6393,-74" to="7516,-74" stroked="t" strokecolor="black" strokeweight="0.48pt">
              <v:stroke dashstyle="solid"/>
            </v:line>
            <v:rect id="_x0000_s1262" style="width:10;height:10;left:7515;position:absolute;top:-79" filled="t" fillcolor="black" stroked="f">
              <v:fill type="solid"/>
            </v:rect>
            <v:line id="_x0000_s1263" style="position:absolute" from="7525,-74" to="10948,-74" stroked="t" strokecolor="black" strokeweight="0.48pt">
              <v:stroke dashstyle="solid"/>
            </v:line>
          </v:group>
        </w:pict>
      </w:r>
      <w:r>
        <w:rPr>
          <w:sz w:val="18"/>
        </w:rPr>
        <w:t>五矿稀土集团</w:t>
      </w:r>
    </w:p>
    <w:p>
      <w:pPr>
        <w:spacing w:before="159"/>
        <w:ind w:left="4105" w:right="0" w:firstLine="0"/>
        <w:jc w:val="center"/>
        <w:rPr>
          <w:sz w:val="18"/>
        </w:rPr>
      </w:pPr>
      <w:r>
        <w:pict>
          <v:shape id="_x0000_s1264" type="#_x0000_t202" style="width:383pt;height:58.35pt;margin-top:23.79pt;margin-left:169.94pt;mso-position-horizontal-relative:page;position:absolute;z-index:251713536"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8"/>
                    <w:gridCol w:w="3012"/>
                    <w:gridCol w:w="902"/>
                    <w:gridCol w:w="3529"/>
                    <w:gridCol w:w="111"/>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0"/>
                      <w:jc w:val="left"/>
                    </w:trPr>
                    <w:tc>
                      <w:tcPr>
                        <w:tcW w:w="108" w:type="dxa"/>
                        <w:vMerge w:val="restart"/>
                        <w:tcBorders>
                          <w:bottom w:val="single" w:sz="4" w:space="0" w:color="013E96"/>
                        </w:tcBorders>
                      </w:tcPr>
                      <w:p>
                        <w:pPr>
                          <w:pStyle w:val="TableParagraph"/>
                          <w:rPr>
                            <w:rFonts w:ascii="Times New Roman"/>
                            <w:sz w:val="18"/>
                          </w:rPr>
                        </w:pPr>
                      </w:p>
                    </w:tc>
                    <w:tc>
                      <w:tcPr>
                        <w:tcW w:w="3012" w:type="dxa"/>
                        <w:tcBorders>
                          <w:top w:val="single" w:sz="4" w:space="0" w:color="000000"/>
                          <w:bottom w:val="single" w:sz="4" w:space="0" w:color="000000"/>
                        </w:tcBorders>
                      </w:tcPr>
                      <w:p>
                        <w:pPr>
                          <w:pStyle w:val="TableParagraph"/>
                          <w:spacing w:before="125"/>
                          <w:ind w:right="138"/>
                          <w:jc w:val="center"/>
                          <w:rPr>
                            <w:sz w:val="18"/>
                          </w:rPr>
                        </w:pPr>
                        <w:r>
                          <w:rPr>
                            <w:sz w:val="18"/>
                          </w:rPr>
                          <w:t>广东稀土产业集团</w:t>
                        </w:r>
                      </w:p>
                    </w:tc>
                    <w:tc>
                      <w:tcPr>
                        <w:tcW w:w="902" w:type="dxa"/>
                        <w:tcBorders>
                          <w:top w:val="single" w:sz="4" w:space="0" w:color="000000"/>
                          <w:bottom w:val="single" w:sz="4" w:space="0" w:color="000000"/>
                        </w:tcBorders>
                      </w:tcPr>
                      <w:p>
                        <w:pPr>
                          <w:pStyle w:val="TableParagraph"/>
                          <w:spacing w:before="125"/>
                          <w:ind w:left="157"/>
                          <w:rPr>
                            <w:sz w:val="18"/>
                          </w:rPr>
                        </w:pPr>
                        <w:r>
                          <w:rPr>
                            <w:sz w:val="18"/>
                          </w:rPr>
                          <w:t>重稀土</w:t>
                        </w:r>
                      </w:p>
                    </w:tc>
                    <w:tc>
                      <w:tcPr>
                        <w:tcW w:w="3529" w:type="dxa"/>
                        <w:tcBorders>
                          <w:top w:val="single" w:sz="4" w:space="0" w:color="000000"/>
                          <w:bottom w:val="single" w:sz="4" w:space="0" w:color="000000"/>
                        </w:tcBorders>
                      </w:tcPr>
                      <w:p>
                        <w:pPr>
                          <w:pStyle w:val="TableParagraph"/>
                          <w:spacing w:before="125"/>
                          <w:ind w:left="202"/>
                          <w:rPr>
                            <w:sz w:val="18"/>
                          </w:rPr>
                        </w:pPr>
                        <w:r>
                          <w:rPr>
                            <w:sz w:val="18"/>
                          </w:rPr>
                          <w:t>重点整合广东稀土资源和冶炼分离企业</w:t>
                        </w:r>
                      </w:p>
                    </w:tc>
                    <w:tc>
                      <w:tcPr>
                        <w:tcW w:w="111" w:type="dxa"/>
                      </w:tcPr>
                      <w:p>
                        <w:pPr>
                          <w:pStyle w:val="TableParagraph"/>
                          <w:rPr>
                            <w:rFonts w:ascii="Times New Roman"/>
                            <w:sz w:val="18"/>
                          </w:rPr>
                        </w:pPr>
                      </w:p>
                    </w:tc>
                  </w:tr>
                  <w:tr>
                    <w:tblPrEx>
                      <w:tblW w:w="0" w:type="auto"/>
                      <w:jc w:val="left"/>
                      <w:tblInd w:w="7" w:type="dxa"/>
                      <w:tblLayout w:type="fixed"/>
                      <w:tblCellMar>
                        <w:top w:w="0" w:type="dxa"/>
                        <w:left w:w="0" w:type="dxa"/>
                        <w:bottom w:w="0" w:type="dxa"/>
                        <w:right w:w="0" w:type="dxa"/>
                      </w:tblCellMar>
                      <w:tblLook w:val="01E0"/>
                    </w:tblPrEx>
                    <w:trPr>
                      <w:trHeight w:val="390"/>
                      <w:jc w:val="left"/>
                    </w:trPr>
                    <w:tc>
                      <w:tcPr>
                        <w:tcW w:w="108" w:type="dxa"/>
                        <w:vMerge/>
                        <w:tcBorders>
                          <w:top w:val="nil"/>
                          <w:bottom w:val="single" w:sz="4" w:space="0" w:color="013E96"/>
                        </w:tcBorders>
                      </w:tcPr>
                      <w:p>
                        <w:pPr>
                          <w:rPr>
                            <w:sz w:val="2"/>
                            <w:szCs w:val="2"/>
                          </w:rPr>
                        </w:pPr>
                      </w:p>
                    </w:tc>
                    <w:tc>
                      <w:tcPr>
                        <w:tcW w:w="3012" w:type="dxa"/>
                        <w:tcBorders>
                          <w:top w:val="single" w:sz="4" w:space="0" w:color="000000"/>
                          <w:bottom w:val="single" w:sz="4" w:space="0" w:color="013E96"/>
                        </w:tcBorders>
                      </w:tcPr>
                      <w:p>
                        <w:pPr>
                          <w:pStyle w:val="TableParagraph"/>
                          <w:spacing w:before="79"/>
                          <w:ind w:right="138"/>
                          <w:jc w:val="center"/>
                          <w:rPr>
                            <w:sz w:val="18"/>
                          </w:rPr>
                        </w:pPr>
                        <w:r>
                          <w:rPr>
                            <w:sz w:val="18"/>
                          </w:rPr>
                          <w:t>厦门钨业</w:t>
                        </w:r>
                      </w:p>
                    </w:tc>
                    <w:tc>
                      <w:tcPr>
                        <w:tcW w:w="902" w:type="dxa"/>
                        <w:tcBorders>
                          <w:top w:val="single" w:sz="4" w:space="0" w:color="000000"/>
                          <w:bottom w:val="single" w:sz="4" w:space="0" w:color="013E96"/>
                        </w:tcBorders>
                      </w:tcPr>
                      <w:p>
                        <w:pPr>
                          <w:pStyle w:val="TableParagraph"/>
                          <w:spacing w:before="79"/>
                          <w:ind w:left="157"/>
                          <w:rPr>
                            <w:sz w:val="18"/>
                          </w:rPr>
                        </w:pPr>
                        <w:r>
                          <w:rPr>
                            <w:sz w:val="18"/>
                          </w:rPr>
                          <w:t>重稀土</w:t>
                        </w:r>
                      </w:p>
                    </w:tc>
                    <w:tc>
                      <w:tcPr>
                        <w:tcW w:w="3529" w:type="dxa"/>
                        <w:tcBorders>
                          <w:top w:val="single" w:sz="4" w:space="0" w:color="000000"/>
                          <w:bottom w:val="single" w:sz="4" w:space="0" w:color="013E96"/>
                        </w:tcBorders>
                      </w:tcPr>
                      <w:p>
                        <w:pPr>
                          <w:pStyle w:val="TableParagraph"/>
                          <w:spacing w:before="79"/>
                          <w:ind w:left="202"/>
                          <w:rPr>
                            <w:sz w:val="18"/>
                          </w:rPr>
                        </w:pPr>
                        <w:r>
                          <w:rPr>
                            <w:sz w:val="18"/>
                          </w:rPr>
                          <w:t>重点整合福建稀土资源和冶炼分离企业</w:t>
                        </w:r>
                      </w:p>
                    </w:tc>
                    <w:tc>
                      <w:tcPr>
                        <w:tcW w:w="111" w:type="dxa"/>
                        <w:tcBorders>
                          <w:bottom w:val="single" w:sz="4" w:space="0" w:color="013E96"/>
                        </w:tcBorders>
                      </w:tcPr>
                      <w:p>
                        <w:pPr>
                          <w:pStyle w:val="TableParagraph"/>
                          <w:rPr>
                            <w:rFonts w:ascii="Times New Roman"/>
                            <w:sz w:val="18"/>
                          </w:rPr>
                        </w:pPr>
                      </w:p>
                    </w:tc>
                  </w:tr>
                  <w:tr>
                    <w:tblPrEx>
                      <w:tblW w:w="0" w:type="auto"/>
                      <w:jc w:val="left"/>
                      <w:tblInd w:w="7" w:type="dxa"/>
                      <w:tblLayout w:type="fixed"/>
                      <w:tblCellMar>
                        <w:top w:w="0" w:type="dxa"/>
                        <w:left w:w="0" w:type="dxa"/>
                        <w:bottom w:w="0" w:type="dxa"/>
                        <w:right w:w="0" w:type="dxa"/>
                      </w:tblCellMar>
                      <w:tblLook w:val="01E0"/>
                    </w:tblPrEx>
                    <w:trPr>
                      <w:trHeight w:val="270"/>
                      <w:jc w:val="left"/>
                    </w:trPr>
                    <w:tc>
                      <w:tcPr>
                        <w:tcW w:w="108" w:type="dxa"/>
                        <w:tcBorders>
                          <w:top w:val="single" w:sz="4" w:space="0" w:color="013E96"/>
                        </w:tcBorders>
                      </w:tcPr>
                      <w:p>
                        <w:pPr>
                          <w:pStyle w:val="TableParagraph"/>
                          <w:rPr>
                            <w:rFonts w:ascii="Times New Roman"/>
                            <w:sz w:val="18"/>
                          </w:rPr>
                        </w:pPr>
                      </w:p>
                    </w:tc>
                    <w:tc>
                      <w:tcPr>
                        <w:tcW w:w="3012" w:type="dxa"/>
                        <w:tcBorders>
                          <w:top w:val="single" w:sz="4" w:space="0" w:color="013E96"/>
                        </w:tcBorders>
                      </w:tcPr>
                      <w:p>
                        <w:pPr>
                          <w:pStyle w:val="TableParagraph"/>
                          <w:spacing w:before="99" w:line="151" w:lineRule="exact"/>
                          <w:ind w:right="155"/>
                          <w:jc w:val="center"/>
                          <w:rPr>
                            <w:sz w:val="15"/>
                          </w:rPr>
                        </w:pPr>
                        <w:r>
                          <w:rPr>
                            <w:sz w:val="15"/>
                          </w:rPr>
                          <w:t>数据来源：前瞻经济学人，华福证券研究所</w:t>
                        </w:r>
                      </w:p>
                    </w:tc>
                    <w:tc>
                      <w:tcPr>
                        <w:tcW w:w="902" w:type="dxa"/>
                        <w:tcBorders>
                          <w:top w:val="single" w:sz="4" w:space="0" w:color="013E96"/>
                        </w:tcBorders>
                      </w:tcPr>
                      <w:p>
                        <w:pPr>
                          <w:pStyle w:val="TableParagraph"/>
                          <w:rPr>
                            <w:rFonts w:ascii="Times New Roman"/>
                            <w:sz w:val="18"/>
                          </w:rPr>
                        </w:pPr>
                      </w:p>
                    </w:tc>
                    <w:tc>
                      <w:tcPr>
                        <w:tcW w:w="3529" w:type="dxa"/>
                        <w:tcBorders>
                          <w:top w:val="single" w:sz="4" w:space="0" w:color="013E96"/>
                        </w:tcBorders>
                      </w:tcPr>
                      <w:p>
                        <w:pPr>
                          <w:pStyle w:val="TableParagraph"/>
                          <w:rPr>
                            <w:rFonts w:ascii="Times New Roman"/>
                            <w:sz w:val="18"/>
                          </w:rPr>
                        </w:pPr>
                      </w:p>
                    </w:tc>
                    <w:tc>
                      <w:tcPr>
                        <w:tcW w:w="111" w:type="dxa"/>
                        <w:tcBorders>
                          <w:top w:val="single" w:sz="4" w:space="0" w:color="013E96"/>
                        </w:tcBorders>
                      </w:tcPr>
                      <w:p>
                        <w:pPr>
                          <w:pStyle w:val="TableParagraph"/>
                          <w:rPr>
                            <w:rFonts w:ascii="Times New Roman"/>
                            <w:sz w:val="18"/>
                          </w:rPr>
                        </w:pPr>
                      </w:p>
                    </w:tc>
                  </w:tr>
                </w:tbl>
                <w:p>
                  <w:pPr>
                    <w:pStyle w:val="BodyText"/>
                  </w:pPr>
                </w:p>
              </w:txbxContent>
            </v:textbox>
          </v:shape>
        </w:pict>
      </w:r>
      <w:r>
        <w:rPr>
          <w:sz w:val="18"/>
        </w:rPr>
        <w:t>（中国五矿集团）</w:t>
      </w:r>
    </w:p>
    <w:p>
      <w:pPr>
        <w:pStyle w:val="BodyText"/>
        <w:rPr>
          <w:sz w:val="16"/>
        </w:rPr>
      </w:pPr>
      <w:r>
        <w:br w:type="column"/>
      </w:r>
    </w:p>
    <w:p>
      <w:pPr>
        <w:spacing w:before="0"/>
        <w:ind w:left="430" w:right="0" w:firstLine="0"/>
        <w:jc w:val="left"/>
        <w:rPr>
          <w:sz w:val="18"/>
        </w:rPr>
      </w:pPr>
      <w:r>
        <w:rPr>
          <w:sz w:val="18"/>
        </w:rPr>
        <w:t>重稀土</w:t>
      </w:r>
    </w:p>
    <w:p>
      <w:pPr>
        <w:spacing w:before="10" w:line="405" w:lineRule="auto"/>
        <w:ind w:left="367" w:right="700" w:firstLine="0"/>
        <w:jc w:val="left"/>
        <w:rPr>
          <w:sz w:val="18"/>
        </w:rPr>
      </w:pPr>
      <w:r>
        <w:br w:type="column"/>
      </w:r>
      <w:r>
        <w:rPr>
          <w:sz w:val="18"/>
        </w:rPr>
        <w:t>重点整合湖南、广东、福建、云南稀土资源和冶炼分离企业</w:t>
      </w:r>
    </w:p>
    <w:p>
      <w:pPr>
        <w:spacing w:after="0" w:line="405" w:lineRule="auto"/>
        <w:jc w:val="left"/>
        <w:rPr>
          <w:sz w:val="18"/>
        </w:rPr>
        <w:sectPr>
          <w:headerReference w:type="default" r:id="rId54"/>
          <w:footerReference w:type="default" r:id="rId55"/>
          <w:type w:val="continuous"/>
          <w:pgSz w:w="11910" w:h="16840"/>
          <w:pgMar w:top="1360" w:right="520" w:bottom="660" w:left="660" w:header="708" w:footer="708"/>
          <w:pgNumType w:start="23"/>
          <w:cols w:num="3" w:space="708" w:equalWidth="0">
            <w:col w:w="5546" w:space="40"/>
            <w:col w:w="971" w:space="39"/>
            <w:col w:w="4134" w:space="0"/>
          </w:cols>
        </w:sectPr>
      </w:pPr>
    </w:p>
    <w:p>
      <w:pPr>
        <w:pStyle w:val="BodyText"/>
        <w:rPr>
          <w:sz w:val="20"/>
        </w:rPr>
      </w:pPr>
      <w:r>
        <w:pict>
          <v:shape id="_x0000_s1265" type="#_x0000_t202" style="width:60pt;height:12pt;margin-top:36.85pt;margin-left:488.98pt;mso-position-horizontal-relative:page;mso-position-vertical-relative:page;position:absolute;z-index:-251601920" filled="f" stroked="f">
            <v:textbox inset="0,0,0,0">
              <w:txbxContent>
                <w:p>
                  <w:pPr>
                    <w:spacing w:before="0" w:line="240" w:lineRule="exact"/>
                    <w:ind w:left="0" w:right="0" w:firstLine="0"/>
                    <w:jc w:val="left"/>
                    <w:rPr>
                      <w:sz w:val="24"/>
                    </w:rPr>
                  </w:pPr>
                  <w:r>
                    <w:rPr>
                      <w:sz w:val="24"/>
                    </w:rPr>
                    <w:t>丨公司名称</w:t>
                  </w:r>
                </w:p>
              </w:txbxContent>
            </v:textbox>
          </v:shape>
        </w:pict>
      </w:r>
    </w:p>
    <w:p>
      <w:pPr>
        <w:pStyle w:val="BodyText"/>
        <w:rPr>
          <w:sz w:val="20"/>
        </w:rPr>
      </w:pPr>
    </w:p>
    <w:p>
      <w:pPr>
        <w:pStyle w:val="BodyText"/>
        <w:rPr>
          <w:sz w:val="20"/>
        </w:rPr>
      </w:pPr>
    </w:p>
    <w:p>
      <w:pPr>
        <w:pStyle w:val="BodyText"/>
        <w:rPr>
          <w:sz w:val="20"/>
        </w:rPr>
      </w:pPr>
    </w:p>
    <w:p>
      <w:pPr>
        <w:pStyle w:val="BodyText"/>
        <w:spacing w:before="6"/>
        <w:rPr>
          <w:sz w:val="26"/>
        </w:rPr>
      </w:pPr>
    </w:p>
    <w:p>
      <w:pPr>
        <w:spacing w:before="71" w:line="348" w:lineRule="auto"/>
        <w:ind w:left="2712" w:right="320" w:firstLine="423"/>
        <w:jc w:val="both"/>
        <w:rPr>
          <w:sz w:val="21"/>
        </w:rPr>
      </w:pPr>
      <w:r>
        <w:pict>
          <v:line id="_x0000_s1266" style="mso-position-horizontal-relative:page;position:absolute;z-index:-251600896" from="242.45pt,35.35pt" to="332.45pt,35.35pt" stroked="t" strokecolor="black" strokeweight="0.6pt">
            <v:stroke dashstyle="solid"/>
          </v:line>
        </w:pict>
      </w:r>
      <w:r>
        <w:rPr>
          <w:b/>
          <w:sz w:val="21"/>
        </w:rPr>
        <w:t>目前中国稀土行业已经确立了以国家调控生产指标，各大稀土集团主导生产的稀土供给格局。</w:t>
      </w:r>
      <w:r>
        <w:rPr>
          <w:rFonts w:ascii="Arial" w:eastAsia="Arial"/>
          <w:b/>
          <w:spacing w:val="-3"/>
          <w:sz w:val="21"/>
        </w:rPr>
        <w:t>1</w:t>
      </w:r>
      <w:r>
        <w:rPr>
          <w:b/>
          <w:spacing w:val="-3"/>
          <w:sz w:val="21"/>
        </w:rPr>
        <w:t>）</w:t>
      </w:r>
      <w:r>
        <w:rPr>
          <w:b/>
          <w:spacing w:val="-1"/>
          <w:sz w:val="21"/>
        </w:rPr>
        <w:t>国家调控指标：</w:t>
      </w:r>
      <w:r>
        <w:rPr>
          <w:spacing w:val="-3"/>
          <w:sz w:val="21"/>
        </w:rPr>
        <w:t>稀土是中国实行生产总量控制管理的产品，任何</w:t>
      </w:r>
      <w:r>
        <w:rPr>
          <w:spacing w:val="-8"/>
          <w:sz w:val="21"/>
        </w:rPr>
        <w:t>单位和个人不得无指标和超指标生产，每年的上半年和下半年国土资源部和工信部都</w:t>
      </w:r>
      <w:r>
        <w:rPr>
          <w:spacing w:val="-10"/>
          <w:w w:val="100"/>
          <w:sz w:val="21"/>
        </w:rPr>
        <w:t>将给几大稀土集团下达的稀土开采、冶炼分离总量控制指标。</w:t>
      </w:r>
      <w:r>
        <w:rPr>
          <w:rFonts w:ascii="Times New Roman" w:eastAsia="Times New Roman"/>
          <w:spacing w:val="-53"/>
          <w:w w:val="100"/>
          <w:sz w:val="21"/>
          <w:u w:val="single"/>
        </w:rPr>
        <w:t xml:space="preserve"> </w:t>
      </w:r>
      <w:r>
        <w:rPr>
          <w:rFonts w:ascii="Arial" w:eastAsia="Arial"/>
          <w:b/>
          <w:spacing w:val="-3"/>
          <w:w w:val="100"/>
          <w:sz w:val="21"/>
          <w:u w:val="single"/>
        </w:rPr>
        <w:t>2</w:t>
      </w:r>
      <w:r>
        <w:rPr>
          <w:b/>
          <w:spacing w:val="-106"/>
          <w:w w:val="100"/>
          <w:sz w:val="21"/>
          <w:u w:val="single"/>
        </w:rPr>
        <w:t>）</w:t>
      </w:r>
      <w:r>
        <w:rPr>
          <w:b/>
          <w:spacing w:val="-6"/>
          <w:w w:val="100"/>
          <w:sz w:val="21"/>
          <w:u w:val="single"/>
        </w:rPr>
        <w:t>：各大稀土集团主导</w:t>
      </w:r>
      <w:r>
        <w:rPr>
          <w:b/>
          <w:spacing w:val="-206"/>
          <w:w w:val="100"/>
          <w:sz w:val="21"/>
          <w:u w:val="single"/>
        </w:rPr>
        <w:t>生产</w:t>
      </w:r>
      <w:r>
        <w:rPr>
          <w:b/>
          <w:spacing w:val="-29"/>
          <w:sz w:val="21"/>
          <w:u w:val="single"/>
        </w:rPr>
        <w:t>：</w:t>
      </w:r>
      <w:r>
        <w:rPr>
          <w:spacing w:val="-6"/>
          <w:sz w:val="21"/>
        </w:rPr>
        <w:t>几大稀土集团再根据所分配指标，对指标进行再分配，下发到各个矿山和分离厂。</w:t>
      </w:r>
    </w:p>
    <w:p>
      <w:pPr>
        <w:pStyle w:val="ListParagraph"/>
        <w:numPr>
          <w:ilvl w:val="2"/>
          <w:numId w:val="2"/>
        </w:numPr>
        <w:tabs>
          <w:tab w:val="left" w:pos="3597"/>
        </w:tabs>
        <w:spacing w:before="156" w:after="0" w:line="240" w:lineRule="auto"/>
        <w:ind w:left="3596" w:right="0" w:hanging="854"/>
        <w:jc w:val="both"/>
        <w:rPr>
          <w:b/>
          <w:sz w:val="21"/>
        </w:rPr>
      </w:pPr>
      <w:bookmarkStart w:id="4" w:name="_TOC_250020"/>
      <w:bookmarkEnd w:id="4"/>
      <w:r>
        <w:rPr>
          <w:b/>
          <w:spacing w:val="-3"/>
          <w:sz w:val="21"/>
        </w:rPr>
        <w:t>中国在稀土资源禀赋和开采冶炼分离环节世界第一</w:t>
      </w:r>
    </w:p>
    <w:p>
      <w:pPr>
        <w:pStyle w:val="BodyText"/>
        <w:spacing w:before="9"/>
        <w:rPr>
          <w:b/>
        </w:rPr>
      </w:pPr>
    </w:p>
    <w:p>
      <w:pPr>
        <w:spacing w:before="0" w:line="348" w:lineRule="auto"/>
        <w:ind w:left="2712" w:right="325" w:firstLine="423"/>
        <w:jc w:val="both"/>
        <w:rPr>
          <w:rFonts w:ascii="Arial" w:eastAsia="Arial"/>
          <w:sz w:val="21"/>
        </w:rPr>
      </w:pPr>
      <w:r>
        <w:rPr>
          <w:b/>
          <w:sz w:val="21"/>
        </w:rPr>
        <w:t xml:space="preserve">全球稀土资源分布集中度较高，中国储量世界第一占全球储量比约 </w:t>
      </w:r>
      <w:r>
        <w:rPr>
          <w:rFonts w:ascii="Arial" w:eastAsia="Arial"/>
          <w:b/>
          <w:sz w:val="21"/>
        </w:rPr>
        <w:t>33.8%</w:t>
      </w:r>
      <w:r>
        <w:rPr>
          <w:b/>
          <w:sz w:val="21"/>
        </w:rPr>
        <w:t>。</w:t>
      </w:r>
      <w:r>
        <w:rPr>
          <w:sz w:val="21"/>
        </w:rPr>
        <w:t>根据美国地质调查局（</w:t>
      </w:r>
      <w:r>
        <w:rPr>
          <w:rFonts w:ascii="Arial" w:eastAsia="Arial"/>
          <w:sz w:val="21"/>
        </w:rPr>
        <w:t>USGS</w:t>
      </w:r>
      <w:r>
        <w:rPr>
          <w:sz w:val="21"/>
        </w:rPr>
        <w:t>）公布数据显示，</w:t>
      </w:r>
      <w:r>
        <w:rPr>
          <w:rFonts w:ascii="Arial" w:eastAsia="Arial"/>
          <w:sz w:val="21"/>
        </w:rPr>
        <w:t xml:space="preserve">2022 </w:t>
      </w:r>
      <w:r>
        <w:rPr>
          <w:sz w:val="21"/>
        </w:rPr>
        <w:t xml:space="preserve">年全球稀土资源总储量约为 </w:t>
      </w:r>
      <w:r>
        <w:rPr>
          <w:rFonts w:ascii="Arial" w:eastAsia="Arial"/>
          <w:sz w:val="21"/>
        </w:rPr>
        <w:t>1.3</w:t>
      </w:r>
    </w:p>
    <w:p>
      <w:pPr>
        <w:pStyle w:val="BodyText"/>
        <w:spacing w:line="348" w:lineRule="auto"/>
        <w:ind w:left="2712" w:right="320"/>
        <w:jc w:val="both"/>
      </w:pPr>
      <w:r>
        <w:rPr>
          <w:spacing w:val="-4"/>
        </w:rPr>
        <w:t xml:space="preserve">亿吨，其中中国储量为 </w:t>
      </w:r>
      <w:r>
        <w:rPr>
          <w:rFonts w:ascii="Arial" w:eastAsia="Arial"/>
        </w:rPr>
        <w:t>4400</w:t>
      </w:r>
      <w:r>
        <w:rPr>
          <w:rFonts w:ascii="Arial" w:eastAsia="Arial"/>
          <w:spacing w:val="51"/>
        </w:rPr>
        <w:t xml:space="preserve"> </w:t>
      </w:r>
      <w:r>
        <w:rPr>
          <w:spacing w:val="-3"/>
        </w:rPr>
        <w:t xml:space="preserve">万吨，占比约 </w:t>
      </w:r>
      <w:r>
        <w:rPr>
          <w:rFonts w:ascii="Arial" w:eastAsia="Arial"/>
          <w:spacing w:val="-3"/>
        </w:rPr>
        <w:t>33.8%</w:t>
      </w:r>
      <w:r>
        <w:rPr>
          <w:spacing w:val="-2"/>
        </w:rPr>
        <w:t xml:space="preserve">，越南储量 </w:t>
      </w:r>
      <w:r>
        <w:rPr>
          <w:rFonts w:ascii="Arial" w:eastAsia="Arial"/>
        </w:rPr>
        <w:t>2200</w:t>
      </w:r>
      <w:r>
        <w:rPr>
          <w:rFonts w:ascii="Arial" w:eastAsia="Arial"/>
          <w:spacing w:val="52"/>
        </w:rPr>
        <w:t xml:space="preserve"> </w:t>
      </w:r>
      <w:r>
        <w:rPr>
          <w:spacing w:val="-4"/>
        </w:rPr>
        <w:t>万吨，占比约</w:t>
      </w:r>
      <w:r>
        <w:rPr>
          <w:spacing w:val="1"/>
        </w:rPr>
        <w:t xml:space="preserve">为 </w:t>
      </w:r>
      <w:r>
        <w:rPr>
          <w:rFonts w:ascii="Arial" w:eastAsia="Arial"/>
          <w:spacing w:val="-5"/>
        </w:rPr>
        <w:t>16.9%</w:t>
      </w:r>
      <w:r>
        <w:rPr>
          <w:spacing w:val="-3"/>
        </w:rPr>
        <w:t xml:space="preserve">，巴西和俄罗斯储量均为 </w:t>
      </w:r>
      <w:r>
        <w:rPr>
          <w:rFonts w:ascii="Arial" w:eastAsia="Arial"/>
        </w:rPr>
        <w:t>2100</w:t>
      </w:r>
      <w:r>
        <w:rPr>
          <w:rFonts w:ascii="Arial" w:eastAsia="Arial"/>
          <w:spacing w:val="54"/>
        </w:rPr>
        <w:t xml:space="preserve"> </w:t>
      </w:r>
      <w:r>
        <w:rPr>
          <w:spacing w:val="-5"/>
        </w:rPr>
        <w:t xml:space="preserve">万吨，占比 </w:t>
      </w:r>
      <w:r>
        <w:rPr>
          <w:rFonts w:ascii="Arial" w:eastAsia="Arial"/>
          <w:spacing w:val="-5"/>
        </w:rPr>
        <w:t>16.2%</w:t>
      </w:r>
      <w:r>
        <w:rPr>
          <w:spacing w:val="-3"/>
        </w:rPr>
        <w:t xml:space="preserve">，前四大稀土资源持有国资源储量合计超过全球总储量的 </w:t>
      </w:r>
      <w:r>
        <w:rPr>
          <w:rFonts w:ascii="Arial" w:eastAsia="Arial"/>
        </w:rPr>
        <w:t>83%</w:t>
      </w:r>
      <w:r>
        <w:rPr>
          <w:spacing w:val="-3"/>
        </w:rPr>
        <w:t>，资源分布集中度较高。</w:t>
      </w:r>
    </w:p>
    <w:p>
      <w:pPr>
        <w:tabs>
          <w:tab w:val="left" w:pos="5535"/>
        </w:tabs>
        <w:spacing w:before="146"/>
        <w:ind w:left="290" w:right="0" w:firstLine="0"/>
        <w:jc w:val="left"/>
        <w:rPr>
          <w:b/>
          <w:i/>
          <w:sz w:val="22"/>
        </w:rPr>
      </w:pPr>
      <w:r>
        <w:pict>
          <v:shape id="_x0000_s1267" style="width:248.85pt;height:0.1pt;margin-top:24.78pt;margin-left:41.4pt;mso-position-horizontal-relative:page;mso-wrap-distance-left:0;mso-wrap-distance-right:0;position:absolute;z-index:-251599872" coordorigin="828,496" coordsize="4977,0" path="m828,496l5804,496e" filled="f" stroked="t" strokecolor="#013e96" strokeweight="0.48pt">
            <v:stroke dashstyle="solid"/>
            <v:path arrowok="t"/>
            <w10:wrap type="topAndBottom"/>
          </v:shape>
        </w:pict>
      </w:r>
      <w:r>
        <w:pict>
          <v:shape id="_x0000_s1268" style="width:248.95pt;height:0.1pt;margin-top:24.78pt;margin-left:303.65pt;mso-position-horizontal-relative:page;mso-wrap-distance-left:0;mso-wrap-distance-right:0;position:absolute;z-index:-251598848" coordorigin="6073,496" coordsize="4979,0" path="m6073,496l11052,496e" filled="f" stroked="t" strokecolor="#013e96" strokeweight="0.48pt">
            <v:stroke dashstyle="solid"/>
            <v:path arrowok="t"/>
            <w10:wrap type="topAndBottom"/>
          </v:shape>
        </w:pict>
      </w:r>
      <w:r>
        <w:rPr>
          <w:b/>
          <w:i/>
          <w:w w:val="95"/>
          <w:sz w:val="22"/>
        </w:rPr>
        <w:t>图表</w:t>
      </w:r>
      <w:r>
        <w:rPr>
          <w:b/>
          <w:i/>
          <w:spacing w:val="-44"/>
          <w:w w:val="95"/>
          <w:sz w:val="22"/>
        </w:rPr>
        <w:t xml:space="preserve"> </w:t>
      </w:r>
      <w:r>
        <w:rPr>
          <w:rFonts w:ascii="Arial" w:eastAsia="Arial"/>
          <w:b/>
          <w:i/>
          <w:w w:val="95"/>
          <w:sz w:val="21"/>
        </w:rPr>
        <w:t>10</w:t>
      </w:r>
      <w:r>
        <w:rPr>
          <w:b/>
          <w:i/>
          <w:w w:val="95"/>
          <w:sz w:val="22"/>
        </w:rPr>
        <w:t>：全球主要国家</w:t>
      </w:r>
      <w:r>
        <w:rPr>
          <w:b/>
          <w:i/>
          <w:spacing w:val="-3"/>
          <w:w w:val="95"/>
          <w:sz w:val="22"/>
        </w:rPr>
        <w:t>稀</w:t>
      </w:r>
      <w:r>
        <w:rPr>
          <w:b/>
          <w:i/>
          <w:w w:val="95"/>
          <w:sz w:val="22"/>
        </w:rPr>
        <w:t>土储量（百万吨）</w:t>
        <w:tab/>
      </w:r>
      <w:r>
        <w:rPr>
          <w:b/>
          <w:i/>
          <w:sz w:val="22"/>
        </w:rPr>
        <w:t>图表</w:t>
      </w:r>
      <w:r>
        <w:rPr>
          <w:b/>
          <w:i/>
          <w:spacing w:val="-59"/>
          <w:sz w:val="22"/>
        </w:rPr>
        <w:t xml:space="preserve"> </w:t>
      </w:r>
      <w:r>
        <w:rPr>
          <w:rFonts w:ascii="Arial" w:eastAsia="Arial"/>
          <w:b/>
          <w:i/>
          <w:spacing w:val="-4"/>
          <w:sz w:val="21"/>
        </w:rPr>
        <w:t>11</w:t>
      </w:r>
      <w:r>
        <w:rPr>
          <w:b/>
          <w:i/>
          <w:spacing w:val="-4"/>
          <w:sz w:val="22"/>
        </w:rPr>
        <w:t>：</w:t>
      </w:r>
      <w:r>
        <w:rPr>
          <w:rFonts w:ascii="Arial" w:eastAsia="Arial"/>
          <w:b/>
          <w:i/>
          <w:spacing w:val="-4"/>
          <w:sz w:val="21"/>
        </w:rPr>
        <w:t>2022</w:t>
      </w:r>
      <w:r>
        <w:rPr>
          <w:rFonts w:ascii="Arial" w:eastAsia="Arial"/>
          <w:b/>
          <w:i/>
          <w:spacing w:val="-11"/>
          <w:sz w:val="21"/>
        </w:rPr>
        <w:t xml:space="preserve"> </w:t>
      </w:r>
      <w:r>
        <w:rPr>
          <w:b/>
          <w:i/>
          <w:sz w:val="22"/>
        </w:rPr>
        <w:t>年全球</w:t>
      </w:r>
      <w:r>
        <w:rPr>
          <w:b/>
          <w:i/>
          <w:spacing w:val="-3"/>
          <w:sz w:val="22"/>
        </w:rPr>
        <w:t>稀</w:t>
      </w:r>
      <w:r>
        <w:rPr>
          <w:b/>
          <w:i/>
          <w:sz w:val="22"/>
        </w:rPr>
        <w:t>土储量分布</w:t>
      </w:r>
    </w:p>
    <w:p>
      <w:pPr>
        <w:spacing w:after="0"/>
        <w:jc w:val="left"/>
        <w:rPr>
          <w:sz w:val="22"/>
        </w:rPr>
        <w:sectPr>
          <w:headerReference w:type="default" r:id="rId56"/>
          <w:footerReference w:type="default" r:id="rId57"/>
          <w:type w:val="continuous"/>
          <w:pgSz w:w="11910" w:h="16840"/>
          <w:pgMar w:top="1360" w:right="520" w:bottom="660" w:left="660" w:header="708" w:footer="708"/>
          <w:pgNumType w:start="24"/>
          <w:cols w:space="708"/>
        </w:sectPr>
      </w:pPr>
    </w:p>
    <w:p>
      <w:pPr>
        <w:pStyle w:val="BodyText"/>
        <w:rPr>
          <w:b/>
          <w:i/>
          <w:sz w:val="3"/>
        </w:rPr>
      </w:pPr>
      <w:r>
        <w:pict>
          <v:shape id="_x0000_s1269" type="#_x0000_t202" style="width:60pt;height:12pt;margin-top:36.85pt;margin-left:488.98pt;mso-position-horizontal-relative:page;mso-position-vertical-relative:page;position:absolute;z-index:-251595776" filled="f" stroked="f">
            <v:textbox inset="0,0,0,0">
              <w:txbxContent>
                <w:p>
                  <w:pPr>
                    <w:spacing w:before="0" w:line="240" w:lineRule="exact"/>
                    <w:ind w:left="0" w:right="0" w:firstLine="0"/>
                    <w:jc w:val="left"/>
                    <w:rPr>
                      <w:sz w:val="24"/>
                    </w:rPr>
                  </w:pPr>
                  <w:r>
                    <w:rPr>
                      <w:sz w:val="24"/>
                    </w:rPr>
                    <w:t>丨公司名称</w:t>
                  </w:r>
                </w:p>
              </w:txbxContent>
            </v:textbox>
          </v:shape>
        </w:pict>
      </w:r>
    </w:p>
    <w:p>
      <w:pPr>
        <w:tabs>
          <w:tab w:val="left" w:pos="5422"/>
        </w:tabs>
        <w:spacing w:line="20" w:lineRule="exact"/>
        <w:ind w:left="177" w:right="0" w:firstLine="0"/>
        <w:rPr>
          <w:sz w:val="2"/>
        </w:rPr>
      </w:pPr>
      <w:r>
        <w:rPr>
          <w:sz w:val="2"/>
        </w:rPr>
        <w:pict>
          <v:group id="_x0000_i1270" style="width:248.1pt;height:0.5pt;mso-position-horizontal-relative:char;mso-position-vertical-relative:line" coordorigin="0,0" coordsize="4962,10">
            <v:line id="_x0000_s1271" style="position:absolute" from="0,5" to="4962,5" stroked="t" strokecolor="#013e96" strokeweight="0.48pt">
              <v:stroke dashstyle="solid"/>
            </v:line>
            <w10:wrap type="none"/>
          </v:group>
        </w:pict>
      </w:r>
      <w:r>
        <w:rPr>
          <w:sz w:val="2"/>
        </w:rPr>
        <w:tab/>
      </w:r>
      <w:r>
        <w:rPr>
          <w:sz w:val="2"/>
        </w:rPr>
        <w:pict>
          <v:group id="_x0000_i1272" style="width:248.25pt;height:0.5pt;mso-position-horizontal-relative:char;mso-position-vertical-relative:line" coordorigin="0,0" coordsize="4965,10">
            <v:line id="_x0000_s1273" style="position:absolute" from="0,5" to="4964,5" stroked="t" strokecolor="#013e96" strokeweight="0.48pt">
              <v:stroke dashstyle="solid"/>
            </v:line>
            <w10:wrap type="none"/>
          </v:group>
        </w:pict>
      </w:r>
    </w:p>
    <w:p>
      <w:pPr>
        <w:pStyle w:val="BodyText"/>
        <w:spacing w:before="2"/>
        <w:rPr>
          <w:b/>
          <w:i/>
          <w:sz w:val="8"/>
        </w:rPr>
      </w:pPr>
      <w:r>
        <w:drawing>
          <wp:anchor distT="0" distB="0" distL="0" distR="0" simplePos="0" relativeHeight="251718656" behindDoc="0" locked="0" layoutInCell="1" allowOverlap="1">
            <wp:simplePos x="0" y="0"/>
            <wp:positionH relativeFrom="page">
              <wp:posOffset>628018</wp:posOffset>
            </wp:positionH>
            <wp:positionV relativeFrom="paragraph">
              <wp:posOffset>157588</wp:posOffset>
            </wp:positionV>
            <wp:extent cx="2987725" cy="2073973"/>
            <wp:effectExtent l="0" t="0" r="0" b="0"/>
            <wp:wrapTopAndBottom/>
            <wp:docPr id="2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7.png"/>
                    <pic:cNvPicPr/>
                  </pic:nvPicPr>
                  <pic:blipFill>
                    <a:blip xmlns:r="http://schemas.openxmlformats.org/officeDocument/2006/relationships" r:embed="rId58" cstate="print"/>
                    <a:stretch>
                      <a:fillRect/>
                    </a:stretch>
                  </pic:blipFill>
                  <pic:spPr>
                    <a:xfrm>
                      <a:off x="0" y="0"/>
                      <a:ext cx="2987725" cy="2073973"/>
                    </a:xfrm>
                    <a:prstGeom prst="rect">
                      <a:avLst/>
                    </a:prstGeom>
                  </pic:spPr>
                </pic:pic>
              </a:graphicData>
            </a:graphic>
          </wp:anchor>
        </w:drawing>
      </w:r>
      <w:r>
        <w:drawing>
          <wp:anchor distT="0" distB="0" distL="0" distR="0" simplePos="0" relativeHeight="251719680" behindDoc="0" locked="0" layoutInCell="1" allowOverlap="1">
            <wp:simplePos x="0" y="0"/>
            <wp:positionH relativeFrom="page">
              <wp:posOffset>4153272</wp:posOffset>
            </wp:positionH>
            <wp:positionV relativeFrom="paragraph">
              <wp:posOffset>91314</wp:posOffset>
            </wp:positionV>
            <wp:extent cx="2550898" cy="2189797"/>
            <wp:effectExtent l="0" t="0" r="0" b="0"/>
            <wp:wrapTopAndBottom/>
            <wp:docPr id="2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8.png"/>
                    <pic:cNvPicPr/>
                  </pic:nvPicPr>
                  <pic:blipFill>
                    <a:blip xmlns:r="http://schemas.openxmlformats.org/officeDocument/2006/relationships" r:embed="rId59" cstate="print"/>
                    <a:stretch>
                      <a:fillRect/>
                    </a:stretch>
                  </pic:blipFill>
                  <pic:spPr>
                    <a:xfrm>
                      <a:off x="0" y="0"/>
                      <a:ext cx="2550898" cy="2189797"/>
                    </a:xfrm>
                    <a:prstGeom prst="rect">
                      <a:avLst/>
                    </a:prstGeom>
                  </pic:spPr>
                </pic:pic>
              </a:graphicData>
            </a:graphic>
          </wp:anchor>
        </w:drawing>
      </w:r>
      <w:r>
        <w:pict>
          <v:shape id="_x0000_s1274" style="width:248.1pt;height:0.1pt;margin-top:186.95pt;margin-left:42.12pt;mso-position-horizontal-relative:page;mso-wrap-distance-left:0;mso-wrap-distance-right:0;position:absolute;z-index:-251591680" coordorigin="842,3739" coordsize="4962,0" path="m842,3739l5804,3739e" filled="f" stroked="t" strokecolor="#013e96" strokeweight="0.48pt">
            <v:stroke dashstyle="solid"/>
            <v:path arrowok="t"/>
            <w10:wrap type="topAndBottom"/>
          </v:shape>
        </w:pict>
      </w:r>
      <w:r>
        <w:pict>
          <v:shape id="_x0000_s1275" style="width:248.25pt;height:0.1pt;margin-top:186.95pt;margin-left:304.37pt;mso-position-horizontal-relative:page;mso-wrap-distance-left:0;mso-wrap-distance-right:0;position:absolute;z-index:-251590656" coordorigin="6087,3739" coordsize="4965,0" path="m6087,3739l11052,3739e" filled="f" stroked="t" strokecolor="#013e96" strokeweight="0.48pt">
            <v:stroke dashstyle="solid"/>
            <v:path arrowok="t"/>
            <w10:wrap type="topAndBottom"/>
          </v:shape>
        </w:pict>
      </w:r>
    </w:p>
    <w:p>
      <w:pPr>
        <w:pStyle w:val="BodyText"/>
        <w:spacing w:before="9"/>
        <w:rPr>
          <w:b/>
          <w:i/>
          <w:sz w:val="5"/>
        </w:rPr>
      </w:pPr>
    </w:p>
    <w:p>
      <w:pPr>
        <w:tabs>
          <w:tab w:val="left" w:pos="5535"/>
        </w:tabs>
        <w:spacing w:before="70"/>
        <w:ind w:left="290" w:right="0" w:firstLine="0"/>
        <w:jc w:val="left"/>
        <w:rPr>
          <w:sz w:val="15"/>
        </w:rPr>
      </w:pPr>
      <w:r>
        <w:t xml:space="preserve">数据来源：USGS， </w:t>
        <w:tab/>
        <w:t xml:space="preserve">数据来源：USGS, </w:t>
      </w:r>
    </w:p>
    <w:p>
      <w:pPr>
        <w:pStyle w:val="BodyText"/>
        <w:spacing w:before="1"/>
        <w:rPr>
          <w:sz w:val="18"/>
        </w:rPr>
      </w:pPr>
    </w:p>
    <w:p>
      <w:pPr>
        <w:pStyle w:val="BodyText"/>
        <w:spacing w:before="81" w:line="348" w:lineRule="auto"/>
        <w:ind w:left="2712" w:right="220" w:firstLine="423"/>
      </w:pPr>
      <w:r>
        <w:rPr>
          <w:b/>
          <w:spacing w:val="-19"/>
        </w:rPr>
        <w:t xml:space="preserve">中国稀土资源分布总体上表现出“北轻南重”的特征，轻稀土储量占比超过 </w:t>
      </w:r>
      <w:r>
        <w:rPr>
          <w:rFonts w:ascii="Arial" w:eastAsia="Arial" w:hAnsi="Arial"/>
          <w:b/>
        </w:rPr>
        <w:t>90%</w:t>
      </w:r>
      <w:r>
        <w:rPr>
          <w:b/>
        </w:rPr>
        <w:t>。</w:t>
      </w:r>
      <w:r>
        <w:rPr>
          <w:spacing w:val="-6"/>
        </w:rPr>
        <w:t xml:space="preserve">根据稀土协会数据公开数据显示，中国稀土资源量约为 </w:t>
      </w:r>
      <w:r>
        <w:rPr>
          <w:rFonts w:ascii="Arial" w:eastAsia="Arial" w:hAnsi="Arial"/>
        </w:rPr>
        <w:t xml:space="preserve">1.12 </w:t>
      </w:r>
      <w:r>
        <w:rPr>
          <w:spacing w:val="-9"/>
        </w:rPr>
        <w:t xml:space="preserve">亿吨，其中轻稀土 </w:t>
      </w:r>
      <w:r>
        <w:rPr>
          <w:rFonts w:ascii="Arial" w:eastAsia="Arial" w:hAnsi="Arial"/>
        </w:rPr>
        <w:t xml:space="preserve">0.82 </w:t>
      </w:r>
      <w:r>
        <w:rPr>
          <w:spacing w:val="-13"/>
        </w:rPr>
        <w:t xml:space="preserve">亿吨，占 </w:t>
      </w:r>
      <w:r>
        <w:rPr>
          <w:rFonts w:ascii="Arial" w:eastAsia="Arial" w:hAnsi="Arial"/>
          <w:spacing w:val="-3"/>
        </w:rPr>
        <w:t>73.21%</w:t>
      </w:r>
      <w:r>
        <w:rPr>
          <w:spacing w:val="-13"/>
        </w:rPr>
        <w:t xml:space="preserve">；重稀土 </w:t>
      </w:r>
      <w:r>
        <w:rPr>
          <w:rFonts w:ascii="Arial" w:eastAsia="Arial" w:hAnsi="Arial"/>
        </w:rPr>
        <w:t xml:space="preserve">0.29 </w:t>
      </w:r>
      <w:r>
        <w:rPr>
          <w:spacing w:val="-13"/>
        </w:rPr>
        <w:t xml:space="preserve">亿吨，占 </w:t>
      </w:r>
      <w:r>
        <w:rPr>
          <w:rFonts w:ascii="Arial" w:eastAsia="Arial" w:hAnsi="Arial"/>
        </w:rPr>
        <w:t>25.89%</w:t>
      </w:r>
      <w:r>
        <w:rPr>
          <w:spacing w:val="-9"/>
        </w:rPr>
        <w:t xml:space="preserve">。中国稀土储量 </w:t>
      </w:r>
      <w:r>
        <w:rPr>
          <w:rFonts w:ascii="Arial" w:eastAsia="Arial" w:hAnsi="Arial"/>
        </w:rPr>
        <w:t xml:space="preserve">3,157 </w:t>
      </w:r>
      <w:r>
        <w:rPr>
          <w:spacing w:val="-3"/>
        </w:rPr>
        <w:t>万吨，其中</w:t>
      </w:r>
      <w:r>
        <w:rPr>
          <w:spacing w:val="-14"/>
        </w:rPr>
        <w:t xml:space="preserve">轻稀土 </w:t>
      </w:r>
      <w:r>
        <w:rPr>
          <w:rFonts w:ascii="Arial" w:eastAsia="Arial" w:hAnsi="Arial"/>
        </w:rPr>
        <w:t xml:space="preserve">2,853 </w:t>
      </w:r>
      <w:r>
        <w:rPr>
          <w:spacing w:val="-15"/>
        </w:rPr>
        <w:t xml:space="preserve">万吨，占 </w:t>
      </w:r>
      <w:r>
        <w:rPr>
          <w:rFonts w:ascii="Arial" w:eastAsia="Arial" w:hAnsi="Arial"/>
          <w:spacing w:val="-5"/>
        </w:rPr>
        <w:t>90.37%</w:t>
      </w:r>
      <w:r>
        <w:rPr>
          <w:spacing w:val="-13"/>
        </w:rPr>
        <w:t xml:space="preserve">；重稀土 </w:t>
      </w:r>
      <w:r>
        <w:rPr>
          <w:rFonts w:ascii="Arial" w:eastAsia="Arial" w:hAnsi="Arial"/>
        </w:rPr>
        <w:t xml:space="preserve">305 </w:t>
      </w:r>
      <w:r>
        <w:rPr>
          <w:spacing w:val="-15"/>
        </w:rPr>
        <w:t xml:space="preserve">万吨，占 </w:t>
      </w:r>
      <w:r>
        <w:rPr>
          <w:rFonts w:ascii="Arial" w:eastAsia="Arial" w:hAnsi="Arial"/>
        </w:rPr>
        <w:t>9.66%</w:t>
      </w:r>
      <w:r>
        <w:rPr>
          <w:spacing w:val="-5"/>
        </w:rPr>
        <w:t>。轻稀土主要分布在内</w:t>
      </w:r>
      <w:r>
        <w:rPr>
          <w:spacing w:val="-10"/>
        </w:rPr>
        <w:t xml:space="preserve">蒙古、四川、山东和湖南，分别占总储量的 </w:t>
      </w:r>
      <w:r>
        <w:rPr>
          <w:rFonts w:ascii="Arial" w:eastAsia="Arial" w:hAnsi="Arial"/>
        </w:rPr>
        <w:t>67.78%</w:t>
      </w:r>
      <w:r>
        <w:rPr>
          <w:spacing w:val="-10"/>
        </w:rPr>
        <w:t>、</w:t>
      </w:r>
      <w:r>
        <w:rPr>
          <w:rFonts w:ascii="Arial" w:eastAsia="Arial" w:hAnsi="Arial"/>
        </w:rPr>
        <w:t>8.8%</w:t>
      </w:r>
      <w:r>
        <w:rPr>
          <w:spacing w:val="-9"/>
        </w:rPr>
        <w:t>、</w:t>
      </w:r>
      <w:r>
        <w:rPr>
          <w:rFonts w:ascii="Arial" w:eastAsia="Arial" w:hAnsi="Arial"/>
        </w:rPr>
        <w:t>12.67%</w:t>
      </w:r>
      <w:r>
        <w:rPr>
          <w:spacing w:val="-25"/>
        </w:rPr>
        <w:t xml:space="preserve">和 </w:t>
      </w:r>
      <w:r>
        <w:rPr>
          <w:rFonts w:ascii="Arial" w:eastAsia="Arial" w:hAnsi="Arial"/>
        </w:rPr>
        <w:t>1.1%</w:t>
      </w:r>
      <w:r>
        <w:rPr>
          <w:spacing w:val="-4"/>
        </w:rPr>
        <w:t>。重稀</w:t>
      </w:r>
      <w:r>
        <w:rPr>
          <w:spacing w:val="-24"/>
        </w:rPr>
        <w:t xml:space="preserve">土主要分布在江西、广东、福建、广西和湖南，分别占总储量的 </w:t>
      </w:r>
      <w:r>
        <w:rPr>
          <w:rFonts w:ascii="Arial" w:eastAsia="Arial" w:hAnsi="Arial"/>
        </w:rPr>
        <w:t>2.41%</w:t>
      </w:r>
      <w:r>
        <w:rPr>
          <w:spacing w:val="-96"/>
        </w:rPr>
        <w:t>、</w:t>
      </w:r>
      <w:r>
        <w:rPr>
          <w:rFonts w:ascii="Arial" w:eastAsia="Arial" w:hAnsi="Arial"/>
        </w:rPr>
        <w:t>1.68%</w:t>
      </w:r>
      <w:r>
        <w:rPr>
          <w:spacing w:val="-94"/>
        </w:rPr>
        <w:t>、</w:t>
      </w:r>
      <w:r>
        <w:rPr>
          <w:rFonts w:ascii="Arial" w:eastAsia="Arial" w:hAnsi="Arial"/>
        </w:rPr>
        <w:t>0.06%</w:t>
      </w:r>
      <w:r>
        <w:t>、</w:t>
      </w:r>
      <w:r>
        <w:rPr>
          <w:rFonts w:ascii="Arial" w:eastAsia="Arial" w:hAnsi="Arial"/>
        </w:rPr>
        <w:t>3.48%</w:t>
      </w:r>
      <w:r>
        <w:rPr>
          <w:spacing w:val="-28"/>
        </w:rPr>
        <w:t xml:space="preserve">和 </w:t>
      </w:r>
      <w:r>
        <w:rPr>
          <w:rFonts w:ascii="Arial" w:eastAsia="Arial" w:hAnsi="Arial"/>
        </w:rPr>
        <w:t>2.03%</w:t>
      </w:r>
      <w:r>
        <w:t>。</w:t>
      </w:r>
    </w:p>
    <w:p>
      <w:pPr>
        <w:spacing w:before="146"/>
        <w:ind w:left="2846" w:right="0" w:firstLine="0"/>
        <w:jc w:val="left"/>
        <w:rPr>
          <w:b/>
          <w:i/>
          <w:sz w:val="22"/>
        </w:rPr>
      </w:pPr>
      <w:r>
        <w:drawing>
          <wp:anchor distT="0" distB="0" distL="0" distR="0" simplePos="0" relativeHeight="251721728" behindDoc="1" locked="0" layoutInCell="1" allowOverlap="1">
            <wp:simplePos x="0" y="0"/>
            <wp:positionH relativeFrom="page">
              <wp:posOffset>4848733</wp:posOffset>
            </wp:positionH>
            <wp:positionV relativeFrom="paragraph">
              <wp:posOffset>675894</wp:posOffset>
            </wp:positionV>
            <wp:extent cx="53435" cy="81724"/>
            <wp:effectExtent l="0" t="0" r="0" b="0"/>
            <wp:wrapNone/>
            <wp:docPr id="2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anchor>
        </w:drawing>
      </w:r>
      <w:r>
        <w:drawing>
          <wp:anchor distT="0" distB="0" distL="0" distR="0" simplePos="0" relativeHeight="251722752" behindDoc="1" locked="0" layoutInCell="1" allowOverlap="1">
            <wp:simplePos x="0" y="0"/>
            <wp:positionH relativeFrom="page">
              <wp:posOffset>4790821</wp:posOffset>
            </wp:positionH>
            <wp:positionV relativeFrom="paragraph">
              <wp:posOffset>930402</wp:posOffset>
            </wp:positionV>
            <wp:extent cx="53435" cy="81724"/>
            <wp:effectExtent l="0" t="0" r="0" b="0"/>
            <wp:wrapNone/>
            <wp:docPr id="3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anchor>
        </w:drawing>
      </w:r>
      <w:r>
        <w:pict>
          <v:group id="_x0000_s1276" style="width:239.25pt;height:0.5pt;margin-top:66.32pt;margin-left:308.21pt;mso-position-horizontal-relative:page;position:absolute;z-index:-251592704" coordorigin="6164,1326" coordsize="4785,10">
            <v:line id="_x0000_s1277" style="position:absolute" from="6164,1331" to="8293,1331" stroked="t" strokecolor="black" strokeweight="0.48pt">
              <v:stroke dashstyle="solid"/>
            </v:line>
            <v:rect id="_x0000_s1278" style="width:10;height:10;left:8293;position:absolute;top:1326" filled="t" fillcolor="black" stroked="f">
              <v:fill type="solid"/>
            </v:rect>
            <v:line id="_x0000_s1279" style="position:absolute" from="8303,1331" to="9621,1331" stroked="t" strokecolor="black" strokeweight="0.48pt">
              <v:stroke dashstyle="solid"/>
            </v:line>
            <v:rect id="_x0000_s1280" style="width:10;height:10;left:9621;position:absolute;top:1326" filled="t" fillcolor="black" stroked="f">
              <v:fill type="solid"/>
            </v:rect>
            <v:line id="_x0000_s1281" style="position:absolute" from="9631,1331" to="10948,1331" stroked="t" strokecolor="black" strokeweight="0.48pt">
              <v:stroke dashstyle="solid"/>
            </v:line>
          </v:group>
        </w:pict>
      </w:r>
      <w:r>
        <w:pict>
          <v:group id="_x0000_s1282" style="width:383.75pt;height:1pt;margin-top:26.34pt;margin-left:169.22pt;mso-position-horizontal-relative:page;position:absolute;z-index:251726848" coordorigin="3384,527" coordsize="7675,20">
            <v:line id="_x0000_s1283" style="position:absolute" from="3399,541" to="11059,541" stroked="t" strokecolor="#013e96" strokeweight="0.48pt">
              <v:stroke dashstyle="solid"/>
            </v:line>
            <v:line id="_x0000_s1284" style="position:absolute" from="3384,532" to="11049,532" stroked="t" strokecolor="#013e96" strokeweight="0.48pt">
              <v:stroke dashstyle="solid"/>
            </v:line>
          </v:group>
        </w:pict>
      </w:r>
      <w:r>
        <w:rPr>
          <w:b/>
          <w:i/>
          <w:sz w:val="22"/>
        </w:rPr>
        <w:t xml:space="preserve">图表 </w:t>
      </w:r>
      <w:r>
        <w:rPr>
          <w:rFonts w:ascii="Arial" w:eastAsia="Arial"/>
          <w:b/>
          <w:i/>
          <w:sz w:val="21"/>
        </w:rPr>
        <w:t>12</w:t>
      </w:r>
      <w:r>
        <w:rPr>
          <w:b/>
          <w:i/>
          <w:sz w:val="22"/>
        </w:rPr>
        <w:t>：中国稀土资源分布情况</w:t>
      </w:r>
    </w:p>
    <w:p>
      <w:pPr>
        <w:pStyle w:val="BodyText"/>
        <w:spacing w:before="6"/>
        <w:rPr>
          <w:b/>
          <w:i/>
          <w:sz w:val="8"/>
        </w:rPr>
      </w:pPr>
    </w:p>
    <w:tbl>
      <w:tblPr>
        <w:tblStyle w:val="TableNormal3"/>
        <w:tblW w:w="0" w:type="auto"/>
        <w:jc w:val="left"/>
        <w:tblInd w:w="2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28"/>
        <w:gridCol w:w="1663"/>
        <w:gridCol w:w="1753"/>
        <w:gridCol w:w="1278"/>
        <w:gridCol w:w="1418"/>
      </w:tblGrid>
      <w:tr>
        <w:tblPrEx>
          <w:tblW w:w="0" w:type="auto"/>
          <w:jc w:val="left"/>
          <w:tblInd w:w="2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8"/>
          <w:jc w:val="left"/>
        </w:trPr>
        <w:tc>
          <w:tcPr>
            <w:tcW w:w="1328" w:type="dxa"/>
            <w:shd w:val="clear" w:color="auto" w:fill="4471C4"/>
          </w:tcPr>
          <w:p>
            <w:pPr>
              <w:pStyle w:val="TableParagraph"/>
              <w:spacing w:before="89"/>
              <w:ind w:left="373" w:right="374"/>
              <w:jc w:val="center"/>
              <w:rPr>
                <w:sz w:val="18"/>
              </w:rPr>
            </w:pPr>
            <w:r>
              <w:rPr>
                <w:color w:val="FFFFFF"/>
                <w:sz w:val="18"/>
              </w:rPr>
              <w:t>省份</w:t>
            </w:r>
          </w:p>
        </w:tc>
        <w:tc>
          <w:tcPr>
            <w:tcW w:w="1663" w:type="dxa"/>
            <w:shd w:val="clear" w:color="auto" w:fill="4471C4"/>
          </w:tcPr>
          <w:p>
            <w:pPr>
              <w:pStyle w:val="TableParagraph"/>
              <w:spacing w:before="89"/>
              <w:ind w:left="482"/>
              <w:rPr>
                <w:sz w:val="18"/>
              </w:rPr>
            </w:pPr>
            <w:r>
              <w:rPr>
                <w:color w:val="FFFFFF"/>
                <w:sz w:val="18"/>
              </w:rPr>
              <w:t>类别</w:t>
            </w:r>
          </w:p>
        </w:tc>
        <w:tc>
          <w:tcPr>
            <w:tcW w:w="1753" w:type="dxa"/>
            <w:shd w:val="clear" w:color="auto" w:fill="4471C4"/>
          </w:tcPr>
          <w:p>
            <w:pPr>
              <w:pStyle w:val="TableParagraph"/>
              <w:spacing w:before="89"/>
              <w:ind w:left="258" w:right="550"/>
              <w:jc w:val="center"/>
              <w:rPr>
                <w:sz w:val="18"/>
              </w:rPr>
            </w:pPr>
            <w:r>
              <w:rPr>
                <w:color w:val="FFFFFF"/>
                <w:sz w:val="18"/>
              </w:rPr>
              <w:t>矿种</w:t>
            </w:r>
          </w:p>
        </w:tc>
        <w:tc>
          <w:tcPr>
            <w:tcW w:w="1278" w:type="dxa"/>
            <w:shd w:val="clear" w:color="auto" w:fill="4471C4"/>
          </w:tcPr>
          <w:p>
            <w:pPr>
              <w:pStyle w:val="TableParagraph"/>
              <w:spacing w:before="89"/>
              <w:ind w:left="325" w:right="193"/>
              <w:jc w:val="center"/>
              <w:rPr>
                <w:sz w:val="18"/>
              </w:rPr>
            </w:pPr>
            <w:r>
              <w:rPr>
                <w:color w:val="FFFFFF"/>
                <w:sz w:val="18"/>
              </w:rPr>
              <w:t>基础储量</w:t>
            </w:r>
          </w:p>
        </w:tc>
        <w:tc>
          <w:tcPr>
            <w:tcW w:w="1418" w:type="dxa"/>
            <w:shd w:val="clear" w:color="auto" w:fill="4471C4"/>
          </w:tcPr>
          <w:p>
            <w:pPr>
              <w:pStyle w:val="TableParagraph"/>
              <w:spacing w:before="89"/>
              <w:ind w:left="194" w:right="103"/>
              <w:jc w:val="center"/>
              <w:rPr>
                <w:sz w:val="18"/>
              </w:rPr>
            </w:pPr>
            <w:r>
              <w:rPr>
                <w:color w:val="FFFFFF"/>
                <w:sz w:val="18"/>
              </w:rPr>
              <w:t>查明资源储量</w:t>
            </w:r>
          </w:p>
        </w:tc>
      </w:tr>
      <w:tr>
        <w:tblPrEx>
          <w:tblW w:w="0" w:type="auto"/>
          <w:jc w:val="left"/>
          <w:tblInd w:w="2854" w:type="dxa"/>
          <w:tblLayout w:type="fixed"/>
          <w:tblCellMar>
            <w:top w:w="0" w:type="dxa"/>
            <w:left w:w="0" w:type="dxa"/>
            <w:bottom w:w="0" w:type="dxa"/>
            <w:right w:w="0" w:type="dxa"/>
          </w:tblCellMar>
          <w:tblLook w:val="01E0"/>
        </w:tblPrEx>
        <w:trPr>
          <w:trHeight w:val="789"/>
          <w:jc w:val="left"/>
        </w:trPr>
        <w:tc>
          <w:tcPr>
            <w:tcW w:w="1328" w:type="dxa"/>
            <w:tcBorders>
              <w:bottom w:val="single" w:sz="4" w:space="0" w:color="000000"/>
            </w:tcBorders>
          </w:tcPr>
          <w:p>
            <w:pPr>
              <w:pStyle w:val="TableParagraph"/>
              <w:spacing w:before="11"/>
              <w:rPr>
                <w:b/>
                <w:i/>
                <w:sz w:val="21"/>
              </w:rPr>
            </w:pPr>
          </w:p>
          <w:p>
            <w:pPr>
              <w:pStyle w:val="TableParagraph"/>
              <w:ind w:left="374" w:right="374"/>
              <w:jc w:val="center"/>
              <w:rPr>
                <w:sz w:val="18"/>
              </w:rPr>
            </w:pPr>
            <w:r>
              <w:rPr>
                <w:sz w:val="18"/>
              </w:rPr>
              <w:t>内蒙古</w:t>
            </w:r>
          </w:p>
        </w:tc>
        <w:tc>
          <w:tcPr>
            <w:tcW w:w="1663" w:type="dxa"/>
            <w:tcBorders>
              <w:bottom w:val="single" w:sz="4" w:space="0" w:color="000000"/>
            </w:tcBorders>
          </w:tcPr>
          <w:p>
            <w:pPr>
              <w:pStyle w:val="TableParagraph"/>
              <w:spacing w:before="11"/>
              <w:rPr>
                <w:b/>
                <w:i/>
                <w:sz w:val="21"/>
              </w:rPr>
            </w:pPr>
          </w:p>
          <w:p>
            <w:pPr>
              <w:pStyle w:val="TableParagraph"/>
              <w:ind w:left="393"/>
              <w:rPr>
                <w:sz w:val="18"/>
              </w:rPr>
            </w:pPr>
            <w:r>
              <w:rPr>
                <w:sz w:val="18"/>
              </w:rPr>
              <w:t>轻稀土</w:t>
            </w:r>
          </w:p>
        </w:tc>
        <w:tc>
          <w:tcPr>
            <w:tcW w:w="1753" w:type="dxa"/>
            <w:tcBorders>
              <w:bottom w:val="single" w:sz="4" w:space="0" w:color="000000"/>
            </w:tcBorders>
          </w:tcPr>
          <w:p>
            <w:pPr>
              <w:pStyle w:val="TableParagraph"/>
              <w:spacing w:before="79"/>
              <w:ind w:left="55"/>
              <w:rPr>
                <w:sz w:val="18"/>
              </w:rPr>
            </w:pPr>
            <w:r>
              <w:rPr>
                <w:sz w:val="18"/>
              </w:rPr>
              <w:t>氟碳铈矿（70）</w:t>
            </w:r>
          </w:p>
          <w:p>
            <w:pPr>
              <w:pStyle w:val="TableParagraph"/>
              <w:spacing w:before="3"/>
              <w:rPr>
                <w:b/>
                <w:i/>
                <w:sz w:val="13"/>
              </w:rPr>
            </w:pPr>
          </w:p>
          <w:p>
            <w:pPr>
              <w:pStyle w:val="TableParagraph"/>
              <w:spacing w:before="1"/>
              <w:ind w:left="144"/>
              <w:rPr>
                <w:sz w:val="18"/>
              </w:rPr>
            </w:pPr>
            <w:r>
              <w:rPr>
                <w:sz w:val="18"/>
              </w:rPr>
              <w:t>独居石（30）</w:t>
            </w:r>
          </w:p>
        </w:tc>
        <w:tc>
          <w:tcPr>
            <w:tcW w:w="1278" w:type="dxa"/>
            <w:tcBorders>
              <w:bottom w:val="single" w:sz="4" w:space="0" w:color="000000"/>
            </w:tcBorders>
          </w:tcPr>
          <w:p>
            <w:pPr>
              <w:pStyle w:val="TableParagraph"/>
              <w:spacing w:before="79"/>
              <w:ind w:left="325" w:right="193"/>
              <w:jc w:val="center"/>
              <w:rPr>
                <w:sz w:val="18"/>
              </w:rPr>
            </w:pPr>
            <w:r>
              <w:rPr>
                <w:sz w:val="18"/>
              </w:rPr>
              <w:t>1,498</w:t>
            </w:r>
          </w:p>
          <w:p>
            <w:pPr>
              <w:pStyle w:val="TableParagraph"/>
              <w:spacing w:before="3"/>
              <w:rPr>
                <w:b/>
                <w:i/>
                <w:sz w:val="13"/>
              </w:rPr>
            </w:pPr>
          </w:p>
          <w:p>
            <w:pPr>
              <w:pStyle w:val="TableParagraph"/>
              <w:spacing w:before="1"/>
              <w:ind w:left="325" w:right="187"/>
              <w:jc w:val="center"/>
              <w:rPr>
                <w:sz w:val="18"/>
              </w:rPr>
            </w:pPr>
            <w:r>
              <w:rPr>
                <w:sz w:val="18"/>
              </w:rPr>
              <w:t>642</w:t>
            </w:r>
          </w:p>
        </w:tc>
        <w:tc>
          <w:tcPr>
            <w:tcW w:w="1418" w:type="dxa"/>
            <w:tcBorders>
              <w:bottom w:val="single" w:sz="4" w:space="0" w:color="000000"/>
            </w:tcBorders>
          </w:tcPr>
          <w:p>
            <w:pPr>
              <w:pStyle w:val="TableParagraph"/>
              <w:spacing w:before="79"/>
              <w:ind w:left="529"/>
              <w:rPr>
                <w:sz w:val="18"/>
              </w:rPr>
            </w:pPr>
            <w:r>
              <w:rPr>
                <w:sz w:val="18"/>
              </w:rPr>
              <w:t>4,291</w:t>
            </w:r>
          </w:p>
          <w:p>
            <w:pPr>
              <w:pStyle w:val="TableParagraph"/>
              <w:spacing w:before="3"/>
              <w:rPr>
                <w:b/>
                <w:i/>
                <w:sz w:val="13"/>
              </w:rPr>
            </w:pPr>
          </w:p>
          <w:p>
            <w:pPr>
              <w:pStyle w:val="TableParagraph"/>
              <w:spacing w:before="1"/>
              <w:ind w:left="529"/>
              <w:rPr>
                <w:sz w:val="18"/>
              </w:rPr>
            </w:pPr>
            <w:r>
              <w:rPr>
                <w:sz w:val="18"/>
              </w:rPr>
              <w:t>1,839</w:t>
            </w: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1328" w:type="dxa"/>
            <w:tcBorders>
              <w:top w:val="single" w:sz="4" w:space="0" w:color="000000"/>
              <w:bottom w:val="single" w:sz="4" w:space="0" w:color="000000"/>
            </w:tcBorders>
          </w:tcPr>
          <w:p>
            <w:pPr>
              <w:pStyle w:val="TableParagraph"/>
              <w:spacing w:before="81"/>
              <w:ind w:left="373" w:right="374"/>
              <w:jc w:val="center"/>
              <w:rPr>
                <w:sz w:val="18"/>
              </w:rPr>
            </w:pPr>
            <w:r>
              <w:rPr>
                <w:sz w:val="18"/>
              </w:rPr>
              <w:t>四川</w:t>
            </w:r>
          </w:p>
        </w:tc>
        <w:tc>
          <w:tcPr>
            <w:tcW w:w="1663" w:type="dxa"/>
            <w:tcBorders>
              <w:top w:val="single" w:sz="4" w:space="0" w:color="000000"/>
              <w:bottom w:val="single" w:sz="4" w:space="0" w:color="000000"/>
            </w:tcBorders>
          </w:tcPr>
          <w:p>
            <w:pPr>
              <w:pStyle w:val="TableParagraph"/>
              <w:spacing w:before="81"/>
              <w:ind w:left="393"/>
              <w:rPr>
                <w:sz w:val="18"/>
              </w:rPr>
            </w:pPr>
            <w:r>
              <w:rPr>
                <w:sz w:val="18"/>
              </w:rPr>
              <w:t>轻稀土</w:t>
            </w:r>
          </w:p>
        </w:tc>
        <w:tc>
          <w:tcPr>
            <w:tcW w:w="1753" w:type="dxa"/>
            <w:tcBorders>
              <w:top w:val="single" w:sz="4" w:space="0" w:color="000000"/>
              <w:bottom w:val="single" w:sz="4" w:space="0" w:color="000000"/>
            </w:tcBorders>
          </w:tcPr>
          <w:p>
            <w:pPr>
              <w:pStyle w:val="TableParagraph"/>
              <w:spacing w:before="81"/>
              <w:ind w:left="258" w:right="550"/>
              <w:jc w:val="center"/>
              <w:rPr>
                <w:sz w:val="18"/>
              </w:rPr>
            </w:pPr>
            <w:r>
              <w:rPr>
                <w:sz w:val="18"/>
              </w:rPr>
              <w:t>氟碳铈矿</w:t>
            </w:r>
          </w:p>
        </w:tc>
        <w:tc>
          <w:tcPr>
            <w:tcW w:w="1278" w:type="dxa"/>
            <w:tcBorders>
              <w:top w:val="single" w:sz="4" w:space="0" w:color="000000"/>
              <w:bottom w:val="single" w:sz="4" w:space="0" w:color="000000"/>
            </w:tcBorders>
          </w:tcPr>
          <w:p>
            <w:pPr>
              <w:pStyle w:val="TableParagraph"/>
              <w:spacing w:before="81"/>
              <w:ind w:left="325" w:right="187"/>
              <w:jc w:val="center"/>
              <w:rPr>
                <w:sz w:val="18"/>
              </w:rPr>
            </w:pPr>
            <w:r>
              <w:rPr>
                <w:sz w:val="18"/>
              </w:rPr>
              <w:t>278</w:t>
            </w:r>
          </w:p>
        </w:tc>
        <w:tc>
          <w:tcPr>
            <w:tcW w:w="1418" w:type="dxa"/>
            <w:tcBorders>
              <w:top w:val="single" w:sz="4" w:space="0" w:color="000000"/>
              <w:bottom w:val="single" w:sz="4" w:space="0" w:color="000000"/>
            </w:tcBorders>
          </w:tcPr>
          <w:p>
            <w:pPr>
              <w:pStyle w:val="TableParagraph"/>
              <w:spacing w:before="81"/>
              <w:ind w:left="194" w:right="98"/>
              <w:jc w:val="center"/>
              <w:rPr>
                <w:sz w:val="18"/>
              </w:rPr>
            </w:pPr>
            <w:r>
              <w:rPr>
                <w:sz w:val="18"/>
              </w:rPr>
              <w:t>500</w:t>
            </w: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1328" w:type="dxa"/>
            <w:tcBorders>
              <w:top w:val="single" w:sz="4" w:space="0" w:color="000000"/>
              <w:bottom w:val="single" w:sz="4" w:space="0" w:color="000000"/>
            </w:tcBorders>
          </w:tcPr>
          <w:p>
            <w:pPr>
              <w:pStyle w:val="TableParagraph"/>
              <w:spacing w:before="79"/>
              <w:ind w:left="373" w:right="374"/>
              <w:jc w:val="center"/>
              <w:rPr>
                <w:sz w:val="18"/>
              </w:rPr>
            </w:pPr>
            <w:r>
              <w:rPr>
                <w:sz w:val="18"/>
              </w:rPr>
              <w:t>山东</w:t>
            </w:r>
          </w:p>
        </w:tc>
        <w:tc>
          <w:tcPr>
            <w:tcW w:w="1663" w:type="dxa"/>
            <w:tcBorders>
              <w:top w:val="single" w:sz="4" w:space="0" w:color="000000"/>
              <w:bottom w:val="single" w:sz="4" w:space="0" w:color="000000"/>
            </w:tcBorders>
          </w:tcPr>
          <w:p>
            <w:pPr>
              <w:pStyle w:val="TableParagraph"/>
              <w:spacing w:before="79"/>
              <w:ind w:left="393"/>
              <w:rPr>
                <w:sz w:val="18"/>
              </w:rPr>
            </w:pPr>
            <w:r>
              <w:rPr>
                <w:sz w:val="18"/>
              </w:rPr>
              <w:t>轻稀土</w:t>
            </w:r>
          </w:p>
        </w:tc>
        <w:tc>
          <w:tcPr>
            <w:tcW w:w="1753" w:type="dxa"/>
            <w:tcBorders>
              <w:top w:val="single" w:sz="4" w:space="0" w:color="000000"/>
              <w:bottom w:val="single" w:sz="4" w:space="0" w:color="000000"/>
            </w:tcBorders>
          </w:tcPr>
          <w:p>
            <w:pPr>
              <w:pStyle w:val="TableParagraph"/>
              <w:spacing w:before="79"/>
              <w:ind w:left="258" w:right="550"/>
              <w:jc w:val="center"/>
              <w:rPr>
                <w:sz w:val="18"/>
              </w:rPr>
            </w:pPr>
            <w:r>
              <w:rPr>
                <w:sz w:val="18"/>
              </w:rPr>
              <w:t>氟碳铈矿</w:t>
            </w:r>
          </w:p>
        </w:tc>
        <w:tc>
          <w:tcPr>
            <w:tcW w:w="1278" w:type="dxa"/>
            <w:tcBorders>
              <w:top w:val="single" w:sz="4" w:space="0" w:color="000000"/>
              <w:bottom w:val="single" w:sz="4" w:space="0" w:color="000000"/>
            </w:tcBorders>
          </w:tcPr>
          <w:p>
            <w:pPr>
              <w:pStyle w:val="TableParagraph"/>
              <w:spacing w:before="79"/>
              <w:ind w:left="325" w:right="187"/>
              <w:jc w:val="center"/>
              <w:rPr>
                <w:sz w:val="18"/>
              </w:rPr>
            </w:pPr>
            <w:r>
              <w:rPr>
                <w:sz w:val="18"/>
              </w:rPr>
              <w:t>400</w:t>
            </w:r>
          </w:p>
        </w:tc>
        <w:tc>
          <w:tcPr>
            <w:tcW w:w="1418" w:type="dxa"/>
            <w:tcBorders>
              <w:top w:val="single" w:sz="4" w:space="0" w:color="000000"/>
              <w:bottom w:val="single" w:sz="4" w:space="0" w:color="000000"/>
            </w:tcBorders>
          </w:tcPr>
          <w:p>
            <w:pPr>
              <w:pStyle w:val="TableParagraph"/>
              <w:spacing w:before="79"/>
              <w:ind w:left="194" w:right="102"/>
              <w:jc w:val="center"/>
              <w:rPr>
                <w:sz w:val="18"/>
              </w:rPr>
            </w:pPr>
            <w:r>
              <w:rPr>
                <w:sz w:val="18"/>
              </w:rPr>
              <w:t>1,270</w:t>
            </w:r>
          </w:p>
        </w:tc>
      </w:tr>
      <w:tr>
        <w:tblPrEx>
          <w:tblW w:w="0" w:type="auto"/>
          <w:jc w:val="left"/>
          <w:tblInd w:w="2854" w:type="dxa"/>
          <w:tblLayout w:type="fixed"/>
          <w:tblCellMar>
            <w:top w:w="0" w:type="dxa"/>
            <w:left w:w="0" w:type="dxa"/>
            <w:bottom w:w="0" w:type="dxa"/>
            <w:right w:w="0" w:type="dxa"/>
          </w:tblCellMar>
          <w:tblLook w:val="01E0"/>
        </w:tblPrEx>
        <w:trPr>
          <w:trHeight w:val="388"/>
          <w:jc w:val="left"/>
        </w:trPr>
        <w:tc>
          <w:tcPr>
            <w:tcW w:w="1328" w:type="dxa"/>
            <w:tcBorders>
              <w:top w:val="single" w:sz="4" w:space="0" w:color="000000"/>
              <w:bottom w:val="single" w:sz="4" w:space="0" w:color="000000"/>
            </w:tcBorders>
          </w:tcPr>
          <w:p>
            <w:pPr>
              <w:pStyle w:val="TableParagraph"/>
              <w:spacing w:before="79"/>
              <w:ind w:left="373" w:right="374"/>
              <w:jc w:val="center"/>
              <w:rPr>
                <w:sz w:val="18"/>
              </w:rPr>
            </w:pPr>
            <w:r>
              <w:rPr>
                <w:sz w:val="18"/>
              </w:rPr>
              <w:t>湖南</w:t>
            </w:r>
          </w:p>
        </w:tc>
        <w:tc>
          <w:tcPr>
            <w:tcW w:w="1663" w:type="dxa"/>
            <w:tcBorders>
              <w:top w:val="single" w:sz="4" w:space="0" w:color="000000"/>
              <w:bottom w:val="single" w:sz="4" w:space="0" w:color="000000"/>
            </w:tcBorders>
          </w:tcPr>
          <w:p>
            <w:pPr>
              <w:pStyle w:val="TableParagraph"/>
              <w:spacing w:before="79"/>
              <w:ind w:left="393"/>
              <w:rPr>
                <w:sz w:val="18"/>
              </w:rPr>
            </w:pPr>
            <w:r>
              <w:rPr>
                <w:sz w:val="18"/>
              </w:rPr>
              <w:t>轻稀土</w:t>
            </w:r>
          </w:p>
        </w:tc>
        <w:tc>
          <w:tcPr>
            <w:tcW w:w="1753" w:type="dxa"/>
            <w:tcBorders>
              <w:top w:val="single" w:sz="4" w:space="0" w:color="000000"/>
              <w:bottom w:val="single" w:sz="4" w:space="0" w:color="000000"/>
            </w:tcBorders>
          </w:tcPr>
          <w:p>
            <w:pPr>
              <w:pStyle w:val="TableParagraph"/>
              <w:spacing w:before="79"/>
              <w:ind w:left="262" w:right="550"/>
              <w:jc w:val="center"/>
              <w:rPr>
                <w:sz w:val="18"/>
              </w:rPr>
            </w:pPr>
            <w:r>
              <w:rPr>
                <w:sz w:val="18"/>
              </w:rPr>
              <w:t>独居石</w:t>
            </w:r>
          </w:p>
        </w:tc>
        <w:tc>
          <w:tcPr>
            <w:tcW w:w="1278" w:type="dxa"/>
            <w:tcBorders>
              <w:top w:val="single" w:sz="4" w:space="0" w:color="000000"/>
              <w:bottom w:val="single" w:sz="4" w:space="0" w:color="000000"/>
            </w:tcBorders>
          </w:tcPr>
          <w:p>
            <w:pPr>
              <w:pStyle w:val="TableParagraph"/>
              <w:spacing w:before="79"/>
              <w:ind w:left="325" w:right="187"/>
              <w:jc w:val="center"/>
              <w:rPr>
                <w:sz w:val="18"/>
              </w:rPr>
            </w:pPr>
            <w:r>
              <w:rPr>
                <w:sz w:val="18"/>
              </w:rPr>
              <w:t>35</w:t>
            </w:r>
          </w:p>
        </w:tc>
        <w:tc>
          <w:tcPr>
            <w:tcW w:w="1418" w:type="dxa"/>
            <w:tcBorders>
              <w:top w:val="single" w:sz="4" w:space="0" w:color="000000"/>
              <w:bottom w:val="single" w:sz="4" w:space="0" w:color="000000"/>
            </w:tcBorders>
          </w:tcPr>
          <w:p>
            <w:pPr>
              <w:pStyle w:val="TableParagraph"/>
              <w:spacing w:before="79"/>
              <w:ind w:left="194" w:right="98"/>
              <w:jc w:val="center"/>
              <w:rPr>
                <w:sz w:val="18"/>
              </w:rPr>
            </w:pPr>
            <w:r>
              <w:rPr>
                <w:sz w:val="18"/>
              </w:rPr>
              <w:t>340</w:t>
            </w: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1328" w:type="dxa"/>
            <w:tcBorders>
              <w:top w:val="single" w:sz="4" w:space="0" w:color="000000"/>
              <w:bottom w:val="single" w:sz="4" w:space="0" w:color="000000"/>
            </w:tcBorders>
          </w:tcPr>
          <w:p>
            <w:pPr>
              <w:pStyle w:val="TableParagraph"/>
              <w:rPr>
                <w:rFonts w:ascii="Times New Roman"/>
                <w:sz w:val="18"/>
              </w:rPr>
            </w:pPr>
          </w:p>
        </w:tc>
        <w:tc>
          <w:tcPr>
            <w:tcW w:w="1663" w:type="dxa"/>
            <w:tcBorders>
              <w:top w:val="single" w:sz="4" w:space="0" w:color="000000"/>
              <w:bottom w:val="single" w:sz="4" w:space="0" w:color="000000"/>
            </w:tcBorders>
          </w:tcPr>
          <w:p>
            <w:pPr>
              <w:pStyle w:val="TableParagraph"/>
              <w:spacing w:before="81"/>
              <w:ind w:left="614"/>
              <w:rPr>
                <w:b/>
                <w:sz w:val="18"/>
              </w:rPr>
            </w:pPr>
            <w:r>
              <w:rPr>
                <w:b/>
                <w:sz w:val="18"/>
              </w:rPr>
              <w:t>轻稀土合计</w:t>
            </w:r>
          </w:p>
        </w:tc>
        <w:tc>
          <w:tcPr>
            <w:tcW w:w="1753" w:type="dxa"/>
            <w:tcBorders>
              <w:top w:val="single" w:sz="4" w:space="0" w:color="000000"/>
              <w:bottom w:val="single" w:sz="4" w:space="0" w:color="000000"/>
            </w:tcBorders>
          </w:tcPr>
          <w:p>
            <w:pPr>
              <w:pStyle w:val="TableParagraph"/>
              <w:rPr>
                <w:rFonts w:ascii="Times New Roman"/>
                <w:sz w:val="18"/>
              </w:rPr>
            </w:pPr>
          </w:p>
        </w:tc>
        <w:tc>
          <w:tcPr>
            <w:tcW w:w="1278" w:type="dxa"/>
            <w:tcBorders>
              <w:top w:val="single" w:sz="4" w:space="0" w:color="000000"/>
              <w:bottom w:val="single" w:sz="4" w:space="0" w:color="000000"/>
            </w:tcBorders>
          </w:tcPr>
          <w:p>
            <w:pPr>
              <w:pStyle w:val="TableParagraph"/>
              <w:spacing w:before="81"/>
              <w:ind w:left="325" w:right="189"/>
              <w:jc w:val="center"/>
              <w:rPr>
                <w:b/>
                <w:sz w:val="18"/>
              </w:rPr>
            </w:pPr>
            <w:r>
              <w:rPr>
                <w:b/>
                <w:sz w:val="18"/>
              </w:rPr>
              <w:t>2,853</w:t>
            </w:r>
          </w:p>
        </w:tc>
        <w:tc>
          <w:tcPr>
            <w:tcW w:w="1418" w:type="dxa"/>
            <w:tcBorders>
              <w:top w:val="single" w:sz="4" w:space="0" w:color="000000"/>
              <w:bottom w:val="single" w:sz="4" w:space="0" w:color="000000"/>
            </w:tcBorders>
          </w:tcPr>
          <w:p>
            <w:pPr>
              <w:pStyle w:val="TableParagraph"/>
              <w:spacing w:before="81"/>
              <w:ind w:left="194" w:right="98"/>
              <w:jc w:val="center"/>
              <w:rPr>
                <w:b/>
                <w:sz w:val="18"/>
              </w:rPr>
            </w:pPr>
            <w:r>
              <w:rPr>
                <w:b/>
                <w:sz w:val="18"/>
              </w:rPr>
              <w:t>8,240</w:t>
            </w: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1328" w:type="dxa"/>
            <w:tcBorders>
              <w:top w:val="single" w:sz="4" w:space="0" w:color="000000"/>
              <w:bottom w:val="single" w:sz="4" w:space="0" w:color="000000"/>
            </w:tcBorders>
          </w:tcPr>
          <w:p>
            <w:pPr>
              <w:pStyle w:val="TableParagraph"/>
              <w:spacing w:before="79"/>
              <w:ind w:left="373" w:right="374"/>
              <w:jc w:val="center"/>
              <w:rPr>
                <w:sz w:val="18"/>
              </w:rPr>
            </w:pPr>
            <w:r>
              <w:rPr>
                <w:sz w:val="18"/>
              </w:rPr>
              <w:t>江西</w:t>
            </w:r>
          </w:p>
        </w:tc>
        <w:tc>
          <w:tcPr>
            <w:tcW w:w="1663" w:type="dxa"/>
            <w:tcBorders>
              <w:top w:val="single" w:sz="4" w:space="0" w:color="000000"/>
              <w:bottom w:val="single" w:sz="4" w:space="0" w:color="000000"/>
            </w:tcBorders>
          </w:tcPr>
          <w:p>
            <w:pPr>
              <w:pStyle w:val="TableParagraph"/>
              <w:spacing w:before="79"/>
              <w:ind w:left="393"/>
              <w:rPr>
                <w:sz w:val="18"/>
              </w:rPr>
            </w:pPr>
            <w:r>
              <w:rPr>
                <w:sz w:val="18"/>
              </w:rPr>
              <w:t>重稀土</w:t>
            </w:r>
          </w:p>
        </w:tc>
        <w:tc>
          <w:tcPr>
            <w:tcW w:w="1753" w:type="dxa"/>
            <w:tcBorders>
              <w:top w:val="single" w:sz="4" w:space="0" w:color="000000"/>
              <w:bottom w:val="single" w:sz="4" w:space="0" w:color="000000"/>
            </w:tcBorders>
          </w:tcPr>
          <w:p>
            <w:pPr>
              <w:pStyle w:val="TableParagraph"/>
              <w:spacing w:before="79"/>
              <w:ind w:left="262" w:right="550"/>
              <w:jc w:val="center"/>
              <w:rPr>
                <w:sz w:val="18"/>
              </w:rPr>
            </w:pPr>
            <w:r>
              <w:rPr>
                <w:sz w:val="18"/>
              </w:rPr>
              <w:t>离子吸附矿</w:t>
            </w:r>
          </w:p>
        </w:tc>
        <w:tc>
          <w:tcPr>
            <w:tcW w:w="1278" w:type="dxa"/>
            <w:tcBorders>
              <w:top w:val="single" w:sz="4" w:space="0" w:color="000000"/>
              <w:bottom w:val="single" w:sz="4" w:space="0" w:color="000000"/>
            </w:tcBorders>
          </w:tcPr>
          <w:p>
            <w:pPr>
              <w:pStyle w:val="TableParagraph"/>
              <w:spacing w:before="79"/>
              <w:ind w:left="325" w:right="187"/>
              <w:jc w:val="center"/>
              <w:rPr>
                <w:sz w:val="18"/>
              </w:rPr>
            </w:pPr>
            <w:r>
              <w:rPr>
                <w:sz w:val="18"/>
              </w:rPr>
              <w:t>76</w:t>
            </w:r>
          </w:p>
        </w:tc>
        <w:tc>
          <w:tcPr>
            <w:tcW w:w="1418" w:type="dxa"/>
            <w:tcBorders>
              <w:top w:val="single" w:sz="4" w:space="0" w:color="000000"/>
              <w:bottom w:val="single" w:sz="4" w:space="0" w:color="000000"/>
            </w:tcBorders>
          </w:tcPr>
          <w:p>
            <w:pPr>
              <w:pStyle w:val="TableParagraph"/>
              <w:spacing w:before="79"/>
              <w:ind w:left="194" w:right="98"/>
              <w:jc w:val="center"/>
              <w:rPr>
                <w:sz w:val="18"/>
              </w:rPr>
            </w:pPr>
            <w:r>
              <w:rPr>
                <w:sz w:val="18"/>
              </w:rPr>
              <w:t>800</w:t>
            </w:r>
          </w:p>
        </w:tc>
      </w:tr>
      <w:tr>
        <w:tblPrEx>
          <w:tblW w:w="0" w:type="auto"/>
          <w:jc w:val="left"/>
          <w:tblInd w:w="2854" w:type="dxa"/>
          <w:tblLayout w:type="fixed"/>
          <w:tblCellMar>
            <w:top w:w="0" w:type="dxa"/>
            <w:left w:w="0" w:type="dxa"/>
            <w:bottom w:w="0" w:type="dxa"/>
            <w:right w:w="0" w:type="dxa"/>
          </w:tblCellMar>
          <w:tblLook w:val="01E0"/>
        </w:tblPrEx>
        <w:trPr>
          <w:trHeight w:val="388"/>
          <w:jc w:val="left"/>
        </w:trPr>
        <w:tc>
          <w:tcPr>
            <w:tcW w:w="1328" w:type="dxa"/>
            <w:tcBorders>
              <w:top w:val="single" w:sz="4" w:space="0" w:color="000000"/>
              <w:bottom w:val="single" w:sz="4" w:space="0" w:color="000000"/>
            </w:tcBorders>
          </w:tcPr>
          <w:p>
            <w:pPr>
              <w:pStyle w:val="TableParagraph"/>
              <w:spacing w:before="79"/>
              <w:ind w:left="373" w:right="374"/>
              <w:jc w:val="center"/>
              <w:rPr>
                <w:sz w:val="18"/>
              </w:rPr>
            </w:pPr>
            <w:r>
              <w:rPr>
                <w:sz w:val="18"/>
              </w:rPr>
              <w:t>广东</w:t>
            </w:r>
          </w:p>
        </w:tc>
        <w:tc>
          <w:tcPr>
            <w:tcW w:w="1663" w:type="dxa"/>
            <w:tcBorders>
              <w:top w:val="single" w:sz="4" w:space="0" w:color="000000"/>
              <w:bottom w:val="single" w:sz="4" w:space="0" w:color="000000"/>
            </w:tcBorders>
          </w:tcPr>
          <w:p>
            <w:pPr>
              <w:pStyle w:val="TableParagraph"/>
              <w:spacing w:before="79"/>
              <w:ind w:left="393"/>
              <w:rPr>
                <w:sz w:val="18"/>
              </w:rPr>
            </w:pPr>
            <w:r>
              <w:rPr>
                <w:sz w:val="18"/>
              </w:rPr>
              <w:t>重稀土</w:t>
            </w:r>
          </w:p>
        </w:tc>
        <w:tc>
          <w:tcPr>
            <w:tcW w:w="1753" w:type="dxa"/>
            <w:tcBorders>
              <w:top w:val="single" w:sz="4" w:space="0" w:color="000000"/>
              <w:bottom w:val="single" w:sz="4" w:space="0" w:color="000000"/>
            </w:tcBorders>
          </w:tcPr>
          <w:p>
            <w:pPr>
              <w:pStyle w:val="TableParagraph"/>
              <w:spacing w:before="79"/>
              <w:ind w:left="262" w:right="550"/>
              <w:jc w:val="center"/>
              <w:rPr>
                <w:sz w:val="18"/>
              </w:rPr>
            </w:pPr>
            <w:r>
              <w:rPr>
                <w:sz w:val="18"/>
              </w:rPr>
              <w:t>离子吸附矿</w:t>
            </w:r>
          </w:p>
        </w:tc>
        <w:tc>
          <w:tcPr>
            <w:tcW w:w="1278" w:type="dxa"/>
            <w:tcBorders>
              <w:top w:val="single" w:sz="4" w:space="0" w:color="000000"/>
              <w:bottom w:val="single" w:sz="4" w:space="0" w:color="000000"/>
            </w:tcBorders>
          </w:tcPr>
          <w:p>
            <w:pPr>
              <w:pStyle w:val="TableParagraph"/>
              <w:spacing w:before="79"/>
              <w:ind w:left="325" w:right="187"/>
              <w:jc w:val="center"/>
              <w:rPr>
                <w:sz w:val="18"/>
              </w:rPr>
            </w:pPr>
            <w:r>
              <w:rPr>
                <w:sz w:val="18"/>
              </w:rPr>
              <w:t>53</w:t>
            </w:r>
          </w:p>
        </w:tc>
        <w:tc>
          <w:tcPr>
            <w:tcW w:w="1418" w:type="dxa"/>
            <w:tcBorders>
              <w:top w:val="single" w:sz="4" w:space="0" w:color="000000"/>
              <w:bottom w:val="single" w:sz="4" w:space="0" w:color="000000"/>
            </w:tcBorders>
          </w:tcPr>
          <w:p>
            <w:pPr>
              <w:pStyle w:val="TableParagraph"/>
              <w:spacing w:before="79"/>
              <w:ind w:left="194" w:right="98"/>
              <w:jc w:val="center"/>
              <w:rPr>
                <w:sz w:val="18"/>
              </w:rPr>
            </w:pPr>
            <w:r>
              <w:rPr>
                <w:sz w:val="18"/>
              </w:rPr>
              <w:t>900</w:t>
            </w: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1328" w:type="dxa"/>
            <w:tcBorders>
              <w:top w:val="single" w:sz="4" w:space="0" w:color="000000"/>
              <w:bottom w:val="single" w:sz="4" w:space="0" w:color="000000"/>
            </w:tcBorders>
          </w:tcPr>
          <w:p>
            <w:pPr>
              <w:pStyle w:val="TableParagraph"/>
              <w:spacing w:before="81"/>
              <w:ind w:left="373" w:right="374"/>
              <w:jc w:val="center"/>
              <w:rPr>
                <w:sz w:val="18"/>
              </w:rPr>
            </w:pPr>
            <w:r>
              <w:rPr>
                <w:sz w:val="18"/>
              </w:rPr>
              <w:t>福建</w:t>
            </w:r>
          </w:p>
        </w:tc>
        <w:tc>
          <w:tcPr>
            <w:tcW w:w="1663" w:type="dxa"/>
            <w:tcBorders>
              <w:top w:val="single" w:sz="4" w:space="0" w:color="000000"/>
              <w:bottom w:val="single" w:sz="4" w:space="0" w:color="000000"/>
            </w:tcBorders>
          </w:tcPr>
          <w:p>
            <w:pPr>
              <w:pStyle w:val="TableParagraph"/>
              <w:spacing w:before="81"/>
              <w:ind w:left="393"/>
              <w:rPr>
                <w:sz w:val="18"/>
              </w:rPr>
            </w:pPr>
            <w:r>
              <w:rPr>
                <w:sz w:val="18"/>
              </w:rPr>
              <w:t>重稀土</w:t>
            </w:r>
          </w:p>
        </w:tc>
        <w:tc>
          <w:tcPr>
            <w:tcW w:w="1753" w:type="dxa"/>
            <w:tcBorders>
              <w:top w:val="single" w:sz="4" w:space="0" w:color="000000"/>
              <w:bottom w:val="single" w:sz="4" w:space="0" w:color="000000"/>
            </w:tcBorders>
          </w:tcPr>
          <w:p>
            <w:pPr>
              <w:pStyle w:val="TableParagraph"/>
              <w:spacing w:before="81"/>
              <w:ind w:left="262" w:right="550"/>
              <w:jc w:val="center"/>
              <w:rPr>
                <w:sz w:val="18"/>
              </w:rPr>
            </w:pPr>
            <w:r>
              <w:rPr>
                <w:sz w:val="18"/>
              </w:rPr>
              <w:t>离子吸附矿</w:t>
            </w:r>
          </w:p>
        </w:tc>
        <w:tc>
          <w:tcPr>
            <w:tcW w:w="1278" w:type="dxa"/>
            <w:tcBorders>
              <w:top w:val="single" w:sz="4" w:space="0" w:color="000000"/>
              <w:bottom w:val="single" w:sz="4" w:space="0" w:color="000000"/>
            </w:tcBorders>
          </w:tcPr>
          <w:p>
            <w:pPr>
              <w:pStyle w:val="TableParagraph"/>
              <w:spacing w:before="81"/>
              <w:ind w:left="132"/>
              <w:jc w:val="center"/>
              <w:rPr>
                <w:sz w:val="18"/>
              </w:rPr>
            </w:pPr>
            <w:r>
              <w:rPr>
                <w:sz w:val="18"/>
              </w:rPr>
              <w:t>2</w:t>
            </w:r>
          </w:p>
        </w:tc>
        <w:tc>
          <w:tcPr>
            <w:tcW w:w="1418" w:type="dxa"/>
            <w:tcBorders>
              <w:top w:val="single" w:sz="4" w:space="0" w:color="000000"/>
              <w:bottom w:val="single" w:sz="4" w:space="0" w:color="000000"/>
            </w:tcBorders>
          </w:tcPr>
          <w:p>
            <w:pPr>
              <w:pStyle w:val="TableParagraph"/>
              <w:spacing w:before="81"/>
              <w:ind w:left="194" w:right="98"/>
              <w:jc w:val="center"/>
              <w:rPr>
                <w:sz w:val="18"/>
              </w:rPr>
            </w:pPr>
            <w:r>
              <w:rPr>
                <w:sz w:val="18"/>
              </w:rPr>
              <w:t>400</w:t>
            </w:r>
          </w:p>
        </w:tc>
      </w:tr>
      <w:tr>
        <w:tblPrEx>
          <w:tblW w:w="0" w:type="auto"/>
          <w:jc w:val="left"/>
          <w:tblInd w:w="2854" w:type="dxa"/>
          <w:tblLayout w:type="fixed"/>
          <w:tblCellMar>
            <w:top w:w="0" w:type="dxa"/>
            <w:left w:w="0" w:type="dxa"/>
            <w:bottom w:w="0" w:type="dxa"/>
            <w:right w:w="0" w:type="dxa"/>
          </w:tblCellMar>
          <w:tblLook w:val="01E0"/>
        </w:tblPrEx>
        <w:trPr>
          <w:trHeight w:val="391"/>
          <w:jc w:val="left"/>
        </w:trPr>
        <w:tc>
          <w:tcPr>
            <w:tcW w:w="1328" w:type="dxa"/>
            <w:tcBorders>
              <w:top w:val="single" w:sz="4" w:space="0" w:color="000000"/>
              <w:bottom w:val="single" w:sz="4" w:space="0" w:color="000000"/>
            </w:tcBorders>
          </w:tcPr>
          <w:p>
            <w:pPr>
              <w:pStyle w:val="TableParagraph"/>
              <w:spacing w:before="79"/>
              <w:ind w:left="373" w:right="374"/>
              <w:jc w:val="center"/>
              <w:rPr>
                <w:sz w:val="18"/>
              </w:rPr>
            </w:pPr>
            <w:r>
              <w:rPr>
                <w:sz w:val="18"/>
              </w:rPr>
              <w:t>广西</w:t>
            </w:r>
          </w:p>
        </w:tc>
        <w:tc>
          <w:tcPr>
            <w:tcW w:w="1663" w:type="dxa"/>
            <w:tcBorders>
              <w:top w:val="single" w:sz="4" w:space="0" w:color="000000"/>
              <w:bottom w:val="single" w:sz="4" w:space="0" w:color="000000"/>
            </w:tcBorders>
          </w:tcPr>
          <w:p>
            <w:pPr>
              <w:pStyle w:val="TableParagraph"/>
              <w:spacing w:before="79"/>
              <w:ind w:left="393"/>
              <w:rPr>
                <w:sz w:val="18"/>
              </w:rPr>
            </w:pPr>
            <w:r>
              <w:rPr>
                <w:sz w:val="18"/>
              </w:rPr>
              <w:t>重稀土</w:t>
            </w:r>
          </w:p>
        </w:tc>
        <w:tc>
          <w:tcPr>
            <w:tcW w:w="1753" w:type="dxa"/>
            <w:tcBorders>
              <w:top w:val="single" w:sz="4" w:space="0" w:color="000000"/>
              <w:bottom w:val="single" w:sz="4" w:space="0" w:color="000000"/>
            </w:tcBorders>
          </w:tcPr>
          <w:p>
            <w:pPr>
              <w:pStyle w:val="TableParagraph"/>
              <w:spacing w:before="79"/>
              <w:ind w:left="262" w:right="550"/>
              <w:jc w:val="center"/>
              <w:rPr>
                <w:sz w:val="18"/>
              </w:rPr>
            </w:pPr>
            <w:r>
              <w:rPr>
                <w:sz w:val="18"/>
              </w:rPr>
              <w:t>离子吸附矿</w:t>
            </w:r>
          </w:p>
        </w:tc>
        <w:tc>
          <w:tcPr>
            <w:tcW w:w="1278" w:type="dxa"/>
            <w:tcBorders>
              <w:top w:val="single" w:sz="4" w:space="0" w:color="000000"/>
              <w:bottom w:val="single" w:sz="4" w:space="0" w:color="000000"/>
            </w:tcBorders>
          </w:tcPr>
          <w:p>
            <w:pPr>
              <w:pStyle w:val="TableParagraph"/>
              <w:spacing w:before="79"/>
              <w:ind w:left="325" w:right="187"/>
              <w:jc w:val="center"/>
              <w:rPr>
                <w:sz w:val="18"/>
              </w:rPr>
            </w:pPr>
            <w:r>
              <w:rPr>
                <w:sz w:val="18"/>
              </w:rPr>
              <w:t>110</w:t>
            </w:r>
          </w:p>
        </w:tc>
        <w:tc>
          <w:tcPr>
            <w:tcW w:w="1418" w:type="dxa"/>
            <w:tcBorders>
              <w:top w:val="single" w:sz="4" w:space="0" w:color="000000"/>
              <w:bottom w:val="single" w:sz="4" w:space="0" w:color="000000"/>
            </w:tcBorders>
          </w:tcPr>
          <w:p>
            <w:pPr>
              <w:pStyle w:val="TableParagraph"/>
              <w:spacing w:before="79"/>
              <w:ind w:left="194" w:right="98"/>
              <w:jc w:val="center"/>
              <w:rPr>
                <w:sz w:val="18"/>
              </w:rPr>
            </w:pPr>
            <w:r>
              <w:rPr>
                <w:sz w:val="18"/>
              </w:rPr>
              <w:t>678</w:t>
            </w:r>
          </w:p>
        </w:tc>
      </w:tr>
      <w:tr>
        <w:tblPrEx>
          <w:tblW w:w="0" w:type="auto"/>
          <w:jc w:val="left"/>
          <w:tblInd w:w="2854" w:type="dxa"/>
          <w:tblLayout w:type="fixed"/>
          <w:tblCellMar>
            <w:top w:w="0" w:type="dxa"/>
            <w:left w:w="0" w:type="dxa"/>
            <w:bottom w:w="0" w:type="dxa"/>
            <w:right w:w="0" w:type="dxa"/>
          </w:tblCellMar>
          <w:tblLook w:val="01E0"/>
        </w:tblPrEx>
        <w:trPr>
          <w:trHeight w:val="388"/>
          <w:jc w:val="left"/>
        </w:trPr>
        <w:tc>
          <w:tcPr>
            <w:tcW w:w="1328" w:type="dxa"/>
            <w:tcBorders>
              <w:top w:val="single" w:sz="4" w:space="0" w:color="000000"/>
            </w:tcBorders>
          </w:tcPr>
          <w:p>
            <w:pPr>
              <w:pStyle w:val="TableParagraph"/>
              <w:spacing w:before="79"/>
              <w:ind w:left="373" w:right="374"/>
              <w:jc w:val="center"/>
              <w:rPr>
                <w:sz w:val="18"/>
              </w:rPr>
            </w:pPr>
            <w:r>
              <w:rPr>
                <w:sz w:val="18"/>
              </w:rPr>
              <w:t>湖南</w:t>
            </w:r>
          </w:p>
        </w:tc>
        <w:tc>
          <w:tcPr>
            <w:tcW w:w="1663" w:type="dxa"/>
            <w:tcBorders>
              <w:top w:val="single" w:sz="4" w:space="0" w:color="000000"/>
            </w:tcBorders>
          </w:tcPr>
          <w:p>
            <w:pPr>
              <w:pStyle w:val="TableParagraph"/>
              <w:spacing w:before="79"/>
              <w:ind w:left="393"/>
              <w:rPr>
                <w:sz w:val="18"/>
              </w:rPr>
            </w:pPr>
            <w:r>
              <w:rPr>
                <w:sz w:val="18"/>
              </w:rPr>
              <w:t>重稀土</w:t>
            </w:r>
          </w:p>
        </w:tc>
        <w:tc>
          <w:tcPr>
            <w:tcW w:w="1753" w:type="dxa"/>
            <w:tcBorders>
              <w:top w:val="single" w:sz="4" w:space="0" w:color="000000"/>
            </w:tcBorders>
          </w:tcPr>
          <w:p>
            <w:pPr>
              <w:pStyle w:val="TableParagraph"/>
              <w:spacing w:before="79"/>
              <w:ind w:left="262" w:right="550"/>
              <w:jc w:val="center"/>
              <w:rPr>
                <w:sz w:val="18"/>
              </w:rPr>
            </w:pPr>
            <w:r>
              <w:rPr>
                <w:sz w:val="18"/>
              </w:rPr>
              <w:t>离子吸附矿</w:t>
            </w:r>
          </w:p>
        </w:tc>
        <w:tc>
          <w:tcPr>
            <w:tcW w:w="1278" w:type="dxa"/>
            <w:tcBorders>
              <w:top w:val="single" w:sz="4" w:space="0" w:color="000000"/>
            </w:tcBorders>
          </w:tcPr>
          <w:p>
            <w:pPr>
              <w:pStyle w:val="TableParagraph"/>
              <w:spacing w:before="79"/>
              <w:ind w:left="325" w:right="187"/>
              <w:jc w:val="center"/>
              <w:rPr>
                <w:sz w:val="18"/>
              </w:rPr>
            </w:pPr>
            <w:r>
              <w:rPr>
                <w:sz w:val="18"/>
              </w:rPr>
              <w:t>64</w:t>
            </w:r>
          </w:p>
        </w:tc>
        <w:tc>
          <w:tcPr>
            <w:tcW w:w="1418" w:type="dxa"/>
            <w:tcBorders>
              <w:top w:val="single" w:sz="4" w:space="0" w:color="000000"/>
            </w:tcBorders>
          </w:tcPr>
          <w:p>
            <w:pPr>
              <w:pStyle w:val="TableParagraph"/>
              <w:spacing w:before="79"/>
              <w:ind w:left="194" w:right="98"/>
              <w:jc w:val="center"/>
              <w:rPr>
                <w:sz w:val="18"/>
              </w:rPr>
            </w:pPr>
            <w:r>
              <w:rPr>
                <w:sz w:val="18"/>
              </w:rPr>
              <w:t>169</w:t>
            </w: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1328" w:type="dxa"/>
            <w:shd w:val="clear" w:color="auto" w:fill="E7E6E6"/>
          </w:tcPr>
          <w:p>
            <w:pPr>
              <w:pStyle w:val="TableParagraph"/>
              <w:rPr>
                <w:rFonts w:ascii="Times New Roman"/>
                <w:sz w:val="18"/>
              </w:rPr>
            </w:pPr>
          </w:p>
        </w:tc>
        <w:tc>
          <w:tcPr>
            <w:tcW w:w="1663" w:type="dxa"/>
            <w:shd w:val="clear" w:color="auto" w:fill="E7E6E6"/>
          </w:tcPr>
          <w:p>
            <w:pPr>
              <w:pStyle w:val="TableParagraph"/>
              <w:spacing w:before="79"/>
              <w:ind w:left="614"/>
              <w:rPr>
                <w:b/>
                <w:sz w:val="18"/>
              </w:rPr>
            </w:pPr>
            <w:r>
              <w:rPr>
                <w:b/>
                <w:sz w:val="18"/>
              </w:rPr>
              <w:t>重稀土合计</w:t>
            </w:r>
          </w:p>
        </w:tc>
        <w:tc>
          <w:tcPr>
            <w:tcW w:w="1753" w:type="dxa"/>
            <w:shd w:val="clear" w:color="auto" w:fill="E7E6E6"/>
          </w:tcPr>
          <w:p>
            <w:pPr>
              <w:pStyle w:val="TableParagraph"/>
              <w:rPr>
                <w:rFonts w:ascii="Times New Roman"/>
                <w:sz w:val="18"/>
              </w:rPr>
            </w:pPr>
          </w:p>
        </w:tc>
        <w:tc>
          <w:tcPr>
            <w:tcW w:w="1278" w:type="dxa"/>
            <w:shd w:val="clear" w:color="auto" w:fill="E7E6E6"/>
          </w:tcPr>
          <w:p>
            <w:pPr>
              <w:pStyle w:val="TableParagraph"/>
              <w:spacing w:before="79"/>
              <w:ind w:left="325" w:right="187"/>
              <w:jc w:val="center"/>
              <w:rPr>
                <w:b/>
                <w:sz w:val="18"/>
              </w:rPr>
            </w:pPr>
            <w:r>
              <w:rPr>
                <w:b/>
                <w:sz w:val="18"/>
              </w:rPr>
              <w:t>305</w:t>
            </w:r>
          </w:p>
        </w:tc>
        <w:tc>
          <w:tcPr>
            <w:tcW w:w="1418" w:type="dxa"/>
            <w:shd w:val="clear" w:color="auto" w:fill="E7E6E6"/>
          </w:tcPr>
          <w:p>
            <w:pPr>
              <w:pStyle w:val="TableParagraph"/>
              <w:spacing w:before="79"/>
              <w:ind w:left="194" w:right="98"/>
              <w:jc w:val="center"/>
              <w:rPr>
                <w:b/>
                <w:sz w:val="18"/>
              </w:rPr>
            </w:pPr>
            <w:r>
              <w:rPr>
                <w:b/>
                <w:sz w:val="18"/>
              </w:rPr>
              <w:t>2,947</w:t>
            </w:r>
          </w:p>
        </w:tc>
      </w:tr>
      <w:tr>
        <w:tblPrEx>
          <w:tblW w:w="0" w:type="auto"/>
          <w:jc w:val="left"/>
          <w:tblInd w:w="2854" w:type="dxa"/>
          <w:tblLayout w:type="fixed"/>
          <w:tblCellMar>
            <w:top w:w="0" w:type="dxa"/>
            <w:left w:w="0" w:type="dxa"/>
            <w:bottom w:w="0" w:type="dxa"/>
            <w:right w:w="0" w:type="dxa"/>
          </w:tblCellMar>
          <w:tblLook w:val="01E0"/>
        </w:tblPrEx>
        <w:trPr>
          <w:trHeight w:val="394"/>
          <w:jc w:val="left"/>
        </w:trPr>
        <w:tc>
          <w:tcPr>
            <w:tcW w:w="1328" w:type="dxa"/>
            <w:shd w:val="clear" w:color="auto" w:fill="E7E6E6"/>
          </w:tcPr>
          <w:p>
            <w:pPr>
              <w:pStyle w:val="TableParagraph"/>
              <w:rPr>
                <w:rFonts w:ascii="Times New Roman"/>
                <w:sz w:val="18"/>
              </w:rPr>
            </w:pPr>
          </w:p>
        </w:tc>
        <w:tc>
          <w:tcPr>
            <w:tcW w:w="1663" w:type="dxa"/>
            <w:shd w:val="clear" w:color="auto" w:fill="E7E6E6"/>
          </w:tcPr>
          <w:p>
            <w:pPr>
              <w:pStyle w:val="TableParagraph"/>
              <w:spacing w:before="80"/>
              <w:ind w:left="522"/>
              <w:rPr>
                <w:b/>
                <w:sz w:val="18"/>
              </w:rPr>
            </w:pPr>
            <w:r>
              <w:rPr>
                <w:b/>
                <w:sz w:val="18"/>
              </w:rPr>
              <w:t>轻重稀土合计</w:t>
            </w:r>
          </w:p>
        </w:tc>
        <w:tc>
          <w:tcPr>
            <w:tcW w:w="1753" w:type="dxa"/>
            <w:shd w:val="clear" w:color="auto" w:fill="E7E6E6"/>
          </w:tcPr>
          <w:p>
            <w:pPr>
              <w:pStyle w:val="TableParagraph"/>
              <w:rPr>
                <w:rFonts w:ascii="Times New Roman"/>
                <w:sz w:val="18"/>
              </w:rPr>
            </w:pPr>
          </w:p>
        </w:tc>
        <w:tc>
          <w:tcPr>
            <w:tcW w:w="1278" w:type="dxa"/>
            <w:shd w:val="clear" w:color="auto" w:fill="E7E6E6"/>
          </w:tcPr>
          <w:p>
            <w:pPr>
              <w:pStyle w:val="TableParagraph"/>
              <w:spacing w:before="80"/>
              <w:ind w:left="325" w:right="189"/>
              <w:jc w:val="center"/>
              <w:rPr>
                <w:b/>
                <w:sz w:val="18"/>
              </w:rPr>
            </w:pPr>
            <w:r>
              <w:rPr>
                <w:b/>
                <w:sz w:val="18"/>
              </w:rPr>
              <w:t>3,157</w:t>
            </w:r>
          </w:p>
        </w:tc>
        <w:tc>
          <w:tcPr>
            <w:tcW w:w="1418" w:type="dxa"/>
            <w:shd w:val="clear" w:color="auto" w:fill="E7E6E6"/>
          </w:tcPr>
          <w:p>
            <w:pPr>
              <w:pStyle w:val="TableParagraph"/>
              <w:spacing w:before="80"/>
              <w:ind w:left="194" w:right="98"/>
              <w:jc w:val="center"/>
              <w:rPr>
                <w:b/>
                <w:sz w:val="18"/>
              </w:rPr>
            </w:pPr>
            <w:r>
              <w:rPr>
                <w:b/>
                <w:sz w:val="18"/>
              </w:rPr>
              <w:t>11,187</w:t>
            </w:r>
          </w:p>
        </w:tc>
      </w:tr>
    </w:tbl>
    <w:p>
      <w:pPr>
        <w:pStyle w:val="BodyText"/>
        <w:spacing w:line="20" w:lineRule="exact"/>
        <w:ind w:left="2733"/>
        <w:rPr>
          <w:sz w:val="2"/>
        </w:rPr>
      </w:pPr>
      <w:r>
        <w:rPr>
          <w:sz w:val="2"/>
        </w:rPr>
        <w:pict>
          <v:group id="_x0000_i1285" style="width:383pt;height:0.5pt;mso-position-horizontal-relative:char;mso-position-vertical-relative:line" coordorigin="0,0" coordsize="7660,10">
            <v:line id="_x0000_s1286" style="position:absolute" from="0,5" to="7660,5" stroked="t" strokecolor="#013e96" strokeweight="0.48pt">
              <v:stroke dashstyle="solid"/>
            </v:line>
            <w10:wrap type="none"/>
          </v:group>
        </w:pict>
      </w:r>
    </w:p>
    <w:p>
      <w:pPr>
        <w:spacing w:before="86" w:line="484" w:lineRule="auto"/>
        <w:ind w:left="2846" w:right="513" w:firstLine="0"/>
        <w:jc w:val="left"/>
        <w:rPr>
          <w:sz w:val="15"/>
        </w:rPr>
        <w:sectPr>
          <w:headerReference w:type="default" r:id="rId61"/>
          <w:footerReference w:type="default" r:id="rId62"/>
          <w:pgSz w:w="11910" w:h="16840"/>
          <w:pgMar w:top="1360" w:right="520" w:bottom="660" w:left="660" w:header="708" w:footer="708"/>
          <w:pgNumType w:start="25"/>
          <w:cols w:space="708"/>
        </w:sectPr>
      </w:pPr>
      <w:r>
        <w:t>数据来源：中国稀土协会， 。注：USGS 数据准确性较差，中国稀土储量以中国稀土协会公布数据为准</w:t>
      </w:r>
    </w:p>
    <w:p>
      <w:pPr>
        <w:spacing w:before="122"/>
        <w:ind w:left="3135" w:right="0" w:firstLine="0"/>
        <w:jc w:val="left"/>
        <w:rPr>
          <w:b/>
          <w:sz w:val="21"/>
        </w:rPr>
      </w:pPr>
      <w:r>
        <w:rPr>
          <w:b/>
          <w:sz w:val="21"/>
        </w:rPr>
        <w:t xml:space="preserve">包头鄂博轻稀土矿分别占中国稀土储量和全球稀土储量的 </w:t>
      </w:r>
      <w:r>
        <w:rPr>
          <w:rFonts w:ascii="Arial" w:eastAsia="Arial"/>
          <w:b/>
          <w:sz w:val="21"/>
        </w:rPr>
        <w:t>81%</w:t>
      </w:r>
      <w:r>
        <w:rPr>
          <w:b/>
          <w:sz w:val="21"/>
        </w:rPr>
        <w:t xml:space="preserve">和 </w:t>
      </w:r>
      <w:r>
        <w:rPr>
          <w:rFonts w:ascii="Arial" w:eastAsia="Arial"/>
          <w:b/>
          <w:sz w:val="21"/>
        </w:rPr>
        <w:t>38%</w:t>
      </w:r>
      <w:r>
        <w:rPr>
          <w:b/>
          <w:sz w:val="21"/>
        </w:rPr>
        <w:t>，可充分</w:t>
      </w:r>
    </w:p>
    <w:p>
      <w:pPr>
        <w:spacing w:after="0"/>
        <w:jc w:val="left"/>
        <w:rPr>
          <w:sz w:val="21"/>
        </w:rPr>
        <w:sectPr>
          <w:headerReference w:type="default" r:id="rId63"/>
          <w:footerReference w:type="default" r:id="rId64"/>
          <w:type w:val="nextPage"/>
          <w:pgSz w:w="11910" w:h="16840"/>
          <w:pgMar w:top="1360" w:right="520" w:bottom="660" w:left="660" w:header="708" w:footer="708"/>
          <w:pgNumType w:start="26"/>
          <w:cols w:space="708"/>
          <w:titlePg w:val="0"/>
        </w:sectPr>
      </w:pPr>
    </w:p>
    <w:p>
      <w:pPr>
        <w:pStyle w:val="BodyText"/>
        <w:spacing w:before="100" w:line="348" w:lineRule="auto"/>
        <w:ind w:left="2712" w:right="217"/>
      </w:pPr>
      <w:r>
        <w:pict>
          <v:shape id="_x0000_s1287" type="#_x0000_t202" style="width:60pt;height:12pt;margin-top:36.85pt;margin-left:488.98pt;mso-position-horizontal-relative:page;mso-position-vertical-relative:page;position:absolute;z-index:-251588608" filled="f" stroked="f">
            <v:textbox inset="0,0,0,0">
              <w:txbxContent>
                <w:p>
                  <w:pPr>
                    <w:spacing w:before="0" w:line="240" w:lineRule="exact"/>
                    <w:ind w:left="0" w:right="0" w:firstLine="0"/>
                    <w:jc w:val="left"/>
                    <w:rPr>
                      <w:sz w:val="24"/>
                    </w:rPr>
                  </w:pPr>
                  <w:r>
                    <w:rPr>
                      <w:sz w:val="24"/>
                    </w:rPr>
                    <w:t>丨公司名称</w:t>
                  </w:r>
                </w:p>
              </w:txbxContent>
            </v:textbox>
          </v:shape>
        </w:pict>
      </w:r>
      <w:r>
        <w:rPr>
          <w:b/>
          <w:spacing w:val="-6"/>
        </w:rPr>
        <w:t>满足后续国家下达的指标增长要求。</w:t>
      </w:r>
      <w:r>
        <w:rPr>
          <w:spacing w:val="-6"/>
        </w:rPr>
        <w:t>白云鄂博稀土矿坐落于内蒙古包头，是中国稀土</w:t>
      </w:r>
      <w:r>
        <w:rPr>
          <w:spacing w:val="-11"/>
        </w:rPr>
        <w:t>储量大、类型特殊的特大型稀土、铁、铌、钍等多金属复杂共生矿，不仅是钢铁原料</w:t>
      </w:r>
      <w:r>
        <w:rPr>
          <w:spacing w:val="-8"/>
        </w:rPr>
        <w:t xml:space="preserve">产地，也是世界大型的优质稀土矿床。白云鄂博已探明稀土资源量约 </w:t>
      </w:r>
      <w:r>
        <w:rPr>
          <w:rFonts w:ascii="Arial" w:eastAsia="Arial" w:hAnsi="Arial"/>
        </w:rPr>
        <w:t xml:space="preserve">10,000 </w:t>
      </w:r>
      <w:r>
        <w:t xml:space="preserve">万吨， </w:t>
      </w:r>
      <w:r>
        <w:rPr>
          <w:spacing w:val="-7"/>
        </w:rPr>
        <w:t xml:space="preserve">占世界已探明储量的 </w:t>
      </w:r>
      <w:r>
        <w:rPr>
          <w:rFonts w:ascii="Arial" w:eastAsia="Arial" w:hAnsi="Arial"/>
          <w:spacing w:val="-11"/>
        </w:rPr>
        <w:t>77%</w:t>
      </w:r>
      <w:r>
        <w:rPr>
          <w:spacing w:val="-8"/>
        </w:rPr>
        <w:t>，平均含稀土氧化物</w:t>
      </w:r>
      <w:r>
        <w:rPr>
          <w:spacing w:val="-9"/>
        </w:rPr>
        <w:t>（</w:t>
      </w:r>
      <w:r>
        <w:rPr>
          <w:rFonts w:ascii="Arial" w:eastAsia="Arial" w:hAnsi="Arial"/>
          <w:spacing w:val="-9"/>
        </w:rPr>
        <w:t>REO</w:t>
      </w:r>
      <w:r>
        <w:rPr>
          <w:spacing w:val="-9"/>
        </w:rPr>
        <w:t>）</w:t>
      </w:r>
      <w:r>
        <w:rPr>
          <w:rFonts w:ascii="Arial" w:eastAsia="Arial" w:hAnsi="Arial"/>
          <w:spacing w:val="-9"/>
        </w:rPr>
        <w:t>3%</w:t>
      </w:r>
      <w:r>
        <w:rPr>
          <w:spacing w:val="-9"/>
        </w:rPr>
        <w:t>～</w:t>
      </w:r>
      <w:r>
        <w:rPr>
          <w:rFonts w:ascii="Arial" w:eastAsia="Arial" w:hAnsi="Arial"/>
          <w:spacing w:val="-9"/>
        </w:rPr>
        <w:t>5%</w:t>
      </w:r>
      <w:r>
        <w:rPr>
          <w:spacing w:val="-4"/>
        </w:rPr>
        <w:t>，预测全区稀土资源</w:t>
      </w:r>
      <w:r>
        <w:rPr>
          <w:spacing w:val="-9"/>
        </w:rPr>
        <w:t xml:space="preserve">远景储量超过 </w:t>
      </w:r>
      <w:r>
        <w:rPr>
          <w:rFonts w:ascii="Arial" w:eastAsia="Arial" w:hAnsi="Arial"/>
        </w:rPr>
        <w:t xml:space="preserve">13,500 </w:t>
      </w:r>
      <w:r>
        <w:rPr>
          <w:spacing w:val="-3"/>
        </w:rPr>
        <w:t>万吨。白云鄂博稀土矿与铁共生，主要稀土矿物有氟碳铈矿和</w:t>
      </w:r>
      <w:r>
        <w:rPr>
          <w:spacing w:val="-8"/>
        </w:rPr>
        <w:t xml:space="preserve">独居石，其比例为 </w:t>
      </w:r>
      <w:r>
        <w:rPr>
          <w:rFonts w:ascii="Arial" w:eastAsia="Arial" w:hAnsi="Arial"/>
          <w:spacing w:val="-3"/>
        </w:rPr>
        <w:t>3</w:t>
      </w:r>
      <w:r>
        <w:rPr>
          <w:spacing w:val="-3"/>
        </w:rPr>
        <w:t>∶</w:t>
      </w:r>
      <w:r>
        <w:rPr>
          <w:rFonts w:ascii="Arial" w:eastAsia="Arial" w:hAnsi="Arial"/>
          <w:spacing w:val="-3"/>
        </w:rPr>
        <w:t>1</w:t>
      </w:r>
      <w:r>
        <w:rPr>
          <w:spacing w:val="-6"/>
        </w:rPr>
        <w:t xml:space="preserve">，都达到了稀土回收品位，稀土总储量 </w:t>
      </w:r>
      <w:r>
        <w:rPr>
          <w:rFonts w:ascii="Arial" w:eastAsia="Arial" w:hAnsi="Arial"/>
        </w:rPr>
        <w:t xml:space="preserve">REO </w:t>
      </w:r>
      <w:r>
        <w:rPr>
          <w:spacing w:val="-22"/>
        </w:rPr>
        <w:t xml:space="preserve">为 </w:t>
      </w:r>
      <w:r>
        <w:rPr>
          <w:rFonts w:ascii="Arial" w:eastAsia="Arial" w:hAnsi="Arial"/>
        </w:rPr>
        <w:t xml:space="preserve">3,500 </w:t>
      </w:r>
      <w:r>
        <w:rPr>
          <w:spacing w:val="-2"/>
        </w:rPr>
        <w:t xml:space="preserve">万吨， </w:t>
      </w:r>
      <w:r>
        <w:rPr>
          <w:spacing w:val="-7"/>
        </w:rPr>
        <w:t xml:space="preserve">约占全国稀土储量的 </w:t>
      </w:r>
      <w:r>
        <w:rPr>
          <w:rFonts w:ascii="Arial" w:eastAsia="Arial" w:hAnsi="Arial"/>
        </w:rPr>
        <w:t>81%</w:t>
      </w:r>
      <w:r>
        <w:rPr>
          <w:spacing w:val="-7"/>
        </w:rPr>
        <w:t xml:space="preserve">，世界储量的 </w:t>
      </w:r>
      <w:r>
        <w:rPr>
          <w:rFonts w:ascii="Arial" w:eastAsia="Arial" w:hAnsi="Arial"/>
        </w:rPr>
        <w:t>38%</w:t>
      </w:r>
      <w:r>
        <w:rPr>
          <w:spacing w:val="-3"/>
        </w:rPr>
        <w:t>，稀土储量居世界前列，铌、钍储量居</w:t>
      </w:r>
      <w:r>
        <w:rPr>
          <w:spacing w:val="-6"/>
        </w:rPr>
        <w:t xml:space="preserve">世界第二位；尾矿稀土资源储量高达 </w:t>
      </w:r>
      <w:r>
        <w:rPr>
          <w:rFonts w:ascii="Arial" w:eastAsia="Arial" w:hAnsi="Arial"/>
        </w:rPr>
        <w:t xml:space="preserve">1382 </w:t>
      </w:r>
      <w:r>
        <w:rPr>
          <w:spacing w:val="-3"/>
        </w:rPr>
        <w:t>万吨，品位高于原矿品位。</w:t>
      </w:r>
    </w:p>
    <w:p>
      <w:pPr>
        <w:spacing w:before="145"/>
        <w:ind w:left="2846" w:right="0" w:firstLine="0"/>
        <w:jc w:val="left"/>
        <w:rPr>
          <w:b/>
          <w:i/>
          <w:sz w:val="22"/>
        </w:rPr>
      </w:pPr>
      <w:r>
        <w:pict>
          <v:group id="_x0000_s1288" style="width:383.75pt;height:1pt;margin-top:26.29pt;margin-left:169.22pt;mso-position-horizontal-relative:page;position:absolute;z-index:251732992" coordorigin="3384,526" coordsize="7675,20">
            <v:line id="_x0000_s1289" style="position:absolute" from="3399,540" to="11059,540" stroked="t" strokecolor="#013e96" strokeweight="0.48pt">
              <v:stroke dashstyle="solid"/>
            </v:line>
            <v:line id="_x0000_s1290" style="position:absolute" from="3384,531" to="11049,531" stroked="t" strokecolor="#013e96" strokeweight="0.48pt">
              <v:stroke dashstyle="solid"/>
            </v:line>
          </v:group>
        </w:pict>
      </w:r>
      <w:r>
        <w:rPr>
          <w:b/>
          <w:i/>
          <w:sz w:val="22"/>
        </w:rPr>
        <w:t xml:space="preserve">图表 </w:t>
      </w:r>
      <w:r>
        <w:rPr>
          <w:rFonts w:ascii="Arial" w:eastAsia="Arial"/>
          <w:b/>
          <w:i/>
          <w:sz w:val="21"/>
        </w:rPr>
        <w:t>13</w:t>
      </w:r>
      <w:r>
        <w:rPr>
          <w:b/>
          <w:i/>
          <w:sz w:val="22"/>
        </w:rPr>
        <w:t>：包头白云鄂博稀土矿稀土元素实际配分数据</w:t>
      </w:r>
    </w:p>
    <w:p>
      <w:pPr>
        <w:pStyle w:val="BodyText"/>
        <w:spacing w:before="6"/>
        <w:rPr>
          <w:b/>
          <w:i/>
          <w:sz w:val="8"/>
        </w:rPr>
      </w:pPr>
    </w:p>
    <w:tbl>
      <w:tblPr>
        <w:tblStyle w:val="TableNormal4"/>
        <w:tblW w:w="0" w:type="auto"/>
        <w:jc w:val="left"/>
        <w:tblInd w:w="2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81"/>
        <w:gridCol w:w="1940"/>
        <w:gridCol w:w="1860"/>
        <w:gridCol w:w="1859"/>
      </w:tblGrid>
      <w:tr>
        <w:tblPrEx>
          <w:tblW w:w="0" w:type="auto"/>
          <w:jc w:val="left"/>
          <w:tblInd w:w="2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8"/>
          <w:jc w:val="left"/>
        </w:trPr>
        <w:tc>
          <w:tcPr>
            <w:tcW w:w="1781" w:type="dxa"/>
            <w:shd w:val="clear" w:color="auto" w:fill="4471C4"/>
          </w:tcPr>
          <w:p>
            <w:pPr>
              <w:pStyle w:val="TableParagraph"/>
              <w:rPr>
                <w:rFonts w:ascii="Times New Roman"/>
                <w:sz w:val="18"/>
              </w:rPr>
            </w:pPr>
          </w:p>
        </w:tc>
        <w:tc>
          <w:tcPr>
            <w:tcW w:w="1940" w:type="dxa"/>
            <w:shd w:val="clear" w:color="auto" w:fill="4471C4"/>
          </w:tcPr>
          <w:p>
            <w:pPr>
              <w:pStyle w:val="TableParagraph"/>
              <w:spacing w:before="89"/>
              <w:ind w:left="406" w:right="324"/>
              <w:jc w:val="center"/>
              <w:rPr>
                <w:sz w:val="18"/>
              </w:rPr>
            </w:pPr>
            <w:r>
              <w:rPr>
                <w:color w:val="FFFFFF"/>
                <w:sz w:val="18"/>
              </w:rPr>
              <w:t>2022 年 10 月</w:t>
            </w:r>
          </w:p>
        </w:tc>
        <w:tc>
          <w:tcPr>
            <w:tcW w:w="1860" w:type="dxa"/>
            <w:shd w:val="clear" w:color="auto" w:fill="4471C4"/>
          </w:tcPr>
          <w:p>
            <w:pPr>
              <w:pStyle w:val="TableParagraph"/>
              <w:spacing w:before="89"/>
              <w:ind w:left="326" w:right="324"/>
              <w:jc w:val="center"/>
              <w:rPr>
                <w:sz w:val="18"/>
              </w:rPr>
            </w:pPr>
            <w:r>
              <w:rPr>
                <w:color w:val="FFFFFF"/>
                <w:sz w:val="18"/>
              </w:rPr>
              <w:t>2022 年 11 月</w:t>
            </w:r>
          </w:p>
        </w:tc>
        <w:tc>
          <w:tcPr>
            <w:tcW w:w="1859" w:type="dxa"/>
            <w:shd w:val="clear" w:color="auto" w:fill="4471C4"/>
          </w:tcPr>
          <w:p>
            <w:pPr>
              <w:pStyle w:val="TableParagraph"/>
              <w:spacing w:before="89"/>
              <w:ind w:left="326" w:right="322"/>
              <w:jc w:val="center"/>
              <w:rPr>
                <w:sz w:val="18"/>
              </w:rPr>
            </w:pPr>
            <w:r>
              <w:rPr>
                <w:color w:val="FFFFFF"/>
                <w:sz w:val="18"/>
              </w:rPr>
              <w:t>2022 年 12 月</w:t>
            </w: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1781" w:type="dxa"/>
          </w:tcPr>
          <w:p>
            <w:pPr>
              <w:pStyle w:val="TableParagraph"/>
              <w:spacing w:before="79"/>
              <w:ind w:left="549" w:right="469"/>
              <w:jc w:val="center"/>
              <w:rPr>
                <w:sz w:val="18"/>
              </w:rPr>
            </w:pPr>
            <w:r>
              <w:rPr>
                <w:sz w:val="18"/>
              </w:rPr>
              <w:t>氧化铽</w:t>
            </w:r>
          </w:p>
        </w:tc>
        <w:tc>
          <w:tcPr>
            <w:tcW w:w="1940" w:type="dxa"/>
          </w:tcPr>
          <w:p>
            <w:pPr>
              <w:pStyle w:val="TableParagraph"/>
              <w:spacing w:before="79"/>
              <w:ind w:left="395" w:right="324"/>
              <w:jc w:val="center"/>
              <w:rPr>
                <w:sz w:val="18"/>
              </w:rPr>
            </w:pPr>
            <w:r>
              <w:rPr>
                <w:sz w:val="18"/>
              </w:rPr>
              <w:t xml:space="preserve">0.03 </w:t>
            </w:r>
            <w:r>
              <w:rPr>
                <w:spacing w:val="1"/>
                <w:sz w:val="18"/>
              </w:rPr>
              <w:drawing>
                <wp:inline distT="0" distB="0" distL="0" distR="0">
                  <wp:extent cx="53435" cy="81724"/>
                  <wp:effectExtent l="0" t="0" r="0" b="0"/>
                  <wp:docPr id="3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inline>
              </w:drawing>
            </w:r>
          </w:p>
        </w:tc>
        <w:tc>
          <w:tcPr>
            <w:tcW w:w="1860" w:type="dxa"/>
          </w:tcPr>
          <w:p>
            <w:pPr>
              <w:pStyle w:val="TableParagraph"/>
              <w:spacing w:before="79"/>
              <w:ind w:left="319" w:right="324"/>
              <w:jc w:val="center"/>
              <w:rPr>
                <w:sz w:val="18"/>
              </w:rPr>
            </w:pPr>
            <w:r>
              <w:rPr>
                <w:sz w:val="18"/>
              </w:rPr>
              <w:t xml:space="preserve">0.02 </w:t>
            </w:r>
            <w:r>
              <w:rPr>
                <w:spacing w:val="1"/>
                <w:sz w:val="18"/>
              </w:rPr>
              <w:drawing>
                <wp:inline distT="0" distB="0" distL="0" distR="0">
                  <wp:extent cx="53435" cy="81724"/>
                  <wp:effectExtent l="0" t="0" r="0" b="0"/>
                  <wp:docPr id="3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inline>
              </w:drawing>
            </w:r>
          </w:p>
        </w:tc>
        <w:tc>
          <w:tcPr>
            <w:tcW w:w="1859" w:type="dxa"/>
          </w:tcPr>
          <w:p>
            <w:pPr>
              <w:pStyle w:val="TableParagraph"/>
              <w:spacing w:before="79"/>
              <w:ind w:left="319" w:right="322"/>
              <w:jc w:val="center"/>
              <w:rPr>
                <w:sz w:val="18"/>
              </w:rPr>
            </w:pPr>
            <w:r>
              <w:rPr>
                <w:sz w:val="18"/>
              </w:rPr>
              <w:t xml:space="preserve">0.02 </w:t>
            </w:r>
            <w:r>
              <w:rPr>
                <w:spacing w:val="1"/>
                <w:sz w:val="18"/>
              </w:rPr>
              <w:drawing>
                <wp:inline distT="0" distB="0" distL="0" distR="0">
                  <wp:extent cx="53435" cy="81724"/>
                  <wp:effectExtent l="0" t="0" r="0" b="0"/>
                  <wp:docPr id="3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inline>
              </w:drawing>
            </w: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1781" w:type="dxa"/>
          </w:tcPr>
          <w:p>
            <w:pPr>
              <w:pStyle w:val="TableParagraph"/>
              <w:spacing w:before="80"/>
              <w:ind w:left="549" w:right="469"/>
              <w:jc w:val="center"/>
              <w:rPr>
                <w:sz w:val="18"/>
              </w:rPr>
            </w:pPr>
            <w:r>
              <w:rPr>
                <w:sz w:val="18"/>
              </w:rPr>
              <w:t>氧化镝</w:t>
            </w:r>
          </w:p>
        </w:tc>
        <w:tc>
          <w:tcPr>
            <w:tcW w:w="1940" w:type="dxa"/>
          </w:tcPr>
          <w:p>
            <w:pPr>
              <w:pStyle w:val="TableParagraph"/>
              <w:spacing w:before="80"/>
              <w:ind w:left="395" w:right="324"/>
              <w:jc w:val="center"/>
              <w:rPr>
                <w:sz w:val="18"/>
              </w:rPr>
            </w:pPr>
            <w:r>
              <w:rPr>
                <w:sz w:val="18"/>
              </w:rPr>
              <w:t xml:space="preserve">0.08 </w:t>
            </w:r>
            <w:r>
              <w:rPr>
                <w:spacing w:val="1"/>
                <w:sz w:val="18"/>
              </w:rPr>
              <w:drawing>
                <wp:inline distT="0" distB="0" distL="0" distR="0">
                  <wp:extent cx="53435" cy="81724"/>
                  <wp:effectExtent l="0" t="0" r="0" b="0"/>
                  <wp:docPr id="3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inline>
              </w:drawing>
            </w:r>
          </w:p>
        </w:tc>
        <w:tc>
          <w:tcPr>
            <w:tcW w:w="1860" w:type="dxa"/>
          </w:tcPr>
          <w:p>
            <w:pPr>
              <w:pStyle w:val="TableParagraph"/>
              <w:spacing w:before="80"/>
              <w:ind w:left="319" w:right="324"/>
              <w:jc w:val="center"/>
              <w:rPr>
                <w:sz w:val="18"/>
              </w:rPr>
            </w:pPr>
            <w:r>
              <w:rPr>
                <w:sz w:val="18"/>
              </w:rPr>
              <w:t xml:space="preserve">0.07 </w:t>
            </w:r>
            <w:r>
              <w:rPr>
                <w:spacing w:val="1"/>
                <w:sz w:val="18"/>
              </w:rPr>
              <w:drawing>
                <wp:inline distT="0" distB="0" distL="0" distR="0">
                  <wp:extent cx="53435" cy="81724"/>
                  <wp:effectExtent l="0" t="0" r="0" b="0"/>
                  <wp:docPr id="4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inline>
              </w:drawing>
            </w:r>
          </w:p>
        </w:tc>
        <w:tc>
          <w:tcPr>
            <w:tcW w:w="1859" w:type="dxa"/>
          </w:tcPr>
          <w:p>
            <w:pPr>
              <w:pStyle w:val="TableParagraph"/>
              <w:spacing w:before="80"/>
              <w:ind w:left="319" w:right="322"/>
              <w:jc w:val="center"/>
              <w:rPr>
                <w:sz w:val="18"/>
              </w:rPr>
            </w:pPr>
            <w:r>
              <w:rPr>
                <w:sz w:val="18"/>
              </w:rPr>
              <w:t xml:space="preserve">0.07 </w:t>
            </w:r>
            <w:r>
              <w:rPr>
                <w:spacing w:val="1"/>
                <w:sz w:val="18"/>
              </w:rPr>
              <w:drawing>
                <wp:inline distT="0" distB="0" distL="0" distR="0">
                  <wp:extent cx="53435" cy="81724"/>
                  <wp:effectExtent l="0" t="0" r="0" b="0"/>
                  <wp:docPr id="4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inline>
              </w:drawing>
            </w: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1781" w:type="dxa"/>
          </w:tcPr>
          <w:p>
            <w:pPr>
              <w:pStyle w:val="TableParagraph"/>
              <w:spacing w:before="79"/>
              <w:ind w:left="549" w:right="472"/>
              <w:jc w:val="center"/>
              <w:rPr>
                <w:sz w:val="18"/>
              </w:rPr>
            </w:pPr>
            <w:r>
              <w:rPr>
                <w:sz w:val="18"/>
              </w:rPr>
              <w:t>氧化富铕</w:t>
            </w:r>
          </w:p>
        </w:tc>
        <w:tc>
          <w:tcPr>
            <w:tcW w:w="1940" w:type="dxa"/>
          </w:tcPr>
          <w:p>
            <w:pPr>
              <w:pStyle w:val="TableParagraph"/>
              <w:spacing w:before="79"/>
              <w:ind w:left="395" w:right="324"/>
              <w:jc w:val="center"/>
              <w:rPr>
                <w:sz w:val="18"/>
              </w:rPr>
            </w:pPr>
            <w:r>
              <w:rPr>
                <w:sz w:val="18"/>
              </w:rPr>
              <w:t xml:space="preserve">1.93 </w:t>
            </w:r>
            <w:r>
              <w:rPr>
                <w:spacing w:val="1"/>
                <w:sz w:val="18"/>
              </w:rPr>
              <w:drawing>
                <wp:inline distT="0" distB="0" distL="0" distR="0">
                  <wp:extent cx="53435" cy="81724"/>
                  <wp:effectExtent l="0" t="0" r="0" b="0"/>
                  <wp:docPr id="4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inline>
              </w:drawing>
            </w:r>
          </w:p>
        </w:tc>
        <w:tc>
          <w:tcPr>
            <w:tcW w:w="1860" w:type="dxa"/>
          </w:tcPr>
          <w:p>
            <w:pPr>
              <w:pStyle w:val="TableParagraph"/>
              <w:spacing w:before="79"/>
              <w:ind w:left="319" w:right="324"/>
              <w:jc w:val="center"/>
              <w:rPr>
                <w:sz w:val="18"/>
              </w:rPr>
            </w:pPr>
            <w:r>
              <w:rPr>
                <w:sz w:val="18"/>
              </w:rPr>
              <w:t xml:space="preserve">2.03 </w:t>
            </w:r>
            <w:r>
              <w:rPr>
                <w:spacing w:val="1"/>
                <w:sz w:val="18"/>
              </w:rPr>
              <w:drawing>
                <wp:inline distT="0" distB="0" distL="0" distR="0">
                  <wp:extent cx="53435" cy="81724"/>
                  <wp:effectExtent l="0" t="0" r="0" b="0"/>
                  <wp:docPr id="4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inline>
              </w:drawing>
            </w:r>
          </w:p>
        </w:tc>
        <w:tc>
          <w:tcPr>
            <w:tcW w:w="1859" w:type="dxa"/>
          </w:tcPr>
          <w:p>
            <w:pPr>
              <w:pStyle w:val="TableParagraph"/>
              <w:spacing w:before="79"/>
              <w:ind w:left="319" w:right="322"/>
              <w:jc w:val="center"/>
              <w:rPr>
                <w:sz w:val="18"/>
              </w:rPr>
            </w:pPr>
            <w:r>
              <w:rPr>
                <w:sz w:val="18"/>
              </w:rPr>
              <w:t xml:space="preserve">1.96 </w:t>
            </w:r>
            <w:r>
              <w:rPr>
                <w:spacing w:val="1"/>
                <w:sz w:val="18"/>
              </w:rPr>
              <w:drawing>
                <wp:inline distT="0" distB="0" distL="0" distR="0">
                  <wp:extent cx="53435" cy="81724"/>
                  <wp:effectExtent l="0" t="0" r="0" b="0"/>
                  <wp:docPr id="4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inline>
              </w:drawing>
            </w: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1781" w:type="dxa"/>
          </w:tcPr>
          <w:p>
            <w:pPr>
              <w:pStyle w:val="TableParagraph"/>
              <w:spacing w:before="80"/>
              <w:ind w:left="549" w:right="472"/>
              <w:jc w:val="center"/>
              <w:rPr>
                <w:sz w:val="18"/>
              </w:rPr>
            </w:pPr>
            <w:r>
              <w:rPr>
                <w:sz w:val="18"/>
              </w:rPr>
              <w:t>氧化镨钕</w:t>
            </w:r>
          </w:p>
        </w:tc>
        <w:tc>
          <w:tcPr>
            <w:tcW w:w="1940" w:type="dxa"/>
          </w:tcPr>
          <w:p>
            <w:pPr>
              <w:pStyle w:val="TableParagraph"/>
              <w:spacing w:before="80"/>
              <w:ind w:left="318" w:right="324"/>
              <w:jc w:val="center"/>
              <w:rPr>
                <w:sz w:val="18"/>
              </w:rPr>
            </w:pPr>
            <w:r>
              <w:rPr>
                <w:sz w:val="18"/>
              </w:rPr>
              <w:t>19.45</w:t>
            </w:r>
          </w:p>
        </w:tc>
        <w:tc>
          <w:tcPr>
            <w:tcW w:w="1860" w:type="dxa"/>
          </w:tcPr>
          <w:p>
            <w:pPr>
              <w:pStyle w:val="TableParagraph"/>
              <w:spacing w:before="80"/>
              <w:ind w:left="238" w:right="324"/>
              <w:jc w:val="center"/>
              <w:rPr>
                <w:sz w:val="18"/>
              </w:rPr>
            </w:pPr>
            <w:r>
              <w:rPr>
                <w:sz w:val="18"/>
              </w:rPr>
              <w:t>19.56</w:t>
            </w:r>
          </w:p>
        </w:tc>
        <w:tc>
          <w:tcPr>
            <w:tcW w:w="1859" w:type="dxa"/>
          </w:tcPr>
          <w:p>
            <w:pPr>
              <w:pStyle w:val="TableParagraph"/>
              <w:spacing w:before="80"/>
              <w:ind w:left="239" w:right="322"/>
              <w:jc w:val="center"/>
              <w:rPr>
                <w:sz w:val="18"/>
              </w:rPr>
            </w:pPr>
            <w:r>
              <w:rPr>
                <w:sz w:val="18"/>
              </w:rPr>
              <w:t>19.24</w:t>
            </w: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1781" w:type="dxa"/>
          </w:tcPr>
          <w:p>
            <w:pPr>
              <w:pStyle w:val="TableParagraph"/>
              <w:spacing w:before="79"/>
              <w:ind w:left="549" w:right="469"/>
              <w:jc w:val="center"/>
              <w:rPr>
                <w:sz w:val="18"/>
              </w:rPr>
            </w:pPr>
            <w:r>
              <w:rPr>
                <w:sz w:val="18"/>
              </w:rPr>
              <w:t>氧化镧</w:t>
            </w:r>
          </w:p>
        </w:tc>
        <w:tc>
          <w:tcPr>
            <w:tcW w:w="1940" w:type="dxa"/>
          </w:tcPr>
          <w:p>
            <w:pPr>
              <w:pStyle w:val="TableParagraph"/>
              <w:spacing w:before="79"/>
              <w:ind w:left="318" w:right="324"/>
              <w:jc w:val="center"/>
              <w:rPr>
                <w:sz w:val="18"/>
              </w:rPr>
            </w:pPr>
            <w:r>
              <w:rPr>
                <w:sz w:val="18"/>
              </w:rPr>
              <w:t>27.90</w:t>
            </w:r>
          </w:p>
        </w:tc>
        <w:tc>
          <w:tcPr>
            <w:tcW w:w="1860" w:type="dxa"/>
          </w:tcPr>
          <w:p>
            <w:pPr>
              <w:pStyle w:val="TableParagraph"/>
              <w:spacing w:before="79"/>
              <w:ind w:left="238" w:right="324"/>
              <w:jc w:val="center"/>
              <w:rPr>
                <w:sz w:val="18"/>
              </w:rPr>
            </w:pPr>
            <w:r>
              <w:rPr>
                <w:sz w:val="18"/>
              </w:rPr>
              <w:t>27.72</w:t>
            </w:r>
          </w:p>
        </w:tc>
        <w:tc>
          <w:tcPr>
            <w:tcW w:w="1859" w:type="dxa"/>
          </w:tcPr>
          <w:p>
            <w:pPr>
              <w:pStyle w:val="TableParagraph"/>
              <w:spacing w:before="79"/>
              <w:ind w:left="239" w:right="322"/>
              <w:jc w:val="center"/>
              <w:rPr>
                <w:sz w:val="18"/>
              </w:rPr>
            </w:pPr>
            <w:r>
              <w:rPr>
                <w:sz w:val="18"/>
              </w:rPr>
              <w:t>27.82</w:t>
            </w:r>
          </w:p>
        </w:tc>
      </w:tr>
      <w:tr>
        <w:tblPrEx>
          <w:tblW w:w="0" w:type="auto"/>
          <w:jc w:val="left"/>
          <w:tblInd w:w="2854" w:type="dxa"/>
          <w:tblLayout w:type="fixed"/>
          <w:tblCellMar>
            <w:top w:w="0" w:type="dxa"/>
            <w:left w:w="0" w:type="dxa"/>
            <w:bottom w:w="0" w:type="dxa"/>
            <w:right w:w="0" w:type="dxa"/>
          </w:tblCellMar>
          <w:tblLook w:val="01E0"/>
        </w:tblPrEx>
        <w:trPr>
          <w:trHeight w:val="394"/>
          <w:jc w:val="left"/>
        </w:trPr>
        <w:tc>
          <w:tcPr>
            <w:tcW w:w="1781" w:type="dxa"/>
          </w:tcPr>
          <w:p>
            <w:pPr>
              <w:pStyle w:val="TableParagraph"/>
              <w:spacing w:before="80"/>
              <w:ind w:left="549" w:right="469"/>
              <w:jc w:val="center"/>
              <w:rPr>
                <w:sz w:val="18"/>
              </w:rPr>
            </w:pPr>
            <w:r>
              <w:rPr>
                <w:sz w:val="18"/>
              </w:rPr>
              <w:t>氧化铈</w:t>
            </w:r>
          </w:p>
        </w:tc>
        <w:tc>
          <w:tcPr>
            <w:tcW w:w="1940" w:type="dxa"/>
          </w:tcPr>
          <w:p>
            <w:pPr>
              <w:pStyle w:val="TableParagraph"/>
              <w:spacing w:before="80"/>
              <w:ind w:left="318" w:right="324"/>
              <w:jc w:val="center"/>
              <w:rPr>
                <w:sz w:val="18"/>
              </w:rPr>
            </w:pPr>
            <w:r>
              <w:rPr>
                <w:sz w:val="18"/>
              </w:rPr>
              <w:t>50.62</w:t>
            </w:r>
          </w:p>
        </w:tc>
        <w:tc>
          <w:tcPr>
            <w:tcW w:w="1860" w:type="dxa"/>
          </w:tcPr>
          <w:p>
            <w:pPr>
              <w:pStyle w:val="TableParagraph"/>
              <w:spacing w:before="80"/>
              <w:ind w:left="238" w:right="324"/>
              <w:jc w:val="center"/>
              <w:rPr>
                <w:sz w:val="18"/>
              </w:rPr>
            </w:pPr>
            <w:r>
              <w:rPr>
                <w:sz w:val="18"/>
              </w:rPr>
              <w:t>50.61</w:t>
            </w:r>
          </w:p>
        </w:tc>
        <w:tc>
          <w:tcPr>
            <w:tcW w:w="1859" w:type="dxa"/>
          </w:tcPr>
          <w:p>
            <w:pPr>
              <w:pStyle w:val="TableParagraph"/>
              <w:spacing w:before="80"/>
              <w:ind w:left="239" w:right="322"/>
              <w:jc w:val="center"/>
              <w:rPr>
                <w:sz w:val="18"/>
              </w:rPr>
            </w:pPr>
            <w:r>
              <w:rPr>
                <w:sz w:val="18"/>
              </w:rPr>
              <w:t>50.89</w:t>
            </w:r>
          </w:p>
        </w:tc>
      </w:tr>
    </w:tbl>
    <w:p>
      <w:pPr>
        <w:pStyle w:val="BodyText"/>
        <w:spacing w:line="20" w:lineRule="exact"/>
        <w:ind w:left="2733"/>
        <w:rPr>
          <w:sz w:val="2"/>
        </w:rPr>
      </w:pPr>
      <w:r>
        <w:rPr>
          <w:sz w:val="2"/>
        </w:rPr>
        <w:pict>
          <v:group id="_x0000_i1291" style="width:383pt;height:0.5pt;mso-position-horizontal-relative:char;mso-position-vertical-relative:line" coordorigin="0,0" coordsize="7660,10">
            <v:line id="_x0000_s1292" style="position:absolute" from="0,5" to="7660,5" stroked="t" strokecolor="#013e96" strokeweight="0.48pt">
              <v:stroke dashstyle="solid"/>
            </v:line>
            <w10:wrap type="none"/>
          </v:group>
        </w:pict>
      </w:r>
    </w:p>
    <w:p>
      <w:pPr>
        <w:spacing w:before="84"/>
        <w:ind w:left="2846" w:right="0" w:firstLine="0"/>
        <w:jc w:val="left"/>
        <w:rPr>
          <w:sz w:val="15"/>
        </w:rPr>
      </w:pPr>
      <w:r>
        <w:t xml:space="preserve">数据来源：北方稀土公告， </w:t>
      </w:r>
    </w:p>
    <w:p>
      <w:pPr>
        <w:pStyle w:val="BodyText"/>
        <w:spacing w:before="4"/>
        <w:rPr>
          <w:sz w:val="12"/>
        </w:rPr>
      </w:pPr>
    </w:p>
    <w:p>
      <w:pPr>
        <w:spacing w:before="0"/>
        <w:ind w:left="307" w:right="0" w:firstLine="0"/>
        <w:jc w:val="left"/>
        <w:rPr>
          <w:b/>
          <w:i/>
          <w:sz w:val="22"/>
        </w:rPr>
      </w:pPr>
      <w:r>
        <w:drawing>
          <wp:anchor distT="0" distB="0" distL="0" distR="0" simplePos="0" relativeHeight="251728896" behindDoc="1" locked="0" layoutInCell="1" allowOverlap="1">
            <wp:simplePos x="0" y="0"/>
            <wp:positionH relativeFrom="page">
              <wp:posOffset>2706954</wp:posOffset>
            </wp:positionH>
            <wp:positionV relativeFrom="paragraph">
              <wp:posOffset>831596</wp:posOffset>
            </wp:positionV>
            <wp:extent cx="53435" cy="81724"/>
            <wp:effectExtent l="0" t="0" r="0" b="0"/>
            <wp:wrapNone/>
            <wp:docPr id="6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anchor>
        </w:drawing>
      </w:r>
      <w:r>
        <w:drawing>
          <wp:anchor distT="0" distB="0" distL="0" distR="0" simplePos="0" relativeHeight="251729920" behindDoc="1" locked="0" layoutInCell="1" allowOverlap="1">
            <wp:simplePos x="0" y="0"/>
            <wp:positionH relativeFrom="page">
              <wp:posOffset>5682056</wp:posOffset>
            </wp:positionH>
            <wp:positionV relativeFrom="paragraph">
              <wp:posOffset>831596</wp:posOffset>
            </wp:positionV>
            <wp:extent cx="53435" cy="81724"/>
            <wp:effectExtent l="0" t="0" r="0" b="0"/>
            <wp:wrapNone/>
            <wp:docPr id="7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anchor>
        </w:drawing>
      </w:r>
      <w:r>
        <w:drawing>
          <wp:anchor distT="0" distB="0" distL="0" distR="0" simplePos="0" relativeHeight="251730944" behindDoc="1" locked="0" layoutInCell="1" allowOverlap="1">
            <wp:simplePos x="0" y="0"/>
            <wp:positionH relativeFrom="page">
              <wp:posOffset>6874205</wp:posOffset>
            </wp:positionH>
            <wp:positionV relativeFrom="paragraph">
              <wp:posOffset>831596</wp:posOffset>
            </wp:positionV>
            <wp:extent cx="53435" cy="81724"/>
            <wp:effectExtent l="0" t="0" r="0" b="0"/>
            <wp:wrapNone/>
            <wp:docPr id="7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anchor>
        </w:drawing>
      </w:r>
      <w:r>
        <w:pict>
          <v:line id="_x0000_s1293" style="mso-position-horizontal-relative:page;position:absolute;z-index:251734016" from="33.5pt,19.75pt" to="562.05pt,19.75pt" stroked="t" strokecolor="#013e96" strokeweight="0.48pt">
            <v:stroke dashstyle="solid"/>
          </v:line>
        </w:pict>
      </w:r>
      <w:r>
        <w:rPr>
          <w:b/>
          <w:i/>
          <w:sz w:val="22"/>
        </w:rPr>
        <w:t xml:space="preserve">图表 </w:t>
      </w:r>
      <w:r>
        <w:rPr>
          <w:rFonts w:ascii="Arial" w:eastAsia="Arial"/>
          <w:b/>
          <w:i/>
          <w:sz w:val="21"/>
        </w:rPr>
        <w:t>14</w:t>
      </w:r>
      <w:r>
        <w:rPr>
          <w:b/>
          <w:i/>
          <w:sz w:val="22"/>
        </w:rPr>
        <w:t>：白云鄂博尾矿库资源储量（万吨）</w:t>
      </w:r>
    </w:p>
    <w:p>
      <w:pPr>
        <w:pStyle w:val="BodyText"/>
        <w:spacing w:before="1"/>
        <w:rPr>
          <w:b/>
          <w:i/>
          <w:sz w:val="8"/>
        </w:rPr>
      </w:pPr>
    </w:p>
    <w:tbl>
      <w:tblPr>
        <w:tblStyle w:val="TableNormal4"/>
        <w:tblW w:w="0" w:type="auto"/>
        <w:jc w:val="left"/>
        <w:tblInd w:w="1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9"/>
        <w:gridCol w:w="973"/>
        <w:gridCol w:w="1792"/>
        <w:gridCol w:w="2397"/>
        <w:gridCol w:w="2323"/>
        <w:gridCol w:w="1883"/>
        <w:gridCol w:w="162"/>
      </w:tblGrid>
      <w:tr>
        <w:tblPrEx>
          <w:tblW w:w="0" w:type="auto"/>
          <w:jc w:val="left"/>
          <w:tblInd w:w="1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85"/>
          <w:jc w:val="left"/>
        </w:trPr>
        <w:tc>
          <w:tcPr>
            <w:tcW w:w="939" w:type="dxa"/>
            <w:tcBorders>
              <w:top w:val="single" w:sz="4" w:space="0" w:color="013E96"/>
            </w:tcBorders>
            <w:shd w:val="clear" w:color="auto" w:fill="4471C4"/>
          </w:tcPr>
          <w:p>
            <w:pPr>
              <w:pStyle w:val="TableParagraph"/>
              <w:spacing w:before="9"/>
              <w:rPr>
                <w:b/>
                <w:i/>
                <w:sz w:val="21"/>
              </w:rPr>
            </w:pPr>
          </w:p>
          <w:p>
            <w:pPr>
              <w:pStyle w:val="TableParagraph"/>
              <w:ind w:left="328"/>
              <w:rPr>
                <w:sz w:val="18"/>
              </w:rPr>
            </w:pPr>
            <w:r>
              <w:rPr>
                <w:color w:val="FFFFFF"/>
                <w:sz w:val="18"/>
              </w:rPr>
              <w:t>储量</w:t>
            </w:r>
          </w:p>
        </w:tc>
        <w:tc>
          <w:tcPr>
            <w:tcW w:w="973" w:type="dxa"/>
            <w:tcBorders>
              <w:top w:val="single" w:sz="4" w:space="0" w:color="013E96"/>
            </w:tcBorders>
            <w:shd w:val="clear" w:color="auto" w:fill="4471C4"/>
          </w:tcPr>
          <w:p>
            <w:pPr>
              <w:pStyle w:val="TableParagraph"/>
              <w:spacing w:before="9"/>
              <w:rPr>
                <w:b/>
                <w:i/>
                <w:sz w:val="21"/>
              </w:rPr>
            </w:pPr>
          </w:p>
          <w:p>
            <w:pPr>
              <w:pStyle w:val="TableParagraph"/>
              <w:ind w:left="249"/>
              <w:rPr>
                <w:sz w:val="18"/>
              </w:rPr>
            </w:pPr>
            <w:r>
              <w:rPr>
                <w:color w:val="FFFFFF"/>
                <w:sz w:val="18"/>
              </w:rPr>
              <w:t>尾矿量</w:t>
            </w:r>
          </w:p>
        </w:tc>
        <w:tc>
          <w:tcPr>
            <w:tcW w:w="1792" w:type="dxa"/>
            <w:tcBorders>
              <w:top w:val="single" w:sz="4" w:space="0" w:color="013E96"/>
            </w:tcBorders>
            <w:shd w:val="clear" w:color="auto" w:fill="4471C4"/>
          </w:tcPr>
          <w:p>
            <w:pPr>
              <w:pStyle w:val="TableParagraph"/>
              <w:spacing w:before="83"/>
              <w:ind w:left="88" w:right="37"/>
              <w:jc w:val="center"/>
              <w:rPr>
                <w:sz w:val="18"/>
              </w:rPr>
            </w:pPr>
            <w:r>
              <w:rPr>
                <w:color w:val="FFFFFF"/>
                <w:sz w:val="18"/>
              </w:rPr>
              <w:t>铁（TFe）</w:t>
            </w:r>
          </w:p>
          <w:p>
            <w:pPr>
              <w:pStyle w:val="TableParagraph"/>
              <w:tabs>
                <w:tab w:val="left" w:pos="1030"/>
              </w:tabs>
              <w:spacing w:before="159"/>
              <w:ind w:right="37"/>
              <w:jc w:val="center"/>
              <w:rPr>
                <w:sz w:val="18"/>
              </w:rPr>
            </w:pPr>
            <w:r>
              <w:rPr>
                <w:color w:val="FFFFFF"/>
                <w:sz w:val="18"/>
              </w:rPr>
              <w:t>尾矿量</w:t>
              <w:tab/>
              <w:t>品位</w:t>
            </w:r>
          </w:p>
        </w:tc>
        <w:tc>
          <w:tcPr>
            <w:tcW w:w="2397" w:type="dxa"/>
            <w:tcBorders>
              <w:top w:val="single" w:sz="4" w:space="0" w:color="013E96"/>
            </w:tcBorders>
            <w:shd w:val="clear" w:color="auto" w:fill="4471C4"/>
          </w:tcPr>
          <w:p>
            <w:pPr>
              <w:pStyle w:val="TableParagraph"/>
              <w:spacing w:before="83"/>
              <w:ind w:right="341"/>
              <w:jc w:val="right"/>
              <w:rPr>
                <w:sz w:val="18"/>
              </w:rPr>
            </w:pPr>
            <w:r>
              <w:rPr>
                <w:color w:val="FFFFFF"/>
                <w:sz w:val="18"/>
              </w:rPr>
              <w:t>稀土氧化物（REO）</w:t>
            </w:r>
          </w:p>
          <w:p>
            <w:pPr>
              <w:pStyle w:val="TableParagraph"/>
              <w:tabs>
                <w:tab w:val="left" w:pos="1577"/>
              </w:tabs>
              <w:spacing w:before="159"/>
              <w:ind w:right="241"/>
              <w:jc w:val="right"/>
              <w:rPr>
                <w:sz w:val="18"/>
              </w:rPr>
            </w:pPr>
            <w:r>
              <w:rPr>
                <w:color w:val="FFFFFF"/>
                <w:sz w:val="18"/>
              </w:rPr>
              <w:t>金属氧化物量</w:t>
              <w:tab/>
              <w:t>品位</w:t>
            </w:r>
          </w:p>
        </w:tc>
        <w:tc>
          <w:tcPr>
            <w:tcW w:w="2323" w:type="dxa"/>
            <w:tcBorders>
              <w:top w:val="single" w:sz="4" w:space="0" w:color="013E96"/>
            </w:tcBorders>
            <w:shd w:val="clear" w:color="auto" w:fill="4471C4"/>
          </w:tcPr>
          <w:p>
            <w:pPr>
              <w:pStyle w:val="TableParagraph"/>
              <w:spacing w:before="83"/>
              <w:ind w:left="272"/>
              <w:rPr>
                <w:sz w:val="18"/>
              </w:rPr>
            </w:pPr>
            <w:r>
              <w:rPr>
                <w:color w:val="FFFFFF"/>
                <w:sz w:val="18"/>
              </w:rPr>
              <w:t>铌金属氧化物（Nb2O5）</w:t>
            </w:r>
          </w:p>
          <w:p>
            <w:pPr>
              <w:pStyle w:val="TableParagraph"/>
              <w:tabs>
                <w:tab w:val="left" w:pos="1707"/>
              </w:tabs>
              <w:spacing w:before="159"/>
              <w:ind w:left="236"/>
              <w:rPr>
                <w:sz w:val="18"/>
              </w:rPr>
            </w:pPr>
            <w:r>
              <w:rPr>
                <w:color w:val="FFFFFF"/>
                <w:sz w:val="18"/>
              </w:rPr>
              <w:t>金属氧化物量</w:t>
              <w:tab/>
              <w:t>品位</w:t>
            </w:r>
          </w:p>
        </w:tc>
        <w:tc>
          <w:tcPr>
            <w:tcW w:w="1883" w:type="dxa"/>
            <w:tcBorders>
              <w:top w:val="single" w:sz="4" w:space="0" w:color="013E96"/>
            </w:tcBorders>
            <w:shd w:val="clear" w:color="auto" w:fill="4471C4"/>
          </w:tcPr>
          <w:p>
            <w:pPr>
              <w:pStyle w:val="TableParagraph"/>
              <w:spacing w:before="83"/>
              <w:ind w:right="308"/>
              <w:jc w:val="right"/>
              <w:rPr>
                <w:sz w:val="18"/>
              </w:rPr>
            </w:pPr>
            <w:r>
              <w:rPr>
                <w:color w:val="FFFFFF"/>
                <w:sz w:val="18"/>
              </w:rPr>
              <w:t>氟化钙（CaF2）</w:t>
            </w:r>
          </w:p>
          <w:p>
            <w:pPr>
              <w:pStyle w:val="TableParagraph"/>
              <w:tabs>
                <w:tab w:val="left" w:pos="1113"/>
              </w:tabs>
              <w:spacing w:before="159"/>
              <w:ind w:right="261"/>
              <w:jc w:val="right"/>
              <w:rPr>
                <w:sz w:val="18"/>
              </w:rPr>
            </w:pPr>
            <w:r>
              <w:rPr>
                <w:color w:val="FFFFFF"/>
                <w:sz w:val="18"/>
              </w:rPr>
              <w:t>氟化物量</w:t>
              <w:tab/>
              <w:t>品位</w:t>
            </w:r>
          </w:p>
        </w:tc>
        <w:tc>
          <w:tcPr>
            <w:tcW w:w="162" w:type="dxa"/>
          </w:tcPr>
          <w:p>
            <w:pPr>
              <w:pStyle w:val="TableParagraph"/>
              <w:rPr>
                <w:rFonts w:ascii="Times New Roman"/>
                <w:sz w:val="18"/>
              </w:rPr>
            </w:pPr>
          </w:p>
        </w:tc>
      </w:tr>
    </w:tbl>
    <w:p>
      <w:pPr>
        <w:pStyle w:val="BodyText"/>
        <w:spacing w:before="2"/>
        <w:rPr>
          <w:b/>
          <w:i/>
          <w:sz w:val="8"/>
        </w:rPr>
      </w:pPr>
    </w:p>
    <w:tbl>
      <w:tblPr>
        <w:tblStyle w:val="TableNormal4"/>
        <w:tblW w:w="0" w:type="auto"/>
        <w:jc w:val="left"/>
        <w:tblInd w:w="1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06"/>
        <w:gridCol w:w="904"/>
        <w:gridCol w:w="900"/>
        <w:gridCol w:w="1072"/>
        <w:gridCol w:w="1164"/>
        <w:gridCol w:w="1209"/>
        <w:gridCol w:w="1133"/>
        <w:gridCol w:w="1072"/>
        <w:gridCol w:w="893"/>
        <w:gridCol w:w="947"/>
      </w:tblGrid>
      <w:tr>
        <w:tblPrEx>
          <w:tblW w:w="0" w:type="auto"/>
          <w:jc w:val="left"/>
          <w:tblInd w:w="1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84"/>
          <w:jc w:val="left"/>
        </w:trPr>
        <w:tc>
          <w:tcPr>
            <w:tcW w:w="1006" w:type="dxa"/>
          </w:tcPr>
          <w:p>
            <w:pPr>
              <w:pStyle w:val="TableParagraph"/>
              <w:spacing w:line="205" w:lineRule="exact"/>
              <w:ind w:left="168" w:right="154"/>
              <w:jc w:val="center"/>
              <w:rPr>
                <w:sz w:val="18"/>
              </w:rPr>
            </w:pPr>
            <w:r>
              <w:rPr>
                <w:sz w:val="18"/>
              </w:rPr>
              <w:t>控制的</w:t>
            </w:r>
          </w:p>
        </w:tc>
        <w:tc>
          <w:tcPr>
            <w:tcW w:w="904" w:type="dxa"/>
          </w:tcPr>
          <w:p>
            <w:pPr>
              <w:pStyle w:val="TableParagraph"/>
              <w:spacing w:line="205" w:lineRule="exact"/>
              <w:ind w:left="225"/>
              <w:rPr>
                <w:sz w:val="18"/>
              </w:rPr>
            </w:pPr>
            <w:r>
              <w:rPr>
                <w:sz w:val="18"/>
              </w:rPr>
              <w:t>17661</w:t>
            </w:r>
          </w:p>
        </w:tc>
        <w:tc>
          <w:tcPr>
            <w:tcW w:w="900" w:type="dxa"/>
          </w:tcPr>
          <w:p>
            <w:pPr>
              <w:pStyle w:val="TableParagraph"/>
              <w:spacing w:line="205" w:lineRule="exact"/>
              <w:ind w:right="219"/>
              <w:jc w:val="right"/>
              <w:rPr>
                <w:sz w:val="18"/>
              </w:rPr>
            </w:pPr>
            <w:r>
              <w:rPr>
                <w:sz w:val="18"/>
              </w:rPr>
              <w:t>17661</w:t>
            </w:r>
          </w:p>
        </w:tc>
        <w:tc>
          <w:tcPr>
            <w:tcW w:w="1072" w:type="dxa"/>
          </w:tcPr>
          <w:p>
            <w:pPr>
              <w:pStyle w:val="TableParagraph"/>
              <w:spacing w:line="205" w:lineRule="exact"/>
              <w:ind w:left="222"/>
              <w:rPr>
                <w:sz w:val="18"/>
              </w:rPr>
            </w:pPr>
            <w:r>
              <w:rPr>
                <w:sz w:val="18"/>
              </w:rPr>
              <w:t>15.88</w:t>
            </w:r>
          </w:p>
        </w:tc>
        <w:tc>
          <w:tcPr>
            <w:tcW w:w="1164" w:type="dxa"/>
          </w:tcPr>
          <w:p>
            <w:pPr>
              <w:pStyle w:val="TableParagraph"/>
              <w:spacing w:line="205" w:lineRule="exact"/>
              <w:ind w:left="398"/>
              <w:rPr>
                <w:sz w:val="18"/>
              </w:rPr>
            </w:pPr>
            <w:r>
              <w:rPr>
                <w:sz w:val="18"/>
              </w:rPr>
              <w:t>1238</w:t>
            </w:r>
          </w:p>
        </w:tc>
        <w:tc>
          <w:tcPr>
            <w:tcW w:w="1209" w:type="dxa"/>
          </w:tcPr>
          <w:p>
            <w:pPr>
              <w:pStyle w:val="TableParagraph"/>
              <w:spacing w:line="205" w:lineRule="exact"/>
              <w:ind w:left="405"/>
              <w:rPr>
                <w:sz w:val="18"/>
              </w:rPr>
            </w:pPr>
            <w:r>
              <w:rPr>
                <w:sz w:val="18"/>
              </w:rPr>
              <w:t xml:space="preserve">7.01 </w:t>
            </w:r>
            <w:r>
              <w:rPr>
                <w:spacing w:val="1"/>
                <w:sz w:val="18"/>
              </w:rPr>
              <w:drawing>
                <wp:inline distT="0" distB="0" distL="0" distR="0">
                  <wp:extent cx="53435" cy="81724"/>
                  <wp:effectExtent l="0" t="0" r="0" b="0"/>
                  <wp:docPr id="7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inline>
              </w:drawing>
            </w:r>
          </w:p>
        </w:tc>
        <w:tc>
          <w:tcPr>
            <w:tcW w:w="1133" w:type="dxa"/>
          </w:tcPr>
          <w:p>
            <w:pPr>
              <w:pStyle w:val="TableParagraph"/>
              <w:spacing w:line="205" w:lineRule="exact"/>
              <w:ind w:left="422" w:right="310"/>
              <w:jc w:val="center"/>
              <w:rPr>
                <w:sz w:val="18"/>
              </w:rPr>
            </w:pPr>
            <w:r>
              <w:rPr>
                <w:sz w:val="18"/>
              </w:rPr>
              <w:t>24.4</w:t>
            </w:r>
          </w:p>
        </w:tc>
        <w:tc>
          <w:tcPr>
            <w:tcW w:w="1072" w:type="dxa"/>
          </w:tcPr>
          <w:p>
            <w:pPr>
              <w:pStyle w:val="TableParagraph"/>
              <w:spacing w:line="205" w:lineRule="exact"/>
              <w:ind w:right="288"/>
              <w:jc w:val="right"/>
              <w:rPr>
                <w:sz w:val="18"/>
              </w:rPr>
            </w:pPr>
            <w:r>
              <w:rPr>
                <w:sz w:val="18"/>
              </w:rPr>
              <w:t>0.138</w:t>
            </w:r>
          </w:p>
        </w:tc>
        <w:tc>
          <w:tcPr>
            <w:tcW w:w="893" w:type="dxa"/>
          </w:tcPr>
          <w:p>
            <w:pPr>
              <w:pStyle w:val="TableParagraph"/>
              <w:spacing w:line="205" w:lineRule="exact"/>
              <w:ind w:left="268" w:right="221"/>
              <w:jc w:val="center"/>
              <w:rPr>
                <w:sz w:val="18"/>
              </w:rPr>
            </w:pPr>
            <w:r>
              <w:rPr>
                <w:sz w:val="18"/>
              </w:rPr>
              <w:t>3935</w:t>
            </w:r>
          </w:p>
        </w:tc>
        <w:tc>
          <w:tcPr>
            <w:tcW w:w="947" w:type="dxa"/>
          </w:tcPr>
          <w:p>
            <w:pPr>
              <w:pStyle w:val="TableParagraph"/>
              <w:spacing w:line="205" w:lineRule="exact"/>
              <w:ind w:left="241"/>
              <w:rPr>
                <w:sz w:val="18"/>
              </w:rPr>
            </w:pPr>
            <w:r>
              <w:rPr>
                <w:sz w:val="18"/>
              </w:rPr>
              <w:t>22.28</w:t>
            </w:r>
          </w:p>
        </w:tc>
      </w:tr>
      <w:tr>
        <w:tblPrEx>
          <w:tblW w:w="0" w:type="auto"/>
          <w:jc w:val="left"/>
          <w:tblInd w:w="127" w:type="dxa"/>
          <w:tblLayout w:type="fixed"/>
          <w:tblCellMar>
            <w:top w:w="0" w:type="dxa"/>
            <w:left w:w="0" w:type="dxa"/>
            <w:bottom w:w="0" w:type="dxa"/>
            <w:right w:w="0" w:type="dxa"/>
          </w:tblCellMar>
          <w:tblLook w:val="01E0"/>
        </w:tblPrEx>
        <w:trPr>
          <w:trHeight w:val="391"/>
          <w:jc w:val="left"/>
        </w:trPr>
        <w:tc>
          <w:tcPr>
            <w:tcW w:w="1006" w:type="dxa"/>
          </w:tcPr>
          <w:p>
            <w:pPr>
              <w:pStyle w:val="TableParagraph"/>
              <w:spacing w:before="79"/>
              <w:ind w:left="168" w:right="154"/>
              <w:jc w:val="center"/>
              <w:rPr>
                <w:sz w:val="18"/>
              </w:rPr>
            </w:pPr>
            <w:r>
              <w:rPr>
                <w:sz w:val="18"/>
              </w:rPr>
              <w:t>推断的</w:t>
            </w:r>
          </w:p>
        </w:tc>
        <w:tc>
          <w:tcPr>
            <w:tcW w:w="904" w:type="dxa"/>
          </w:tcPr>
          <w:p>
            <w:pPr>
              <w:pStyle w:val="TableParagraph"/>
              <w:spacing w:before="79"/>
              <w:ind w:left="271"/>
              <w:rPr>
                <w:sz w:val="18"/>
              </w:rPr>
            </w:pPr>
            <w:r>
              <w:rPr>
                <w:sz w:val="18"/>
              </w:rPr>
              <w:t>2051</w:t>
            </w:r>
          </w:p>
        </w:tc>
        <w:tc>
          <w:tcPr>
            <w:tcW w:w="900" w:type="dxa"/>
          </w:tcPr>
          <w:p>
            <w:pPr>
              <w:pStyle w:val="TableParagraph"/>
              <w:spacing w:before="79"/>
              <w:ind w:right="265"/>
              <w:jc w:val="right"/>
              <w:rPr>
                <w:sz w:val="18"/>
              </w:rPr>
            </w:pPr>
            <w:r>
              <w:rPr>
                <w:sz w:val="18"/>
              </w:rPr>
              <w:t>2051</w:t>
            </w:r>
          </w:p>
        </w:tc>
        <w:tc>
          <w:tcPr>
            <w:tcW w:w="1072" w:type="dxa"/>
          </w:tcPr>
          <w:p>
            <w:pPr>
              <w:pStyle w:val="TableParagraph"/>
              <w:spacing w:before="79"/>
              <w:ind w:left="222"/>
              <w:rPr>
                <w:sz w:val="18"/>
              </w:rPr>
            </w:pPr>
            <w:r>
              <w:rPr>
                <w:sz w:val="18"/>
              </w:rPr>
              <w:t>15.88</w:t>
            </w:r>
          </w:p>
        </w:tc>
        <w:tc>
          <w:tcPr>
            <w:tcW w:w="1164" w:type="dxa"/>
          </w:tcPr>
          <w:p>
            <w:pPr>
              <w:pStyle w:val="TableParagraph"/>
              <w:spacing w:before="79"/>
              <w:ind w:left="441"/>
              <w:rPr>
                <w:sz w:val="18"/>
              </w:rPr>
            </w:pPr>
            <w:r>
              <w:rPr>
                <w:sz w:val="18"/>
              </w:rPr>
              <w:t>144</w:t>
            </w:r>
          </w:p>
        </w:tc>
        <w:tc>
          <w:tcPr>
            <w:tcW w:w="1209" w:type="dxa"/>
          </w:tcPr>
          <w:p>
            <w:pPr>
              <w:pStyle w:val="TableParagraph"/>
              <w:spacing w:before="79"/>
              <w:ind w:left="405"/>
              <w:rPr>
                <w:sz w:val="18"/>
              </w:rPr>
            </w:pPr>
            <w:r>
              <w:rPr>
                <w:sz w:val="18"/>
              </w:rPr>
              <w:t xml:space="preserve">7.01 </w:t>
            </w:r>
            <w:r>
              <w:rPr>
                <w:spacing w:val="1"/>
                <w:sz w:val="18"/>
              </w:rPr>
              <w:drawing>
                <wp:inline distT="0" distB="0" distL="0" distR="0">
                  <wp:extent cx="53435" cy="81724"/>
                  <wp:effectExtent l="0" t="0" r="0" b="0"/>
                  <wp:docPr id="7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inline>
              </w:drawing>
            </w:r>
          </w:p>
        </w:tc>
        <w:tc>
          <w:tcPr>
            <w:tcW w:w="1133" w:type="dxa"/>
          </w:tcPr>
          <w:p>
            <w:pPr>
              <w:pStyle w:val="TableParagraph"/>
              <w:spacing w:before="79"/>
              <w:ind w:left="422" w:right="306"/>
              <w:jc w:val="center"/>
              <w:rPr>
                <w:sz w:val="18"/>
              </w:rPr>
            </w:pPr>
            <w:r>
              <w:rPr>
                <w:sz w:val="18"/>
              </w:rPr>
              <w:t>2.8</w:t>
            </w:r>
          </w:p>
        </w:tc>
        <w:tc>
          <w:tcPr>
            <w:tcW w:w="1072" w:type="dxa"/>
          </w:tcPr>
          <w:p>
            <w:pPr>
              <w:pStyle w:val="TableParagraph"/>
              <w:spacing w:before="79"/>
              <w:ind w:right="288"/>
              <w:jc w:val="right"/>
              <w:rPr>
                <w:sz w:val="18"/>
              </w:rPr>
            </w:pPr>
            <w:r>
              <w:rPr>
                <w:sz w:val="18"/>
              </w:rPr>
              <w:t>0.138</w:t>
            </w:r>
          </w:p>
        </w:tc>
        <w:tc>
          <w:tcPr>
            <w:tcW w:w="893" w:type="dxa"/>
          </w:tcPr>
          <w:p>
            <w:pPr>
              <w:pStyle w:val="TableParagraph"/>
              <w:spacing w:before="79"/>
              <w:ind w:left="268" w:right="221"/>
              <w:jc w:val="center"/>
              <w:rPr>
                <w:sz w:val="18"/>
              </w:rPr>
            </w:pPr>
            <w:r>
              <w:rPr>
                <w:sz w:val="18"/>
              </w:rPr>
              <w:t>457</w:t>
            </w:r>
          </w:p>
        </w:tc>
        <w:tc>
          <w:tcPr>
            <w:tcW w:w="947" w:type="dxa"/>
          </w:tcPr>
          <w:p>
            <w:pPr>
              <w:pStyle w:val="TableParagraph"/>
              <w:spacing w:before="79"/>
              <w:ind w:left="241"/>
              <w:rPr>
                <w:sz w:val="18"/>
              </w:rPr>
            </w:pPr>
            <w:r>
              <w:rPr>
                <w:sz w:val="18"/>
              </w:rPr>
              <w:t>22.28</w:t>
            </w:r>
          </w:p>
        </w:tc>
      </w:tr>
      <w:tr>
        <w:tblPrEx>
          <w:tblW w:w="0" w:type="auto"/>
          <w:jc w:val="left"/>
          <w:tblInd w:w="127" w:type="dxa"/>
          <w:tblLayout w:type="fixed"/>
          <w:tblCellMar>
            <w:top w:w="0" w:type="dxa"/>
            <w:left w:w="0" w:type="dxa"/>
            <w:bottom w:w="0" w:type="dxa"/>
            <w:right w:w="0" w:type="dxa"/>
          </w:tblCellMar>
          <w:tblLook w:val="01E0"/>
        </w:tblPrEx>
        <w:trPr>
          <w:trHeight w:val="393"/>
          <w:jc w:val="left"/>
        </w:trPr>
        <w:tc>
          <w:tcPr>
            <w:tcW w:w="1006" w:type="dxa"/>
            <w:shd w:val="clear" w:color="auto" w:fill="F1F1F1"/>
          </w:tcPr>
          <w:p>
            <w:pPr>
              <w:pStyle w:val="TableParagraph"/>
              <w:spacing w:before="79"/>
              <w:ind w:left="168" w:right="157"/>
              <w:jc w:val="center"/>
              <w:rPr>
                <w:sz w:val="18"/>
              </w:rPr>
            </w:pPr>
            <w:r>
              <w:rPr>
                <w:sz w:val="18"/>
              </w:rPr>
              <w:t>合计</w:t>
            </w:r>
          </w:p>
        </w:tc>
        <w:tc>
          <w:tcPr>
            <w:tcW w:w="904" w:type="dxa"/>
            <w:shd w:val="clear" w:color="auto" w:fill="F1F1F1"/>
          </w:tcPr>
          <w:p>
            <w:pPr>
              <w:pStyle w:val="TableParagraph"/>
              <w:spacing w:before="79"/>
              <w:ind w:left="225"/>
              <w:rPr>
                <w:sz w:val="18"/>
              </w:rPr>
            </w:pPr>
            <w:r>
              <w:rPr>
                <w:sz w:val="18"/>
              </w:rPr>
              <w:t>19712</w:t>
            </w:r>
          </w:p>
        </w:tc>
        <w:tc>
          <w:tcPr>
            <w:tcW w:w="900" w:type="dxa"/>
            <w:shd w:val="clear" w:color="auto" w:fill="F1F1F1"/>
          </w:tcPr>
          <w:p>
            <w:pPr>
              <w:pStyle w:val="TableParagraph"/>
              <w:spacing w:before="79"/>
              <w:ind w:right="219"/>
              <w:jc w:val="right"/>
              <w:rPr>
                <w:sz w:val="18"/>
              </w:rPr>
            </w:pPr>
            <w:r>
              <w:rPr>
                <w:sz w:val="18"/>
              </w:rPr>
              <w:t>19712</w:t>
            </w:r>
          </w:p>
        </w:tc>
        <w:tc>
          <w:tcPr>
            <w:tcW w:w="1072" w:type="dxa"/>
            <w:shd w:val="clear" w:color="auto" w:fill="F1F1F1"/>
          </w:tcPr>
          <w:p>
            <w:pPr>
              <w:pStyle w:val="TableParagraph"/>
              <w:spacing w:before="79"/>
              <w:ind w:left="222"/>
              <w:rPr>
                <w:sz w:val="18"/>
              </w:rPr>
            </w:pPr>
            <w:r>
              <w:rPr>
                <w:sz w:val="18"/>
              </w:rPr>
              <w:t>15.88</w:t>
            </w:r>
          </w:p>
        </w:tc>
        <w:tc>
          <w:tcPr>
            <w:tcW w:w="1164" w:type="dxa"/>
            <w:shd w:val="clear" w:color="auto" w:fill="F1F1F1"/>
          </w:tcPr>
          <w:p>
            <w:pPr>
              <w:pStyle w:val="TableParagraph"/>
              <w:spacing w:before="79"/>
              <w:ind w:left="398"/>
              <w:rPr>
                <w:sz w:val="18"/>
              </w:rPr>
            </w:pPr>
            <w:r>
              <w:rPr>
                <w:sz w:val="18"/>
              </w:rPr>
              <w:t>1382</w:t>
            </w:r>
          </w:p>
        </w:tc>
        <w:tc>
          <w:tcPr>
            <w:tcW w:w="1209" w:type="dxa"/>
            <w:shd w:val="clear" w:color="auto" w:fill="F1F1F1"/>
          </w:tcPr>
          <w:p>
            <w:pPr>
              <w:pStyle w:val="TableParagraph"/>
              <w:spacing w:before="79"/>
              <w:ind w:left="405"/>
              <w:rPr>
                <w:sz w:val="18"/>
              </w:rPr>
            </w:pPr>
            <w:r>
              <w:rPr>
                <w:sz w:val="18"/>
              </w:rPr>
              <w:t xml:space="preserve">7.01 </w:t>
            </w:r>
            <w:r>
              <w:rPr>
                <w:spacing w:val="1"/>
                <w:sz w:val="18"/>
              </w:rPr>
              <w:drawing>
                <wp:inline distT="0" distB="0" distL="0" distR="0">
                  <wp:extent cx="53435" cy="81724"/>
                  <wp:effectExtent l="0" t="0" r="0" b="0"/>
                  <wp:docPr id="7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inline>
              </w:drawing>
            </w:r>
          </w:p>
        </w:tc>
        <w:tc>
          <w:tcPr>
            <w:tcW w:w="1133" w:type="dxa"/>
            <w:shd w:val="clear" w:color="auto" w:fill="F1F1F1"/>
          </w:tcPr>
          <w:p>
            <w:pPr>
              <w:pStyle w:val="TableParagraph"/>
              <w:spacing w:before="79"/>
              <w:ind w:left="422" w:right="310"/>
              <w:jc w:val="center"/>
              <w:rPr>
                <w:sz w:val="18"/>
              </w:rPr>
            </w:pPr>
            <w:r>
              <w:rPr>
                <w:sz w:val="18"/>
              </w:rPr>
              <w:t>27.2</w:t>
            </w:r>
          </w:p>
        </w:tc>
        <w:tc>
          <w:tcPr>
            <w:tcW w:w="1072" w:type="dxa"/>
            <w:shd w:val="clear" w:color="auto" w:fill="F1F1F1"/>
          </w:tcPr>
          <w:p>
            <w:pPr>
              <w:pStyle w:val="TableParagraph"/>
              <w:spacing w:before="79"/>
              <w:ind w:right="288"/>
              <w:jc w:val="right"/>
              <w:rPr>
                <w:sz w:val="18"/>
              </w:rPr>
            </w:pPr>
            <w:r>
              <w:rPr>
                <w:sz w:val="18"/>
              </w:rPr>
              <w:t>0.138</w:t>
            </w:r>
          </w:p>
        </w:tc>
        <w:tc>
          <w:tcPr>
            <w:tcW w:w="893" w:type="dxa"/>
            <w:shd w:val="clear" w:color="auto" w:fill="F1F1F1"/>
          </w:tcPr>
          <w:p>
            <w:pPr>
              <w:pStyle w:val="TableParagraph"/>
              <w:spacing w:before="79"/>
              <w:ind w:left="268" w:right="221"/>
              <w:jc w:val="center"/>
              <w:rPr>
                <w:sz w:val="18"/>
              </w:rPr>
            </w:pPr>
            <w:r>
              <w:rPr>
                <w:sz w:val="18"/>
              </w:rPr>
              <w:t>4392</w:t>
            </w:r>
          </w:p>
        </w:tc>
        <w:tc>
          <w:tcPr>
            <w:tcW w:w="947" w:type="dxa"/>
            <w:shd w:val="clear" w:color="auto" w:fill="F1F1F1"/>
          </w:tcPr>
          <w:p>
            <w:pPr>
              <w:pStyle w:val="TableParagraph"/>
              <w:spacing w:before="79"/>
              <w:ind w:left="241"/>
              <w:rPr>
                <w:sz w:val="18"/>
              </w:rPr>
            </w:pPr>
            <w:r>
              <w:rPr>
                <w:sz w:val="18"/>
              </w:rPr>
              <w:t>22.28</w:t>
            </w:r>
          </w:p>
        </w:tc>
      </w:tr>
    </w:tbl>
    <w:p>
      <w:pPr>
        <w:pStyle w:val="BodyText"/>
        <w:spacing w:line="20" w:lineRule="exact"/>
        <w:ind w:left="4"/>
        <w:rPr>
          <w:sz w:val="2"/>
        </w:rPr>
      </w:pPr>
      <w:r>
        <w:rPr>
          <w:sz w:val="2"/>
        </w:rPr>
        <w:pict>
          <v:group id="_x0000_i1294" style="width:528.6pt;height:0.5pt;mso-position-horizontal-relative:char;mso-position-vertical-relative:line" coordorigin="0,0" coordsize="10572,10">
            <v:line id="_x0000_s1295" style="position:absolute" from="0,5" to="10572,5" stroked="t" strokecolor="#013e96" strokeweight="0.48pt">
              <v:stroke dashstyle="solid"/>
            </v:line>
            <w10:wrap type="none"/>
          </v:group>
        </w:pict>
      </w:r>
    </w:p>
    <w:p>
      <w:pPr>
        <w:spacing w:before="84"/>
        <w:ind w:left="117" w:right="0" w:firstLine="0"/>
        <w:jc w:val="left"/>
        <w:rPr>
          <w:sz w:val="15"/>
        </w:rPr>
      </w:pPr>
      <w:r>
        <w:t>数据来源：北方稀土公司公告， 。注：截至 2013 年 11 月 30 日。</w:t>
      </w:r>
    </w:p>
    <w:p>
      <w:pPr>
        <w:pStyle w:val="BodyText"/>
        <w:spacing w:before="12"/>
        <w:rPr>
          <w:sz w:val="18"/>
        </w:rPr>
      </w:pPr>
    </w:p>
    <w:p>
      <w:pPr>
        <w:pStyle w:val="BodyText"/>
        <w:spacing w:before="81" w:line="348" w:lineRule="auto"/>
        <w:ind w:left="2712" w:right="320" w:firstLine="423"/>
        <w:jc w:val="both"/>
      </w:pPr>
      <w:r>
        <w:rPr>
          <w:b/>
          <w:spacing w:val="3"/>
        </w:rPr>
        <w:t>中国稀土开采量全球第一，</w:t>
      </w:r>
      <w:r>
        <w:rPr>
          <w:rFonts w:ascii="Arial" w:eastAsia="Arial"/>
          <w:b/>
        </w:rPr>
        <w:t xml:space="preserve">2022 </w:t>
      </w:r>
      <w:r>
        <w:rPr>
          <w:b/>
          <w:spacing w:val="4"/>
        </w:rPr>
        <w:t>年占全球产量比恢复至较高水平。</w:t>
      </w:r>
      <w:r>
        <w:t>根据美国</w:t>
      </w:r>
      <w:r>
        <w:rPr>
          <w:rFonts w:ascii="Arial" w:eastAsia="Arial"/>
        </w:rPr>
        <w:t xml:space="preserve">USGS </w:t>
      </w:r>
      <w:r>
        <w:rPr>
          <w:spacing w:val="-2"/>
        </w:rPr>
        <w:t>数据，</w:t>
      </w:r>
      <w:r>
        <w:rPr>
          <w:rFonts w:ascii="Arial" w:eastAsia="Arial"/>
        </w:rPr>
        <w:t xml:space="preserve">2022 </w:t>
      </w:r>
      <w:r>
        <w:rPr>
          <w:spacing w:val="-6"/>
        </w:rPr>
        <w:t xml:space="preserve">年全年稀土矿产量为 </w:t>
      </w:r>
      <w:r>
        <w:rPr>
          <w:rFonts w:ascii="Arial" w:eastAsia="Arial"/>
        </w:rPr>
        <w:t xml:space="preserve">30 </w:t>
      </w:r>
      <w:r>
        <w:rPr>
          <w:spacing w:val="-3"/>
        </w:rPr>
        <w:t>万吨，中国产量随着稀土开采和分离指</w:t>
      </w:r>
      <w:r>
        <w:rPr>
          <w:spacing w:val="-10"/>
        </w:rPr>
        <w:t xml:space="preserve">标提升增加至 </w:t>
      </w:r>
      <w:r>
        <w:rPr>
          <w:rFonts w:ascii="Arial" w:eastAsia="Arial"/>
        </w:rPr>
        <w:t xml:space="preserve">21 </w:t>
      </w:r>
      <w:r>
        <w:rPr>
          <w:spacing w:val="-15"/>
        </w:rPr>
        <w:t xml:space="preserve">万吨，占比 </w:t>
      </w:r>
      <w:r>
        <w:rPr>
          <w:rFonts w:ascii="Arial" w:eastAsia="Arial"/>
          <w:spacing w:val="-7"/>
        </w:rPr>
        <w:t>70%</w:t>
      </w:r>
      <w:r>
        <w:rPr>
          <w:spacing w:val="-10"/>
        </w:rPr>
        <w:t xml:space="preserve">；美国产量为 </w:t>
      </w:r>
      <w:r>
        <w:rPr>
          <w:rFonts w:ascii="Arial" w:eastAsia="Arial"/>
        </w:rPr>
        <w:t xml:space="preserve">4.3 </w:t>
      </w:r>
      <w:r>
        <w:rPr>
          <w:spacing w:val="-11"/>
        </w:rPr>
        <w:t xml:space="preserve">万吨，占比超过 </w:t>
      </w:r>
      <w:r>
        <w:rPr>
          <w:rFonts w:ascii="Arial" w:eastAsia="Arial"/>
          <w:spacing w:val="-8"/>
        </w:rPr>
        <w:t>14%</w:t>
      </w:r>
      <w:r>
        <w:rPr>
          <w:spacing w:val="-3"/>
        </w:rPr>
        <w:t>；澳大利亚</w:t>
      </w:r>
      <w:r>
        <w:rPr>
          <w:spacing w:val="-6"/>
        </w:rPr>
        <w:t xml:space="preserve">产量为 </w:t>
      </w:r>
      <w:r>
        <w:rPr>
          <w:rFonts w:ascii="Arial" w:eastAsia="Arial"/>
        </w:rPr>
        <w:t>6%</w:t>
      </w:r>
      <w:r>
        <w:rPr>
          <w:spacing w:val="-6"/>
        </w:rPr>
        <w:t xml:space="preserve">，占比为 </w:t>
      </w:r>
      <w:r>
        <w:rPr>
          <w:rFonts w:ascii="Arial" w:eastAsia="Arial"/>
        </w:rPr>
        <w:t>6%</w:t>
      </w:r>
      <w:r>
        <w:rPr>
          <w:spacing w:val="-3"/>
        </w:rPr>
        <w:t>，美国和澳大利亚是除中国外的主要稀土生产国，其产量分</w:t>
      </w:r>
      <w:r>
        <w:rPr>
          <w:spacing w:val="-4"/>
        </w:rPr>
        <w:t xml:space="preserve">别由美国芒廷帕斯稀土矿 </w:t>
      </w:r>
      <w:r>
        <w:rPr>
          <w:rFonts w:ascii="Arial" w:eastAsia="Arial"/>
        </w:rPr>
        <w:t xml:space="preserve">4 </w:t>
      </w:r>
      <w:r>
        <w:t>万吨</w:t>
      </w:r>
      <w:r>
        <w:rPr>
          <w:rFonts w:ascii="Arial" w:eastAsia="Arial"/>
        </w:rPr>
        <w:t>/</w:t>
      </w:r>
      <w:r>
        <w:rPr>
          <w:spacing w:val="-3"/>
        </w:rPr>
        <w:t>年稀土精矿产能（盛和资源获独家包销权）</w:t>
      </w:r>
      <w:r>
        <w:t>和澳大</w:t>
      </w:r>
    </w:p>
    <w:p>
      <w:pPr>
        <w:pStyle w:val="BodyText"/>
        <w:spacing w:line="268" w:lineRule="exact"/>
        <w:ind w:left="2712"/>
        <w:jc w:val="both"/>
      </w:pPr>
      <w:r>
        <w:t xml:space="preserve">利亚莱纳斯 </w:t>
      </w:r>
      <w:r>
        <w:rPr>
          <w:rFonts w:ascii="Arial" w:eastAsia="Arial"/>
        </w:rPr>
        <w:t xml:space="preserve">2.5 </w:t>
      </w:r>
      <w:r>
        <w:t>万吨</w:t>
      </w:r>
      <w:r>
        <w:rPr>
          <w:rFonts w:ascii="Arial" w:eastAsia="Arial"/>
        </w:rPr>
        <w:t>/</w:t>
      </w:r>
      <w:r>
        <w:t>年稀土精矿产能贡献。</w:t>
      </w:r>
    </w:p>
    <w:p>
      <w:pPr>
        <w:pStyle w:val="BodyText"/>
        <w:spacing w:before="5"/>
        <w:rPr>
          <w:sz w:val="15"/>
        </w:rPr>
      </w:pPr>
    </w:p>
    <w:p>
      <w:pPr>
        <w:spacing w:before="71"/>
        <w:ind w:left="38" w:right="474" w:firstLine="0"/>
        <w:jc w:val="center"/>
        <w:rPr>
          <w:b/>
          <w:i/>
          <w:sz w:val="22"/>
        </w:rPr>
      </w:pPr>
      <w:r>
        <w:pict>
          <v:shape id="_x0000_s1296" style="width:383.25pt;height:0.1pt;margin-top:22.83pt;margin-left:169.22pt;mso-position-horizontal-relative:page;mso-wrap-distance-left:0;mso-wrap-distance-right:0;position:absolute;z-index:-251584512" coordorigin="3384,457" coordsize="7665,0" path="m3384,457l11049,457e" filled="f" stroked="t" strokecolor="#013e96" strokeweight="0.48pt">
            <v:stroke dashstyle="solid"/>
            <v:path arrowok="t"/>
            <w10:wrap type="topAndBottom"/>
          </v:shape>
        </w:pict>
      </w:r>
      <w:r>
        <w:rPr>
          <w:b/>
          <w:i/>
          <w:sz w:val="22"/>
        </w:rPr>
        <w:t xml:space="preserve">图表 </w:t>
      </w:r>
      <w:r>
        <w:rPr>
          <w:rFonts w:ascii="Arial" w:eastAsia="Arial"/>
          <w:b/>
          <w:i/>
          <w:sz w:val="21"/>
        </w:rPr>
        <w:t>15</w:t>
      </w:r>
      <w:r>
        <w:rPr>
          <w:b/>
          <w:i/>
          <w:sz w:val="22"/>
        </w:rPr>
        <w:t>：</w:t>
      </w:r>
      <w:r>
        <w:rPr>
          <w:rFonts w:ascii="Arial" w:eastAsia="Arial"/>
          <w:b/>
          <w:i/>
          <w:sz w:val="21"/>
        </w:rPr>
        <w:t xml:space="preserve">2018-2022 </w:t>
      </w:r>
      <w:r>
        <w:rPr>
          <w:b/>
          <w:i/>
          <w:sz w:val="22"/>
        </w:rPr>
        <w:t xml:space="preserve">年全球稀土产量（吨 </w:t>
      </w:r>
      <w:r>
        <w:rPr>
          <w:rFonts w:ascii="Arial" w:eastAsia="Arial"/>
          <w:b/>
          <w:i/>
          <w:sz w:val="21"/>
        </w:rPr>
        <w:t>REO</w:t>
      </w:r>
      <w:r>
        <w:rPr>
          <w:b/>
          <w:i/>
          <w:sz w:val="22"/>
        </w:rPr>
        <w:t>）</w:t>
      </w:r>
    </w:p>
    <w:p>
      <w:pPr>
        <w:spacing w:after="0"/>
        <w:jc w:val="center"/>
        <w:rPr>
          <w:sz w:val="22"/>
        </w:rPr>
        <w:sectPr>
          <w:headerReference w:type="default" r:id="rId65"/>
          <w:footerReference w:type="default" r:id="rId66"/>
          <w:pgSz w:w="11910" w:h="16840"/>
          <w:pgMar w:top="1360" w:right="520" w:bottom="660" w:left="660" w:header="708" w:footer="708"/>
          <w:pgNumType w:start="27"/>
          <w:cols w:space="708"/>
        </w:sectPr>
      </w:pPr>
    </w:p>
    <w:p>
      <w:pPr>
        <w:pStyle w:val="BodyText"/>
        <w:rPr>
          <w:b/>
          <w:i/>
          <w:sz w:val="3"/>
        </w:rPr>
      </w:pPr>
      <w:r>
        <w:pict>
          <v:shape id="_x0000_s1297" type="#_x0000_t202" style="width:60pt;height:12pt;margin-top:36.85pt;margin-left:488.98pt;mso-position-horizontal-relative:page;mso-position-vertical-relative:page;position:absolute;z-index:-251580416" filled="f" stroked="f">
            <v:textbox inset="0,0,0,0">
              <w:txbxContent>
                <w:p>
                  <w:pPr>
                    <w:spacing w:before="0" w:line="240" w:lineRule="exact"/>
                    <w:ind w:left="0" w:right="0" w:firstLine="0"/>
                    <w:jc w:val="left"/>
                    <w:rPr>
                      <w:sz w:val="24"/>
                    </w:rPr>
                  </w:pPr>
                  <w:r>
                    <w:rPr>
                      <w:sz w:val="24"/>
                    </w:rPr>
                    <w:t>丨公司名称</w:t>
                  </w:r>
                </w:p>
              </w:txbxContent>
            </v:textbox>
          </v:shape>
        </w:pict>
      </w:r>
    </w:p>
    <w:p>
      <w:pPr>
        <w:pStyle w:val="BodyText"/>
        <w:spacing w:line="20" w:lineRule="exact"/>
        <w:ind w:left="2733"/>
        <w:rPr>
          <w:sz w:val="2"/>
        </w:rPr>
      </w:pPr>
      <w:r>
        <w:rPr>
          <w:sz w:val="2"/>
        </w:rPr>
        <w:pict>
          <v:group id="_x0000_i1298" style="width:382.55pt;height:0.5pt;mso-position-horizontal-relative:char;mso-position-vertical-relative:line" coordorigin="0,0" coordsize="7651,10">
            <v:line id="_x0000_s1299" style="position:absolute" from="0,5" to="7650,5" stroked="t" strokecolor="#013e96" strokeweight="0.48pt">
              <v:stroke dashstyle="solid"/>
            </v:line>
            <w10:wrap type="none"/>
          </v:group>
        </w:pict>
      </w:r>
    </w:p>
    <w:p>
      <w:pPr>
        <w:pStyle w:val="BodyText"/>
        <w:spacing w:before="6"/>
        <w:rPr>
          <w:b/>
          <w:i/>
          <w:sz w:val="23"/>
        </w:rPr>
      </w:pPr>
      <w:r>
        <w:drawing>
          <wp:anchor distT="0" distB="0" distL="0" distR="0" simplePos="0" relativeHeight="251735040" behindDoc="0" locked="0" layoutInCell="1" allowOverlap="1">
            <wp:simplePos x="0" y="0"/>
            <wp:positionH relativeFrom="page">
              <wp:posOffset>2394266</wp:posOffset>
            </wp:positionH>
            <wp:positionV relativeFrom="paragraph">
              <wp:posOffset>216072</wp:posOffset>
            </wp:positionV>
            <wp:extent cx="4306885" cy="2610230"/>
            <wp:effectExtent l="0" t="0" r="0" b="0"/>
            <wp:wrapTopAndBottom/>
            <wp:docPr id="9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10.png"/>
                    <pic:cNvPicPr/>
                  </pic:nvPicPr>
                  <pic:blipFill>
                    <a:blip xmlns:r="http://schemas.openxmlformats.org/officeDocument/2006/relationships" r:embed="rId67" cstate="print"/>
                    <a:stretch>
                      <a:fillRect/>
                    </a:stretch>
                  </pic:blipFill>
                  <pic:spPr>
                    <a:xfrm>
                      <a:off x="0" y="0"/>
                      <a:ext cx="4306885" cy="2610230"/>
                    </a:xfrm>
                    <a:prstGeom prst="rect">
                      <a:avLst/>
                    </a:prstGeom>
                  </pic:spPr>
                </pic:pic>
              </a:graphicData>
            </a:graphic>
          </wp:anchor>
        </w:drawing>
      </w:r>
      <w:r>
        <w:pict>
          <v:shape id="_x0000_s1300" style="width:382.55pt;height:0.1pt;margin-top:233.78pt;margin-left:169.94pt;mso-position-horizontal-relative:page;mso-wrap-distance-left:0;mso-wrap-distance-right:0;position:absolute;z-index:-251579392" coordorigin="3399,4676" coordsize="7651,0" path="m3399,4676l11049,4676e" filled="f" stroked="t" strokecolor="#013e96" strokeweight="0.48pt">
            <v:stroke dashstyle="solid"/>
            <v:path arrowok="t"/>
            <w10:wrap type="topAndBottom"/>
          </v:shape>
        </w:pict>
      </w:r>
    </w:p>
    <w:p>
      <w:pPr>
        <w:pStyle w:val="BodyText"/>
        <w:spacing w:before="10"/>
        <w:rPr>
          <w:b/>
          <w:i/>
          <w:sz w:val="11"/>
        </w:rPr>
      </w:pPr>
    </w:p>
    <w:p>
      <w:pPr>
        <w:spacing w:before="70"/>
        <w:ind w:left="2846" w:right="0" w:firstLine="0"/>
        <w:jc w:val="left"/>
        <w:rPr>
          <w:sz w:val="15"/>
        </w:rPr>
      </w:pPr>
      <w:r>
        <w:t xml:space="preserve">数据来源：USGS， </w:t>
      </w:r>
    </w:p>
    <w:p>
      <w:pPr>
        <w:pStyle w:val="BodyText"/>
        <w:spacing w:before="9"/>
        <w:rPr>
          <w:sz w:val="19"/>
        </w:rPr>
      </w:pPr>
    </w:p>
    <w:p>
      <w:pPr>
        <w:pStyle w:val="BodyText"/>
        <w:spacing w:before="71" w:line="348" w:lineRule="auto"/>
        <w:ind w:left="2712" w:right="320" w:firstLine="423"/>
        <w:jc w:val="both"/>
      </w:pPr>
      <w:r>
        <w:rPr>
          <w:b/>
          <w:spacing w:val="-8"/>
        </w:rPr>
        <w:t>中国主导全球稀土分离冶炼产业，是全球稀土产业链最完备的国家。</w:t>
      </w:r>
      <w:r>
        <w:rPr>
          <w:spacing w:val="-3"/>
        </w:rPr>
        <w:t>稀土经过开</w:t>
      </w:r>
      <w:r>
        <w:rPr>
          <w:spacing w:val="-10"/>
        </w:rPr>
        <w:t>采后，需要通过分离冶炼环节进一步提取产品。海外稀土产业链各环节产能分散，多数稀土矿产能均无分离冶炼配套产能布局，美国、缅甸及马达加斯加等国的稀土开采</w:t>
      </w:r>
      <w:r>
        <w:rPr>
          <w:spacing w:val="-9"/>
        </w:rPr>
        <w:t>环节所得到的稀土矿多数由我国分离产能承接，分离出来的最终产品再返运到最终消</w:t>
      </w:r>
      <w:r>
        <w:rPr>
          <w:spacing w:val="-6"/>
        </w:rPr>
        <w:t>费国，</w:t>
      </w:r>
      <w:r>
        <w:rPr>
          <w:rFonts w:ascii="Arial" w:eastAsia="Arial"/>
          <w:spacing w:val="-5"/>
        </w:rPr>
        <w:t xml:space="preserve">2022 </w:t>
      </w:r>
      <w:r>
        <w:rPr>
          <w:spacing w:val="-9"/>
        </w:rPr>
        <w:t xml:space="preserve">日本稀土进口的 </w:t>
      </w:r>
      <w:r>
        <w:rPr>
          <w:rFonts w:ascii="Arial" w:eastAsia="Arial"/>
        </w:rPr>
        <w:t>66%</w:t>
      </w:r>
      <w:r>
        <w:rPr>
          <w:spacing w:val="-10"/>
        </w:rPr>
        <w:t xml:space="preserve">份额来自于中国。根据美国 </w:t>
      </w:r>
      <w:r>
        <w:rPr>
          <w:rFonts w:ascii="Arial" w:eastAsia="Arial"/>
        </w:rPr>
        <w:t xml:space="preserve">statista </w:t>
      </w:r>
      <w:r>
        <w:rPr>
          <w:spacing w:val="-4"/>
        </w:rPr>
        <w:t>数据，</w:t>
      </w:r>
      <w:r>
        <w:rPr>
          <w:rFonts w:ascii="Arial" w:eastAsia="Arial"/>
          <w:spacing w:val="-5"/>
        </w:rPr>
        <w:t xml:space="preserve">2022 </w:t>
      </w:r>
      <w:r>
        <w:t>年</w:t>
      </w:r>
      <w:r>
        <w:rPr>
          <w:spacing w:val="-7"/>
        </w:rPr>
        <w:t xml:space="preserve">美国共开采出 </w:t>
      </w:r>
      <w:r>
        <w:rPr>
          <w:rFonts w:ascii="Arial" w:eastAsia="Arial"/>
        </w:rPr>
        <w:t xml:space="preserve">4.3 </w:t>
      </w:r>
      <w:r>
        <w:rPr>
          <w:spacing w:val="-7"/>
        </w:rPr>
        <w:t xml:space="preserve">万吨稀土精矿，但有 </w:t>
      </w:r>
      <w:r>
        <w:rPr>
          <w:rFonts w:ascii="Arial" w:eastAsia="Arial"/>
        </w:rPr>
        <w:t xml:space="preserve">4.4 </w:t>
      </w:r>
      <w:r>
        <w:rPr>
          <w:spacing w:val="-5"/>
        </w:rPr>
        <w:t xml:space="preserve">万吨稀土精矿出口到海外加工，其 </w:t>
      </w:r>
      <w:r>
        <w:rPr>
          <w:rFonts w:ascii="Arial" w:eastAsia="Arial"/>
        </w:rPr>
        <w:t xml:space="preserve">2018 </w:t>
      </w:r>
      <w:r>
        <w:rPr>
          <w:spacing w:val="-18"/>
        </w:rPr>
        <w:t xml:space="preserve">年至 </w:t>
      </w:r>
      <w:r>
        <w:rPr>
          <w:rFonts w:ascii="Arial" w:eastAsia="Arial"/>
        </w:rPr>
        <w:t xml:space="preserve">2021 </w:t>
      </w:r>
      <w:r>
        <w:rPr>
          <w:spacing w:val="-6"/>
        </w:rPr>
        <w:t xml:space="preserve">年稀土进口第一大国为中国，占比高达 </w:t>
      </w:r>
      <w:r>
        <w:rPr>
          <w:rFonts w:ascii="Arial" w:eastAsia="Arial"/>
        </w:rPr>
        <w:t>74%</w:t>
      </w:r>
      <w:r>
        <w:t>。</w:t>
      </w:r>
    </w:p>
    <w:p>
      <w:pPr>
        <w:tabs>
          <w:tab w:val="left" w:pos="5535"/>
        </w:tabs>
        <w:spacing w:before="145"/>
        <w:ind w:left="290" w:right="0" w:firstLine="0"/>
        <w:jc w:val="left"/>
        <w:rPr>
          <w:b/>
          <w:i/>
          <w:sz w:val="22"/>
        </w:rPr>
      </w:pPr>
      <w:r>
        <w:pict>
          <v:shape id="_x0000_s1301" style="width:248.1pt;height:0.1pt;margin-top:24.85pt;margin-left:42.12pt;mso-position-horizontal-relative:page;mso-wrap-distance-left:0;mso-wrap-distance-right:0;position:absolute;z-index:-251578368" coordorigin="842,497" coordsize="4962,0" path="m842,497l5804,497e" filled="f" stroked="t" strokecolor="#013e96" strokeweight="0.48pt">
            <v:stroke dashstyle="solid"/>
            <v:path arrowok="t"/>
            <w10:wrap type="topAndBottom"/>
          </v:shape>
        </w:pict>
      </w:r>
      <w:r>
        <w:pict>
          <v:shape id="_x0000_s1302" style="width:248.25pt;height:0.1pt;margin-top:24.85pt;margin-left:304.37pt;mso-position-horizontal-relative:page;mso-wrap-distance-left:0;mso-wrap-distance-right:0;position:absolute;z-index:-251577344" coordorigin="6087,497" coordsize="4965,0" path="m6087,497l11052,497e" filled="f" stroked="t" strokecolor="#013e96" strokeweight="0.48pt">
            <v:stroke dashstyle="solid"/>
            <v:path arrowok="t"/>
            <w10:wrap type="topAndBottom"/>
          </v:shape>
        </w:pict>
      </w:r>
      <w:r>
        <w:rPr>
          <w:b/>
          <w:i/>
          <w:sz w:val="22"/>
        </w:rPr>
        <w:t>图表</w:t>
      </w:r>
      <w:r>
        <w:rPr>
          <w:b/>
          <w:i/>
          <w:spacing w:val="-84"/>
          <w:sz w:val="22"/>
        </w:rPr>
        <w:t xml:space="preserve"> </w:t>
      </w:r>
      <w:r>
        <w:rPr>
          <w:rFonts w:ascii="Arial" w:eastAsia="Arial"/>
          <w:b/>
          <w:i/>
          <w:sz w:val="21"/>
        </w:rPr>
        <w:t>16</w:t>
      </w:r>
      <w:r>
        <w:rPr>
          <w:b/>
          <w:i/>
          <w:sz w:val="22"/>
        </w:rPr>
        <w:t>：</w:t>
      </w:r>
      <w:r>
        <w:rPr>
          <w:rFonts w:ascii="Arial" w:eastAsia="Arial"/>
          <w:b/>
          <w:i/>
          <w:sz w:val="21"/>
        </w:rPr>
        <w:t>2022</w:t>
      </w:r>
      <w:r>
        <w:rPr>
          <w:rFonts w:ascii="Arial" w:eastAsia="Arial"/>
          <w:b/>
          <w:i/>
          <w:spacing w:val="-32"/>
          <w:sz w:val="21"/>
        </w:rPr>
        <w:t xml:space="preserve"> </w:t>
      </w:r>
      <w:r>
        <w:rPr>
          <w:b/>
          <w:i/>
          <w:sz w:val="22"/>
        </w:rPr>
        <w:t>年日本稀土进口分布</w:t>
        <w:tab/>
        <w:t>图表</w:t>
      </w:r>
      <w:r>
        <w:rPr>
          <w:b/>
          <w:i/>
          <w:spacing w:val="-62"/>
          <w:sz w:val="22"/>
        </w:rPr>
        <w:t xml:space="preserve"> </w:t>
      </w:r>
      <w:r>
        <w:rPr>
          <w:rFonts w:ascii="Arial" w:eastAsia="Arial"/>
          <w:b/>
          <w:i/>
          <w:sz w:val="21"/>
        </w:rPr>
        <w:t>17</w:t>
      </w:r>
      <w:r>
        <w:rPr>
          <w:b/>
          <w:i/>
          <w:sz w:val="22"/>
        </w:rPr>
        <w:t>：</w:t>
      </w:r>
      <w:r>
        <w:rPr>
          <w:rFonts w:ascii="Arial" w:eastAsia="Arial"/>
          <w:b/>
          <w:i/>
          <w:sz w:val="21"/>
        </w:rPr>
        <w:t>2018-2021</w:t>
      </w:r>
      <w:r>
        <w:rPr>
          <w:rFonts w:ascii="Arial" w:eastAsia="Arial"/>
          <w:b/>
          <w:i/>
          <w:spacing w:val="-12"/>
          <w:sz w:val="21"/>
        </w:rPr>
        <w:t xml:space="preserve"> </w:t>
      </w:r>
      <w:r>
        <w:rPr>
          <w:b/>
          <w:i/>
          <w:sz w:val="22"/>
        </w:rPr>
        <w:t>年美国稀土进口分布</w:t>
      </w:r>
    </w:p>
    <w:p>
      <w:pPr>
        <w:pStyle w:val="BodyText"/>
        <w:rPr>
          <w:b/>
          <w:i/>
          <w:sz w:val="7"/>
        </w:rPr>
      </w:pPr>
    </w:p>
    <w:p>
      <w:pPr>
        <w:tabs>
          <w:tab w:val="left" w:pos="5665"/>
        </w:tabs>
        <w:spacing w:line="240" w:lineRule="auto"/>
        <w:ind w:left="671" w:right="0" w:firstLine="0"/>
        <w:rPr>
          <w:sz w:val="20"/>
        </w:rPr>
      </w:pPr>
      <w:r>
        <w:rPr>
          <w:position w:val="5"/>
          <w:sz w:val="20"/>
        </w:rPr>
        <w:drawing>
          <wp:inline distT="0" distB="0" distL="0" distR="0">
            <wp:extent cx="2620149" cy="2155698"/>
            <wp:effectExtent l="0" t="0" r="0" b="0"/>
            <wp:docPr id="9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11.png"/>
                    <pic:cNvPicPr/>
                  </pic:nvPicPr>
                  <pic:blipFill>
                    <a:blip xmlns:r="http://schemas.openxmlformats.org/officeDocument/2006/relationships" r:embed="rId68" cstate="print"/>
                    <a:stretch>
                      <a:fillRect/>
                    </a:stretch>
                  </pic:blipFill>
                  <pic:spPr>
                    <a:xfrm>
                      <a:off x="0" y="0"/>
                      <a:ext cx="2620149" cy="2155698"/>
                    </a:xfrm>
                    <a:prstGeom prst="rect">
                      <a:avLst/>
                    </a:prstGeom>
                  </pic:spPr>
                </pic:pic>
              </a:graphicData>
            </a:graphic>
          </wp:inline>
        </w:drawing>
      </w:r>
      <w:r>
        <w:rPr>
          <w:position w:val="5"/>
          <w:sz w:val="20"/>
        </w:rPr>
        <w:tab/>
      </w:r>
      <w:r>
        <w:rPr>
          <w:sz w:val="20"/>
        </w:rPr>
        <w:drawing>
          <wp:inline distT="0" distB="0" distL="0" distR="0">
            <wp:extent cx="2491058" cy="2149030"/>
            <wp:effectExtent l="0" t="0" r="0" b="0"/>
            <wp:docPr id="9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12.png"/>
                    <pic:cNvPicPr/>
                  </pic:nvPicPr>
                  <pic:blipFill>
                    <a:blip xmlns:r="http://schemas.openxmlformats.org/officeDocument/2006/relationships" r:embed="rId69" cstate="print"/>
                    <a:stretch>
                      <a:fillRect/>
                    </a:stretch>
                  </pic:blipFill>
                  <pic:spPr>
                    <a:xfrm>
                      <a:off x="0" y="0"/>
                      <a:ext cx="2491058" cy="2149030"/>
                    </a:xfrm>
                    <a:prstGeom prst="rect">
                      <a:avLst/>
                    </a:prstGeom>
                  </pic:spPr>
                </pic:pic>
              </a:graphicData>
            </a:graphic>
          </wp:inline>
        </w:drawing>
      </w:r>
    </w:p>
    <w:p>
      <w:pPr>
        <w:pStyle w:val="BodyText"/>
        <w:rPr>
          <w:b/>
          <w:i/>
          <w:sz w:val="20"/>
        </w:rPr>
      </w:pPr>
    </w:p>
    <w:p>
      <w:pPr>
        <w:pStyle w:val="BodyText"/>
        <w:spacing w:before="8"/>
        <w:rPr>
          <w:b/>
          <w:i/>
          <w:sz w:val="15"/>
        </w:rPr>
      </w:pPr>
      <w:r>
        <w:pict>
          <v:shape id="_x0000_s1303" style="width:248.1pt;height:0.1pt;margin-top:12.21pt;margin-left:42.12pt;mso-position-horizontal-relative:page;mso-wrap-distance-left:0;mso-wrap-distance-right:0;position:absolute;z-index:-251576320" coordorigin="842,244" coordsize="4962,0" path="m842,244l5804,244e" filled="f" stroked="t" strokecolor="#013e96" strokeweight="0.48pt">
            <v:stroke dashstyle="solid"/>
            <v:path arrowok="t"/>
            <w10:wrap type="topAndBottom"/>
          </v:shape>
        </w:pict>
      </w:r>
      <w:r>
        <w:pict>
          <v:shape id="_x0000_s1304" style="width:248.25pt;height:0.1pt;margin-top:12.21pt;margin-left:304.37pt;mso-position-horizontal-relative:page;mso-wrap-distance-left:0;mso-wrap-distance-right:0;position:absolute;z-index:-251575296" coordorigin="6087,244" coordsize="4965,0" path="m6087,244l11052,244e" filled="f" stroked="t" strokecolor="#013e96" strokeweight="0.48pt">
            <v:stroke dashstyle="solid"/>
            <v:path arrowok="t"/>
            <w10:wrap type="topAndBottom"/>
          </v:shape>
        </w:pict>
      </w:r>
    </w:p>
    <w:p>
      <w:pPr>
        <w:tabs>
          <w:tab w:val="left" w:pos="5535"/>
        </w:tabs>
        <w:spacing w:before="70"/>
        <w:ind w:left="290" w:right="0" w:firstLine="0"/>
        <w:jc w:val="left"/>
        <w:rPr>
          <w:sz w:val="15"/>
        </w:rPr>
      </w:pPr>
      <w:r>
        <w:t xml:space="preserve">数据来源： ， </w:t>
        <w:tab/>
        <w:t xml:space="preserve">数据来源：statista， </w:t>
      </w:r>
    </w:p>
    <w:p>
      <w:pPr>
        <w:pStyle w:val="BodyText"/>
        <w:spacing w:before="10"/>
        <w:rPr>
          <w:sz w:val="18"/>
        </w:rPr>
      </w:pPr>
    </w:p>
    <w:p>
      <w:pPr>
        <w:spacing w:before="71" w:line="348" w:lineRule="auto"/>
        <w:ind w:left="2712" w:right="321" w:firstLine="423"/>
        <w:jc w:val="both"/>
        <w:rPr>
          <w:sz w:val="21"/>
        </w:rPr>
        <w:sectPr>
          <w:headerReference w:type="default" r:id="rId70"/>
          <w:footerReference w:type="default" r:id="rId71"/>
          <w:pgSz w:w="11910" w:h="16840"/>
          <w:pgMar w:top="1360" w:right="520" w:bottom="660" w:left="660" w:header="708" w:footer="708"/>
          <w:pgNumType w:start="28"/>
          <w:cols w:space="708"/>
        </w:sectPr>
      </w:pPr>
      <w:r>
        <w:rPr>
          <w:b/>
          <w:spacing w:val="-8"/>
          <w:sz w:val="21"/>
        </w:rPr>
        <w:t>我国稀土采取开采指标配额制度，国内供应量由配额政策决定。</w:t>
      </w:r>
      <w:r>
        <w:rPr>
          <w:spacing w:val="-3"/>
          <w:sz w:val="21"/>
        </w:rPr>
        <w:t>几十年来稀土供给侧始终在进行改革，为了保护珍贵的稀土资源，</w:t>
      </w:r>
      <w:r>
        <w:rPr>
          <w:rFonts w:ascii="Arial" w:eastAsia="Arial"/>
          <w:sz w:val="21"/>
        </w:rPr>
        <w:t>2007</w:t>
      </w:r>
      <w:r>
        <w:rPr>
          <w:rFonts w:ascii="Arial" w:eastAsia="Arial"/>
          <w:spacing w:val="47"/>
          <w:sz w:val="21"/>
        </w:rPr>
        <w:t xml:space="preserve"> </w:t>
      </w:r>
      <w:r>
        <w:rPr>
          <w:spacing w:val="-3"/>
          <w:sz w:val="21"/>
        </w:rPr>
        <w:t>年起，国土资源部收回对稀土的探矿、采矿权；</w:t>
      </w:r>
      <w:r>
        <w:rPr>
          <w:rFonts w:ascii="Arial" w:eastAsia="Arial"/>
          <w:sz w:val="21"/>
        </w:rPr>
        <w:t>2009</w:t>
      </w:r>
      <w:r>
        <w:rPr>
          <w:rFonts w:ascii="Arial" w:eastAsia="Arial"/>
          <w:spacing w:val="52"/>
          <w:sz w:val="21"/>
        </w:rPr>
        <w:t xml:space="preserve"> </w:t>
      </w:r>
      <w:r>
        <w:rPr>
          <w:spacing w:val="-3"/>
          <w:sz w:val="21"/>
        </w:rPr>
        <w:t>年起暂停对稀土颁发新的探矿权和采矿权许可证，并颁布</w:t>
      </w:r>
    </w:p>
    <w:p>
      <w:pPr>
        <w:pStyle w:val="BodyText"/>
        <w:spacing w:before="1"/>
        <w:ind w:left="2712"/>
      </w:pPr>
      <w:r>
        <w:rPr>
          <w:spacing w:val="-8"/>
        </w:rPr>
        <w:t>《保护性开采的特定矿种勘查开采管理暂行办法》，对特定矿种的勘探、开采实行统</w:t>
      </w:r>
    </w:p>
    <w:p>
      <w:pPr>
        <w:spacing w:after="0"/>
        <w:sectPr>
          <w:headerReference w:type="default" r:id="rId72"/>
          <w:footerReference w:type="default" r:id="rId73"/>
          <w:type w:val="nextPage"/>
          <w:pgSz w:w="11910" w:h="16840"/>
          <w:pgMar w:top="1360" w:right="520" w:bottom="660" w:left="660" w:header="708" w:footer="708"/>
          <w:pgNumType w:start="29"/>
          <w:cols w:space="708"/>
          <w:titlePg w:val="0"/>
        </w:sectPr>
      </w:pPr>
    </w:p>
    <w:p>
      <w:pPr>
        <w:pStyle w:val="BodyText"/>
        <w:spacing w:before="100" w:line="348" w:lineRule="auto"/>
        <w:ind w:left="2712" w:right="217"/>
      </w:pPr>
      <w:r>
        <w:pict>
          <v:shape id="_x0000_s1305" type="#_x0000_t202" style="width:60pt;height:12pt;margin-top:36.85pt;margin-left:488.98pt;mso-position-horizontal-relative:page;mso-position-vertical-relative:page;position:absolute;z-index:-251574272" filled="f" stroked="f">
            <v:textbox inset="0,0,0,0">
              <w:txbxContent>
                <w:p>
                  <w:pPr>
                    <w:spacing w:before="0" w:line="240" w:lineRule="exact"/>
                    <w:ind w:left="0" w:right="0" w:firstLine="0"/>
                    <w:jc w:val="left"/>
                    <w:rPr>
                      <w:sz w:val="24"/>
                    </w:rPr>
                  </w:pPr>
                  <w:r>
                    <w:rPr>
                      <w:sz w:val="24"/>
                    </w:rPr>
                    <w:t>丨公司名称</w:t>
                  </w:r>
                </w:p>
              </w:txbxContent>
            </v:textbox>
          </v:shape>
        </w:pict>
      </w:r>
      <w:r>
        <w:drawing>
          <wp:anchor distT="0" distB="0" distL="0" distR="0" simplePos="0" relativeHeight="251743232" behindDoc="1" locked="0" layoutInCell="1" allowOverlap="1">
            <wp:simplePos x="0" y="0"/>
            <wp:positionH relativeFrom="page">
              <wp:posOffset>5046648</wp:posOffset>
            </wp:positionH>
            <wp:positionV relativeFrom="page">
              <wp:posOffset>9731261</wp:posOffset>
            </wp:positionV>
            <wp:extent cx="71558" cy="70103"/>
            <wp:effectExtent l="0" t="0" r="0" b="0"/>
            <wp:wrapNone/>
            <wp:docPr id="9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13.png"/>
                    <pic:cNvPicPr/>
                  </pic:nvPicPr>
                  <pic:blipFill>
                    <a:blip xmlns:r="http://schemas.openxmlformats.org/officeDocument/2006/relationships" r:embed="rId74" cstate="print"/>
                    <a:stretch>
                      <a:fillRect/>
                    </a:stretch>
                  </pic:blipFill>
                  <pic:spPr>
                    <a:xfrm>
                      <a:off x="0" y="0"/>
                      <a:ext cx="71558" cy="70103"/>
                    </a:xfrm>
                    <a:prstGeom prst="rect">
                      <a:avLst/>
                    </a:prstGeom>
                  </pic:spPr>
                </pic:pic>
              </a:graphicData>
            </a:graphic>
          </wp:anchor>
        </w:drawing>
      </w:r>
      <w:r>
        <w:drawing>
          <wp:anchor distT="0" distB="0" distL="0" distR="0" simplePos="0" relativeHeight="251744256" behindDoc="1" locked="0" layoutInCell="1" allowOverlap="1">
            <wp:simplePos x="0" y="0"/>
            <wp:positionH relativeFrom="page">
              <wp:posOffset>5586294</wp:posOffset>
            </wp:positionH>
            <wp:positionV relativeFrom="page">
              <wp:posOffset>9731261</wp:posOffset>
            </wp:positionV>
            <wp:extent cx="71558" cy="70103"/>
            <wp:effectExtent l="0" t="0" r="0" b="0"/>
            <wp:wrapNone/>
            <wp:docPr id="10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13.png"/>
                    <pic:cNvPicPr/>
                  </pic:nvPicPr>
                  <pic:blipFill>
                    <a:blip xmlns:r="http://schemas.openxmlformats.org/officeDocument/2006/relationships" r:embed="rId74" cstate="print"/>
                    <a:stretch>
                      <a:fillRect/>
                    </a:stretch>
                  </pic:blipFill>
                  <pic:spPr>
                    <a:xfrm>
                      <a:off x="0" y="0"/>
                      <a:ext cx="71558" cy="70103"/>
                    </a:xfrm>
                    <a:prstGeom prst="rect">
                      <a:avLst/>
                    </a:prstGeom>
                  </pic:spPr>
                </pic:pic>
              </a:graphicData>
            </a:graphic>
          </wp:anchor>
        </w:drawing>
      </w:r>
      <w:r>
        <w:drawing>
          <wp:anchor distT="0" distB="0" distL="0" distR="0" simplePos="0" relativeHeight="251745280" behindDoc="1" locked="0" layoutInCell="1" allowOverlap="1">
            <wp:simplePos x="0" y="0"/>
            <wp:positionH relativeFrom="page">
              <wp:posOffset>6153603</wp:posOffset>
            </wp:positionH>
            <wp:positionV relativeFrom="page">
              <wp:posOffset>9731261</wp:posOffset>
            </wp:positionV>
            <wp:extent cx="71558" cy="70103"/>
            <wp:effectExtent l="0" t="0" r="0" b="0"/>
            <wp:wrapNone/>
            <wp:docPr id="10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13.png"/>
                    <pic:cNvPicPr/>
                  </pic:nvPicPr>
                  <pic:blipFill>
                    <a:blip xmlns:r="http://schemas.openxmlformats.org/officeDocument/2006/relationships" r:embed="rId74" cstate="print"/>
                    <a:stretch>
                      <a:fillRect/>
                    </a:stretch>
                  </pic:blipFill>
                  <pic:spPr>
                    <a:xfrm>
                      <a:off x="0" y="0"/>
                      <a:ext cx="71558" cy="70103"/>
                    </a:xfrm>
                    <a:prstGeom prst="rect">
                      <a:avLst/>
                    </a:prstGeom>
                  </pic:spPr>
                </pic:pic>
              </a:graphicData>
            </a:graphic>
          </wp:anchor>
        </w:drawing>
      </w:r>
      <w:r>
        <w:drawing>
          <wp:anchor distT="0" distB="0" distL="0" distR="0" simplePos="0" relativeHeight="251746304" behindDoc="1" locked="0" layoutInCell="1" allowOverlap="1">
            <wp:simplePos x="0" y="0"/>
            <wp:positionH relativeFrom="page">
              <wp:posOffset>6746289</wp:posOffset>
            </wp:positionH>
            <wp:positionV relativeFrom="page">
              <wp:posOffset>9731261</wp:posOffset>
            </wp:positionV>
            <wp:extent cx="71558" cy="70103"/>
            <wp:effectExtent l="0" t="0" r="0" b="0"/>
            <wp:wrapNone/>
            <wp:docPr id="10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13.png"/>
                    <pic:cNvPicPr/>
                  </pic:nvPicPr>
                  <pic:blipFill>
                    <a:blip xmlns:r="http://schemas.openxmlformats.org/officeDocument/2006/relationships" r:embed="rId74" cstate="print"/>
                    <a:stretch>
                      <a:fillRect/>
                    </a:stretch>
                  </pic:blipFill>
                  <pic:spPr>
                    <a:xfrm>
                      <a:off x="0" y="0"/>
                      <a:ext cx="71558" cy="70103"/>
                    </a:xfrm>
                    <a:prstGeom prst="rect">
                      <a:avLst/>
                    </a:prstGeom>
                  </pic:spPr>
                </pic:pic>
              </a:graphicData>
            </a:graphic>
          </wp:anchor>
        </w:drawing>
      </w:r>
      <w:r>
        <w:pict>
          <v:line id="_x0000_s1306" style="mso-position-horizontal-relative:page;mso-position-vertical-relative:page;position:absolute;z-index:251748352" from="169.2pt,799.4pt" to="552.95pt,799.4pt" stroked="t" strokecolor="#013e96" strokeweight="0.48pt">
            <v:stroke dashstyle="solid"/>
          </v:line>
        </w:pict>
      </w:r>
      <w:r>
        <w:rPr>
          <w:spacing w:val="-17"/>
        </w:rPr>
        <w:t>一规划、总量控制和综合利用的政策，由此确立了国家主导稀土资源供应的市场机制。</w:t>
      </w:r>
      <w:r>
        <w:rPr>
          <w:spacing w:val="-11"/>
        </w:rPr>
        <w:t>目前稀土是中国实行生产总量控制管理的产品，任何单位和个人不得无指标和超指标生产。</w:t>
      </w:r>
    </w:p>
    <w:p>
      <w:pPr>
        <w:pStyle w:val="BodyText"/>
        <w:spacing w:before="154" w:line="348" w:lineRule="auto"/>
        <w:ind w:left="2712" w:right="320" w:firstLine="423"/>
        <w:jc w:val="both"/>
      </w:pPr>
      <w:r>
        <w:rPr>
          <w:rFonts w:ascii="Arial" w:eastAsia="Arial"/>
          <w:b/>
        </w:rPr>
        <w:t>2023</w:t>
      </w:r>
      <w:r>
        <w:rPr>
          <w:rFonts w:ascii="Arial" w:eastAsia="Arial"/>
          <w:b/>
          <w:spacing w:val="13"/>
        </w:rPr>
        <w:t xml:space="preserve"> </w:t>
      </w:r>
      <w:r>
        <w:rPr>
          <w:b/>
          <w:spacing w:val="-3"/>
        </w:rPr>
        <w:t xml:space="preserve">年稀土开采和冶炼分离指标同比增长 </w:t>
      </w:r>
      <w:r>
        <w:rPr>
          <w:rFonts w:ascii="Arial" w:eastAsia="Arial"/>
          <w:b/>
        </w:rPr>
        <w:t>21.4%</w:t>
      </w:r>
      <w:r>
        <w:rPr>
          <w:b/>
          <w:spacing w:val="-16"/>
        </w:rPr>
        <w:t xml:space="preserve">和 </w:t>
      </w:r>
      <w:r>
        <w:rPr>
          <w:rFonts w:ascii="Arial" w:eastAsia="Arial"/>
          <w:b/>
        </w:rPr>
        <w:t>20.7%</w:t>
      </w:r>
      <w:r>
        <w:rPr>
          <w:b/>
        </w:rPr>
        <w:t>。</w:t>
      </w:r>
      <w:r>
        <w:rPr>
          <w:rFonts w:ascii="Arial" w:eastAsia="Arial"/>
        </w:rPr>
        <w:t>2023</w:t>
      </w:r>
      <w:r>
        <w:rPr>
          <w:rFonts w:ascii="Arial" w:eastAsia="Arial"/>
          <w:spacing w:val="13"/>
        </w:rPr>
        <w:t xml:space="preserve"> </w:t>
      </w:r>
      <w:r>
        <w:rPr>
          <w:spacing w:val="-2"/>
        </w:rPr>
        <w:t>年合计下发</w:t>
      </w:r>
      <w:r>
        <w:rPr>
          <w:spacing w:val="-8"/>
        </w:rPr>
        <w:t xml:space="preserve">三次指标，也是国内自对稀土进行总量控制以来首次发布三批指标，是 </w:t>
      </w:r>
      <w:r>
        <w:rPr>
          <w:rFonts w:ascii="Arial" w:eastAsia="Arial"/>
        </w:rPr>
        <w:t>2023</w:t>
      </w:r>
      <w:r>
        <w:rPr>
          <w:rFonts w:ascii="Arial" w:eastAsia="Arial"/>
          <w:spacing w:val="8"/>
        </w:rPr>
        <w:t xml:space="preserve"> </w:t>
      </w:r>
      <w:r>
        <w:t>年度第二批指标发布时所提到的综合考虑市场需求和各稀土集团指标执行情况等最终确定</w:t>
      </w:r>
      <w:r>
        <w:rPr>
          <w:spacing w:val="-9"/>
        </w:rPr>
        <w:t xml:space="preserve">而来。全年看年稀土开采、冶炼分离总量控制指标分别为 </w:t>
      </w:r>
      <w:r>
        <w:rPr>
          <w:rFonts w:ascii="Arial" w:eastAsia="Arial"/>
        </w:rPr>
        <w:t>25.5</w:t>
      </w:r>
      <w:r>
        <w:rPr>
          <w:rFonts w:ascii="Arial" w:eastAsia="Arial"/>
          <w:spacing w:val="-1"/>
        </w:rPr>
        <w:t xml:space="preserve"> </w:t>
      </w:r>
      <w:r>
        <w:rPr>
          <w:spacing w:val="-13"/>
        </w:rPr>
        <w:t xml:space="preserve">万吨和 </w:t>
      </w:r>
      <w:r>
        <w:rPr>
          <w:rFonts w:ascii="Arial" w:eastAsia="Arial"/>
        </w:rPr>
        <w:t>24.4</w:t>
      </w:r>
      <w:r>
        <w:rPr>
          <w:rFonts w:ascii="Arial" w:eastAsia="Arial"/>
          <w:spacing w:val="-1"/>
        </w:rPr>
        <w:t xml:space="preserve"> </w:t>
      </w:r>
      <w:r>
        <w:rPr>
          <w:spacing w:val="-12"/>
        </w:rPr>
        <w:t>万吨，同</w:t>
      </w:r>
      <w:r>
        <w:rPr>
          <w:spacing w:val="-13"/>
        </w:rPr>
        <w:t xml:space="preserve">比增长 </w:t>
      </w:r>
      <w:r>
        <w:rPr>
          <w:rFonts w:ascii="Arial" w:eastAsia="Arial"/>
        </w:rPr>
        <w:t>21.4%</w:t>
      </w:r>
      <w:r>
        <w:rPr>
          <w:spacing w:val="-22"/>
        </w:rPr>
        <w:t xml:space="preserve">和 </w:t>
      </w:r>
      <w:r>
        <w:rPr>
          <w:rFonts w:ascii="Arial" w:eastAsia="Arial"/>
        </w:rPr>
        <w:t>20.7%</w:t>
      </w:r>
      <w:r>
        <w:rPr>
          <w:spacing w:val="-8"/>
        </w:rPr>
        <w:t>。</w:t>
      </w:r>
      <w:r>
        <w:rPr>
          <w:rFonts w:ascii="Arial" w:eastAsia="Arial"/>
        </w:rPr>
        <w:t xml:space="preserve">2023 </w:t>
      </w:r>
      <w:r>
        <w:rPr>
          <w:spacing w:val="-5"/>
        </w:rPr>
        <w:t>年稀土配额指标分配给中国稀土集团、北方稀土、厦</w:t>
      </w:r>
      <w:r>
        <w:rPr>
          <w:spacing w:val="-10"/>
        </w:rPr>
        <w:t>门钨业及广东稀土，轻稀土方面，北方稀土和中国稀土集团占据了全部开采指标；重</w:t>
      </w:r>
      <w:r>
        <w:rPr>
          <w:spacing w:val="-9"/>
        </w:rPr>
        <w:t xml:space="preserve">稀土方面，中国稀土集团离子型稀土配额达到 </w:t>
      </w:r>
      <w:r>
        <w:rPr>
          <w:rFonts w:ascii="Arial" w:eastAsia="Arial"/>
        </w:rPr>
        <w:t>1.3</w:t>
      </w:r>
      <w:r>
        <w:rPr>
          <w:rFonts w:ascii="Arial" w:eastAsia="Arial"/>
          <w:spacing w:val="5"/>
        </w:rPr>
        <w:t xml:space="preserve"> </w:t>
      </w:r>
      <w:r>
        <w:t>万吨，占全部离子型稀土指标近</w:t>
      </w:r>
      <w:r>
        <w:rPr>
          <w:rFonts w:ascii="Arial" w:eastAsia="Arial"/>
        </w:rPr>
        <w:t>70%</w:t>
      </w:r>
      <w:r>
        <w:t>。</w:t>
      </w:r>
    </w:p>
    <w:p>
      <w:pPr>
        <w:spacing w:before="148"/>
        <w:ind w:left="2846" w:right="0" w:firstLine="0"/>
        <w:jc w:val="left"/>
        <w:rPr>
          <w:b/>
          <w:i/>
          <w:sz w:val="22"/>
        </w:rPr>
      </w:pPr>
      <w:r>
        <w:pict>
          <v:group id="_x0000_s1307" style="width:383.75pt;height:1pt;margin-top:26.32pt;margin-left:169.22pt;mso-position-horizontal-relative:page;position:absolute;z-index:251747328" coordorigin="3384,526" coordsize="7675,20">
            <v:line id="_x0000_s1308" style="position:absolute" from="3399,541" to="11059,541" stroked="t" strokecolor="#013e96" strokeweight="0.48pt">
              <v:stroke dashstyle="solid"/>
            </v:line>
            <v:line id="_x0000_s1309" style="position:absolute" from="3384,531" to="11049,531" stroked="t" strokecolor="#013e96" strokeweight="0.48pt">
              <v:stroke dashstyle="solid"/>
            </v:line>
          </v:group>
        </w:pict>
      </w:r>
      <w:r>
        <w:rPr>
          <w:b/>
          <w:i/>
          <w:spacing w:val="-26"/>
          <w:sz w:val="22"/>
        </w:rPr>
        <w:t xml:space="preserve">图表 </w:t>
      </w:r>
      <w:r>
        <w:rPr>
          <w:rFonts w:ascii="Arial" w:eastAsia="Arial"/>
          <w:b/>
          <w:i/>
          <w:sz w:val="21"/>
        </w:rPr>
        <w:t>18</w:t>
      </w:r>
      <w:r>
        <w:rPr>
          <w:b/>
          <w:i/>
          <w:sz w:val="22"/>
        </w:rPr>
        <w:t>：</w:t>
      </w:r>
      <w:r>
        <w:rPr>
          <w:rFonts w:ascii="Arial" w:eastAsia="Arial"/>
          <w:b/>
          <w:i/>
          <w:sz w:val="21"/>
        </w:rPr>
        <w:t xml:space="preserve">2023 </w:t>
      </w:r>
      <w:r>
        <w:rPr>
          <w:b/>
          <w:i/>
          <w:spacing w:val="-7"/>
          <w:sz w:val="22"/>
        </w:rPr>
        <w:t xml:space="preserve">年中国开采和冶炼分离指标同比增长 </w:t>
      </w:r>
      <w:r>
        <w:rPr>
          <w:rFonts w:ascii="Arial" w:eastAsia="Arial"/>
          <w:b/>
          <w:i/>
          <w:sz w:val="21"/>
        </w:rPr>
        <w:t>21.4%</w:t>
      </w:r>
      <w:r>
        <w:rPr>
          <w:b/>
          <w:i/>
          <w:spacing w:val="-38"/>
          <w:sz w:val="22"/>
        </w:rPr>
        <w:t xml:space="preserve">和 </w:t>
      </w:r>
      <w:r>
        <w:rPr>
          <w:rFonts w:ascii="Arial" w:eastAsia="Arial"/>
          <w:b/>
          <w:i/>
          <w:sz w:val="21"/>
        </w:rPr>
        <w:t>20.7%</w:t>
      </w:r>
      <w:r>
        <w:rPr>
          <w:b/>
          <w:i/>
          <w:sz w:val="22"/>
        </w:rPr>
        <w:t>（</w:t>
      </w:r>
      <w:r>
        <w:rPr>
          <w:b/>
          <w:i/>
          <w:spacing w:val="-38"/>
          <w:sz w:val="22"/>
        </w:rPr>
        <w:t xml:space="preserve">吨 </w:t>
      </w:r>
      <w:r>
        <w:rPr>
          <w:rFonts w:ascii="Arial" w:eastAsia="Arial"/>
          <w:b/>
          <w:i/>
          <w:sz w:val="21"/>
        </w:rPr>
        <w:t>REO</w:t>
      </w:r>
      <w:r>
        <w:rPr>
          <w:b/>
          <w:i/>
          <w:sz w:val="22"/>
        </w:rPr>
        <w:t>）</w:t>
      </w:r>
    </w:p>
    <w:p>
      <w:pPr>
        <w:pStyle w:val="BodyText"/>
        <w:spacing w:before="4"/>
        <w:rPr>
          <w:b/>
          <w:i/>
          <w:sz w:val="8"/>
        </w:rPr>
      </w:pPr>
    </w:p>
    <w:tbl>
      <w:tblPr>
        <w:tblStyle w:val="TableNormal5"/>
        <w:tblW w:w="0" w:type="auto"/>
        <w:jc w:val="left"/>
        <w:tblInd w:w="2856" w:type="dxa"/>
        <w:tblBorders>
          <w:top w:val="single" w:sz="4" w:space="0" w:color="013E96"/>
          <w:left w:val="single" w:sz="4" w:space="0" w:color="013E96"/>
          <w:bottom w:val="single" w:sz="4" w:space="0" w:color="013E96"/>
          <w:right w:val="single" w:sz="4" w:space="0" w:color="013E96"/>
          <w:insideH w:val="single" w:sz="4" w:space="0" w:color="013E96"/>
          <w:insideV w:val="single" w:sz="4" w:space="0" w:color="013E96"/>
        </w:tblBorders>
        <w:tblLayout w:type="fixed"/>
        <w:tblCellMar>
          <w:top w:w="0" w:type="dxa"/>
          <w:left w:w="0" w:type="dxa"/>
          <w:bottom w:w="0" w:type="dxa"/>
          <w:right w:w="0" w:type="dxa"/>
        </w:tblCellMar>
        <w:tblLook w:val="01E0"/>
      </w:tblPr>
      <w:tblGrid>
        <w:gridCol w:w="1028"/>
        <w:gridCol w:w="1275"/>
        <w:gridCol w:w="1703"/>
        <w:gridCol w:w="1922"/>
        <w:gridCol w:w="1509"/>
      </w:tblGrid>
      <w:tr>
        <w:tblPrEx>
          <w:tblW w:w="0" w:type="auto"/>
          <w:jc w:val="left"/>
          <w:tblInd w:w="2856" w:type="dxa"/>
          <w:tblBorders>
            <w:top w:val="single" w:sz="4" w:space="0" w:color="013E96"/>
            <w:left w:val="single" w:sz="4" w:space="0" w:color="013E96"/>
            <w:bottom w:val="single" w:sz="4" w:space="0" w:color="013E96"/>
            <w:right w:val="single" w:sz="4" w:space="0" w:color="013E96"/>
            <w:insideH w:val="single" w:sz="4" w:space="0" w:color="013E96"/>
            <w:insideV w:val="single" w:sz="4" w:space="0" w:color="013E96"/>
          </w:tblBorders>
          <w:tblLayout w:type="fixed"/>
          <w:tblCellMar>
            <w:top w:w="0" w:type="dxa"/>
            <w:left w:w="0" w:type="dxa"/>
            <w:bottom w:w="0" w:type="dxa"/>
            <w:right w:w="0" w:type="dxa"/>
          </w:tblCellMar>
          <w:tblLook w:val="01E0"/>
        </w:tblPrEx>
        <w:trPr>
          <w:trHeight w:val="789"/>
          <w:jc w:val="left"/>
        </w:trPr>
        <w:tc>
          <w:tcPr>
            <w:tcW w:w="1028" w:type="dxa"/>
            <w:tcBorders>
              <w:left w:val="single" w:sz="4" w:space="0" w:color="000000"/>
              <w:bottom w:val="single" w:sz="4" w:space="0" w:color="000000"/>
              <w:right w:val="single" w:sz="4" w:space="0" w:color="000000"/>
            </w:tcBorders>
            <w:shd w:val="clear" w:color="auto" w:fill="4471C4"/>
          </w:tcPr>
          <w:p>
            <w:pPr>
              <w:pStyle w:val="TableParagraph"/>
              <w:spacing w:before="3"/>
              <w:rPr>
                <w:b/>
                <w:i/>
                <w:sz w:val="22"/>
              </w:rPr>
            </w:pPr>
          </w:p>
          <w:p>
            <w:pPr>
              <w:pStyle w:val="TableParagraph"/>
              <w:ind w:left="314" w:right="304"/>
              <w:jc w:val="center"/>
              <w:rPr>
                <w:sz w:val="18"/>
              </w:rPr>
            </w:pPr>
            <w:r>
              <w:rPr>
                <w:color w:val="FFFFFF"/>
                <w:sz w:val="18"/>
              </w:rPr>
              <w:t>序号</w:t>
            </w:r>
          </w:p>
        </w:tc>
        <w:tc>
          <w:tcPr>
            <w:tcW w:w="1275" w:type="dxa"/>
            <w:tcBorders>
              <w:left w:val="single" w:sz="4" w:space="0" w:color="000000"/>
              <w:bottom w:val="single" w:sz="4" w:space="0" w:color="000000"/>
              <w:right w:val="single" w:sz="4" w:space="0" w:color="000000"/>
            </w:tcBorders>
            <w:shd w:val="clear" w:color="auto" w:fill="4471C4"/>
          </w:tcPr>
          <w:p>
            <w:pPr>
              <w:pStyle w:val="TableParagraph"/>
              <w:spacing w:before="3"/>
              <w:rPr>
                <w:b/>
                <w:i/>
                <w:sz w:val="22"/>
              </w:rPr>
            </w:pPr>
          </w:p>
          <w:p>
            <w:pPr>
              <w:pStyle w:val="TableParagraph"/>
              <w:ind w:left="275"/>
              <w:rPr>
                <w:sz w:val="18"/>
              </w:rPr>
            </w:pPr>
            <w:r>
              <w:rPr>
                <w:color w:val="FFFFFF"/>
                <w:sz w:val="18"/>
              </w:rPr>
              <w:t>稀土集团</w:t>
            </w:r>
          </w:p>
        </w:tc>
        <w:tc>
          <w:tcPr>
            <w:tcW w:w="1703" w:type="dxa"/>
            <w:tcBorders>
              <w:left w:val="single" w:sz="4" w:space="0" w:color="000000"/>
              <w:bottom w:val="single" w:sz="4" w:space="0" w:color="000000"/>
              <w:right w:val="single" w:sz="4" w:space="0" w:color="000000"/>
            </w:tcBorders>
            <w:shd w:val="clear" w:color="auto" w:fill="4471C4"/>
          </w:tcPr>
          <w:p>
            <w:pPr>
              <w:pStyle w:val="TableParagraph"/>
              <w:spacing w:before="88"/>
              <w:ind w:left="399"/>
              <w:rPr>
                <w:sz w:val="18"/>
              </w:rPr>
            </w:pPr>
            <w:r>
              <w:rPr>
                <w:color w:val="FFFFFF"/>
                <w:sz w:val="18"/>
              </w:rPr>
              <w:t>岩矿型稀土</w:t>
            </w:r>
          </w:p>
          <w:p>
            <w:pPr>
              <w:pStyle w:val="TableParagraph"/>
              <w:spacing w:before="161"/>
              <w:ind w:left="399"/>
              <w:rPr>
                <w:sz w:val="18"/>
              </w:rPr>
            </w:pPr>
            <w:r>
              <w:rPr>
                <w:color w:val="FFFFFF"/>
                <w:sz w:val="18"/>
              </w:rPr>
              <w:t>（轻稀土）</w:t>
            </w:r>
          </w:p>
        </w:tc>
        <w:tc>
          <w:tcPr>
            <w:tcW w:w="1922" w:type="dxa"/>
            <w:tcBorders>
              <w:left w:val="single" w:sz="4" w:space="0" w:color="000000"/>
              <w:bottom w:val="single" w:sz="4" w:space="0" w:color="000000"/>
              <w:right w:val="single" w:sz="4" w:space="0" w:color="000000"/>
            </w:tcBorders>
            <w:shd w:val="clear" w:color="auto" w:fill="4471C4"/>
          </w:tcPr>
          <w:p>
            <w:pPr>
              <w:pStyle w:val="TableParagraph"/>
              <w:spacing w:before="88"/>
              <w:ind w:left="126" w:right="125"/>
              <w:jc w:val="center"/>
              <w:rPr>
                <w:sz w:val="18"/>
              </w:rPr>
            </w:pPr>
            <w:r>
              <w:rPr>
                <w:color w:val="FFFFFF"/>
                <w:sz w:val="18"/>
              </w:rPr>
              <w:t>离子型稀土</w:t>
            </w:r>
          </w:p>
          <w:p>
            <w:pPr>
              <w:pStyle w:val="TableParagraph"/>
              <w:spacing w:before="161"/>
              <w:ind w:left="126" w:right="125"/>
              <w:jc w:val="center"/>
              <w:rPr>
                <w:sz w:val="18"/>
              </w:rPr>
            </w:pPr>
            <w:r>
              <w:rPr>
                <w:color w:val="FFFFFF"/>
                <w:sz w:val="18"/>
              </w:rPr>
              <w:t>（以中重稀土为主）</w:t>
            </w:r>
          </w:p>
        </w:tc>
        <w:tc>
          <w:tcPr>
            <w:tcW w:w="1509" w:type="dxa"/>
            <w:tcBorders>
              <w:left w:val="single" w:sz="4" w:space="0" w:color="000000"/>
              <w:bottom w:val="single" w:sz="4" w:space="0" w:color="000000"/>
              <w:right w:val="single" w:sz="4" w:space="0" w:color="000000"/>
            </w:tcBorders>
            <w:shd w:val="clear" w:color="auto" w:fill="4471C4"/>
          </w:tcPr>
          <w:p>
            <w:pPr>
              <w:pStyle w:val="TableParagraph"/>
              <w:spacing w:before="3"/>
              <w:rPr>
                <w:b/>
                <w:i/>
                <w:sz w:val="22"/>
              </w:rPr>
            </w:pPr>
          </w:p>
          <w:p>
            <w:pPr>
              <w:pStyle w:val="TableParagraph"/>
              <w:ind w:left="190" w:right="189"/>
              <w:jc w:val="center"/>
              <w:rPr>
                <w:sz w:val="18"/>
              </w:rPr>
            </w:pPr>
            <w:r>
              <w:rPr>
                <w:color w:val="FFFFFF"/>
                <w:sz w:val="18"/>
              </w:rPr>
              <w:t>冶炼分离产品</w:t>
            </w:r>
          </w:p>
        </w:tc>
      </w:tr>
      <w:tr>
        <w:tblPrEx>
          <w:tblW w:w="0" w:type="auto"/>
          <w:jc w:val="left"/>
          <w:tblInd w:w="2856" w:type="dxa"/>
          <w:tblLayout w:type="fixed"/>
          <w:tblCellMar>
            <w:top w:w="0" w:type="dxa"/>
            <w:left w:w="0" w:type="dxa"/>
            <w:bottom w:w="0" w:type="dxa"/>
            <w:right w:w="0" w:type="dxa"/>
          </w:tblCellMar>
          <w:tblLook w:val="01E0"/>
        </w:tblPrEx>
        <w:trPr>
          <w:trHeight w:val="390"/>
          <w:jc w:val="left"/>
        </w:trPr>
        <w:tc>
          <w:tcPr>
            <w:tcW w:w="1028" w:type="dxa"/>
            <w:tcBorders>
              <w:top w:val="single" w:sz="4" w:space="0" w:color="000000"/>
              <w:left w:val="single" w:sz="4" w:space="0" w:color="000000"/>
              <w:bottom w:val="single" w:sz="4" w:space="0" w:color="000000"/>
              <w:right w:val="single" w:sz="4" w:space="0" w:color="000000"/>
            </w:tcBorders>
          </w:tcPr>
          <w:p>
            <w:pPr>
              <w:pStyle w:val="TableParagraph"/>
              <w:spacing w:before="81"/>
              <w:ind w:left="8"/>
              <w:jc w:val="center"/>
              <w:rPr>
                <w:sz w:val="18"/>
              </w:rPr>
            </w:pPr>
            <w:r>
              <w:rPr>
                <w:sz w:val="18"/>
              </w:rPr>
              <w:t>1</w:t>
            </w:r>
          </w:p>
        </w:tc>
        <w:tc>
          <w:tcPr>
            <w:tcW w:w="1275" w:type="dxa"/>
            <w:tcBorders>
              <w:top w:val="single" w:sz="4" w:space="0" w:color="000000"/>
              <w:left w:val="single" w:sz="4" w:space="0" w:color="000000"/>
              <w:bottom w:val="single" w:sz="4" w:space="0" w:color="000000"/>
              <w:right w:val="single" w:sz="4" w:space="0" w:color="000000"/>
            </w:tcBorders>
          </w:tcPr>
          <w:p>
            <w:pPr>
              <w:pStyle w:val="TableParagraph"/>
              <w:spacing w:before="81"/>
              <w:ind w:left="275"/>
              <w:rPr>
                <w:sz w:val="18"/>
              </w:rPr>
            </w:pPr>
            <w:r>
              <w:rPr>
                <w:sz w:val="18"/>
              </w:rPr>
              <w:t>中国稀土</w:t>
            </w:r>
          </w:p>
        </w:tc>
        <w:tc>
          <w:tcPr>
            <w:tcW w:w="1703" w:type="dxa"/>
            <w:tcBorders>
              <w:top w:val="single" w:sz="4" w:space="0" w:color="000000"/>
              <w:left w:val="single" w:sz="4" w:space="0" w:color="000000"/>
              <w:bottom w:val="single" w:sz="4" w:space="0" w:color="000000"/>
              <w:right w:val="single" w:sz="4" w:space="0" w:color="000000"/>
            </w:tcBorders>
          </w:tcPr>
          <w:p>
            <w:pPr>
              <w:pStyle w:val="TableParagraph"/>
              <w:spacing w:before="81"/>
              <w:ind w:left="623"/>
              <w:rPr>
                <w:sz w:val="18"/>
              </w:rPr>
            </w:pPr>
            <w:r>
              <w:rPr>
                <w:sz w:val="18"/>
              </w:rPr>
              <w:t>57200</w:t>
            </w:r>
          </w:p>
        </w:tc>
        <w:tc>
          <w:tcPr>
            <w:tcW w:w="1922" w:type="dxa"/>
            <w:tcBorders>
              <w:top w:val="single" w:sz="4" w:space="0" w:color="000000"/>
              <w:left w:val="single" w:sz="4" w:space="0" w:color="000000"/>
              <w:bottom w:val="single" w:sz="4" w:space="0" w:color="000000"/>
              <w:right w:val="single" w:sz="4" w:space="0" w:color="000000"/>
            </w:tcBorders>
          </w:tcPr>
          <w:p>
            <w:pPr>
              <w:pStyle w:val="TableParagraph"/>
              <w:spacing w:before="81"/>
              <w:ind w:left="732"/>
              <w:rPr>
                <w:sz w:val="18"/>
              </w:rPr>
            </w:pPr>
            <w:r>
              <w:rPr>
                <w:sz w:val="18"/>
              </w:rPr>
              <w:t>13010</w:t>
            </w:r>
          </w:p>
        </w:tc>
        <w:tc>
          <w:tcPr>
            <w:tcW w:w="1509" w:type="dxa"/>
            <w:tcBorders>
              <w:top w:val="single" w:sz="4" w:space="0" w:color="000000"/>
              <w:left w:val="single" w:sz="4" w:space="0" w:color="000000"/>
              <w:bottom w:val="single" w:sz="4" w:space="0" w:color="000000"/>
              <w:right w:val="single" w:sz="4" w:space="0" w:color="000000"/>
            </w:tcBorders>
          </w:tcPr>
          <w:p>
            <w:pPr>
              <w:pStyle w:val="TableParagraph"/>
              <w:spacing w:before="81"/>
              <w:ind w:left="190" w:right="188"/>
              <w:jc w:val="center"/>
              <w:rPr>
                <w:sz w:val="18"/>
              </w:rPr>
            </w:pPr>
            <w:r>
              <w:rPr>
                <w:sz w:val="18"/>
              </w:rPr>
              <w:t>66049</w:t>
            </w:r>
          </w:p>
        </w:tc>
      </w:tr>
      <w:tr>
        <w:tblPrEx>
          <w:tblW w:w="0" w:type="auto"/>
          <w:jc w:val="left"/>
          <w:tblInd w:w="2856" w:type="dxa"/>
          <w:tblLayout w:type="fixed"/>
          <w:tblCellMar>
            <w:top w:w="0" w:type="dxa"/>
            <w:left w:w="0" w:type="dxa"/>
            <w:bottom w:w="0" w:type="dxa"/>
            <w:right w:w="0" w:type="dxa"/>
          </w:tblCellMar>
          <w:tblLook w:val="01E0"/>
        </w:tblPrEx>
        <w:trPr>
          <w:trHeight w:val="390"/>
          <w:jc w:val="left"/>
        </w:trPr>
        <w:tc>
          <w:tcPr>
            <w:tcW w:w="1028" w:type="dxa"/>
            <w:tcBorders>
              <w:top w:val="single" w:sz="4" w:space="0" w:color="000000"/>
              <w:left w:val="single" w:sz="4" w:space="0" w:color="000000"/>
              <w:bottom w:val="single" w:sz="4" w:space="0" w:color="000000"/>
              <w:right w:val="single" w:sz="4" w:space="0" w:color="000000"/>
            </w:tcBorders>
          </w:tcPr>
          <w:p>
            <w:pPr>
              <w:pStyle w:val="TableParagraph"/>
              <w:spacing w:before="79"/>
              <w:ind w:left="8"/>
              <w:jc w:val="center"/>
              <w:rPr>
                <w:sz w:val="18"/>
              </w:rPr>
            </w:pPr>
            <w:r>
              <w:rPr>
                <w:sz w:val="18"/>
              </w:rPr>
              <w:t>2</w:t>
            </w:r>
          </w:p>
        </w:tc>
        <w:tc>
          <w:tcPr>
            <w:tcW w:w="1275" w:type="dxa"/>
            <w:tcBorders>
              <w:top w:val="single" w:sz="4" w:space="0" w:color="000000"/>
              <w:left w:val="single" w:sz="4" w:space="0" w:color="000000"/>
              <w:bottom w:val="single" w:sz="4" w:space="0" w:color="000000"/>
              <w:right w:val="single" w:sz="4" w:space="0" w:color="000000"/>
            </w:tcBorders>
          </w:tcPr>
          <w:p>
            <w:pPr>
              <w:pStyle w:val="TableParagraph"/>
              <w:spacing w:before="79"/>
              <w:ind w:left="275"/>
              <w:rPr>
                <w:sz w:val="18"/>
              </w:rPr>
            </w:pPr>
            <w:r>
              <w:rPr>
                <w:sz w:val="18"/>
              </w:rPr>
              <w:t>北方稀土</w:t>
            </w:r>
          </w:p>
        </w:tc>
        <w:tc>
          <w:tcPr>
            <w:tcW w:w="1703" w:type="dxa"/>
            <w:tcBorders>
              <w:top w:val="single" w:sz="4" w:space="0" w:color="000000"/>
              <w:left w:val="single" w:sz="4" w:space="0" w:color="000000"/>
              <w:bottom w:val="single" w:sz="4" w:space="0" w:color="000000"/>
              <w:right w:val="single" w:sz="4" w:space="0" w:color="000000"/>
            </w:tcBorders>
          </w:tcPr>
          <w:p>
            <w:pPr>
              <w:pStyle w:val="TableParagraph"/>
              <w:spacing w:before="79"/>
              <w:ind w:left="580"/>
              <w:rPr>
                <w:sz w:val="18"/>
              </w:rPr>
            </w:pPr>
            <w:r>
              <w:rPr>
                <w:sz w:val="18"/>
              </w:rPr>
              <w:t>178650</w:t>
            </w:r>
          </w:p>
        </w:tc>
        <w:tc>
          <w:tcPr>
            <w:tcW w:w="1922"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1509" w:type="dxa"/>
            <w:tcBorders>
              <w:top w:val="single" w:sz="4" w:space="0" w:color="000000"/>
              <w:left w:val="single" w:sz="4" w:space="0" w:color="000000"/>
              <w:bottom w:val="single" w:sz="4" w:space="0" w:color="000000"/>
              <w:right w:val="single" w:sz="4" w:space="0" w:color="000000"/>
            </w:tcBorders>
          </w:tcPr>
          <w:p>
            <w:pPr>
              <w:pStyle w:val="TableParagraph"/>
              <w:spacing w:before="79"/>
              <w:ind w:left="189" w:right="189"/>
              <w:jc w:val="center"/>
              <w:rPr>
                <w:sz w:val="18"/>
              </w:rPr>
            </w:pPr>
            <w:r>
              <w:rPr>
                <w:sz w:val="18"/>
              </w:rPr>
              <w:t>163234</w:t>
            </w:r>
          </w:p>
        </w:tc>
      </w:tr>
      <w:tr>
        <w:tblPrEx>
          <w:tblW w:w="0" w:type="auto"/>
          <w:jc w:val="left"/>
          <w:tblInd w:w="2856" w:type="dxa"/>
          <w:tblLayout w:type="fixed"/>
          <w:tblCellMar>
            <w:top w:w="0" w:type="dxa"/>
            <w:left w:w="0" w:type="dxa"/>
            <w:bottom w:w="0" w:type="dxa"/>
            <w:right w:w="0" w:type="dxa"/>
          </w:tblCellMar>
          <w:tblLook w:val="01E0"/>
        </w:tblPrEx>
        <w:trPr>
          <w:trHeight w:val="388"/>
          <w:jc w:val="left"/>
        </w:trPr>
        <w:tc>
          <w:tcPr>
            <w:tcW w:w="1028" w:type="dxa"/>
            <w:tcBorders>
              <w:top w:val="single" w:sz="4" w:space="0" w:color="000000"/>
              <w:left w:val="single" w:sz="4" w:space="0" w:color="000000"/>
              <w:bottom w:val="single" w:sz="4" w:space="0" w:color="000000"/>
              <w:right w:val="single" w:sz="4" w:space="0" w:color="000000"/>
            </w:tcBorders>
          </w:tcPr>
          <w:p>
            <w:pPr>
              <w:pStyle w:val="TableParagraph"/>
              <w:spacing w:before="79"/>
              <w:ind w:left="8"/>
              <w:jc w:val="center"/>
              <w:rPr>
                <w:sz w:val="18"/>
              </w:rPr>
            </w:pPr>
            <w:r>
              <w:rPr>
                <w:sz w:val="18"/>
              </w:rPr>
              <w:t>3</w:t>
            </w:r>
          </w:p>
        </w:tc>
        <w:tc>
          <w:tcPr>
            <w:tcW w:w="1275" w:type="dxa"/>
            <w:tcBorders>
              <w:top w:val="single" w:sz="4" w:space="0" w:color="000000"/>
              <w:left w:val="single" w:sz="4" w:space="0" w:color="000000"/>
              <w:bottom w:val="single" w:sz="4" w:space="0" w:color="000000"/>
              <w:right w:val="single" w:sz="4" w:space="0" w:color="000000"/>
            </w:tcBorders>
          </w:tcPr>
          <w:p>
            <w:pPr>
              <w:pStyle w:val="TableParagraph"/>
              <w:spacing w:before="79"/>
              <w:ind w:left="275"/>
              <w:rPr>
                <w:sz w:val="18"/>
              </w:rPr>
            </w:pPr>
            <w:r>
              <w:rPr>
                <w:sz w:val="18"/>
              </w:rPr>
              <w:t>厦门钨业</w:t>
            </w:r>
          </w:p>
        </w:tc>
        <w:tc>
          <w:tcPr>
            <w:tcW w:w="1703"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1922" w:type="dxa"/>
            <w:tcBorders>
              <w:top w:val="single" w:sz="4" w:space="0" w:color="000000"/>
              <w:left w:val="single" w:sz="4" w:space="0" w:color="000000"/>
              <w:bottom w:val="single" w:sz="4" w:space="0" w:color="000000"/>
              <w:right w:val="single" w:sz="4" w:space="0" w:color="000000"/>
            </w:tcBorders>
          </w:tcPr>
          <w:p>
            <w:pPr>
              <w:pStyle w:val="TableParagraph"/>
              <w:spacing w:before="79"/>
              <w:ind w:left="778"/>
              <w:rPr>
                <w:sz w:val="18"/>
              </w:rPr>
            </w:pPr>
            <w:r>
              <w:rPr>
                <w:sz w:val="18"/>
              </w:rPr>
              <w:t>3440</w:t>
            </w:r>
          </w:p>
        </w:tc>
        <w:tc>
          <w:tcPr>
            <w:tcW w:w="1509" w:type="dxa"/>
            <w:tcBorders>
              <w:top w:val="single" w:sz="4" w:space="0" w:color="000000"/>
              <w:left w:val="single" w:sz="4" w:space="0" w:color="000000"/>
              <w:bottom w:val="single" w:sz="4" w:space="0" w:color="000000"/>
              <w:right w:val="single" w:sz="4" w:space="0" w:color="000000"/>
            </w:tcBorders>
          </w:tcPr>
          <w:p>
            <w:pPr>
              <w:pStyle w:val="TableParagraph"/>
              <w:spacing w:before="79"/>
              <w:ind w:left="190" w:right="188"/>
              <w:jc w:val="center"/>
              <w:rPr>
                <w:sz w:val="18"/>
              </w:rPr>
            </w:pPr>
            <w:r>
              <w:rPr>
                <w:sz w:val="18"/>
              </w:rPr>
              <w:t>3963</w:t>
            </w:r>
          </w:p>
        </w:tc>
      </w:tr>
      <w:tr>
        <w:tblPrEx>
          <w:tblW w:w="0" w:type="auto"/>
          <w:jc w:val="left"/>
          <w:tblInd w:w="2856" w:type="dxa"/>
          <w:tblLayout w:type="fixed"/>
          <w:tblCellMar>
            <w:top w:w="0" w:type="dxa"/>
            <w:left w:w="0" w:type="dxa"/>
            <w:bottom w:w="0" w:type="dxa"/>
            <w:right w:w="0" w:type="dxa"/>
          </w:tblCellMar>
          <w:tblLook w:val="01E0"/>
        </w:tblPrEx>
        <w:trPr>
          <w:trHeight w:val="390"/>
          <w:jc w:val="left"/>
        </w:trPr>
        <w:tc>
          <w:tcPr>
            <w:tcW w:w="1028" w:type="dxa"/>
            <w:tcBorders>
              <w:top w:val="single" w:sz="4" w:space="0" w:color="000000"/>
              <w:left w:val="single" w:sz="4" w:space="0" w:color="000000"/>
              <w:bottom w:val="single" w:sz="4" w:space="0" w:color="000000"/>
              <w:right w:val="single" w:sz="4" w:space="0" w:color="000000"/>
            </w:tcBorders>
          </w:tcPr>
          <w:p>
            <w:pPr>
              <w:pStyle w:val="TableParagraph"/>
              <w:spacing w:before="81"/>
              <w:ind w:left="8"/>
              <w:jc w:val="center"/>
              <w:rPr>
                <w:sz w:val="18"/>
              </w:rPr>
            </w:pPr>
            <w:r>
              <w:rPr>
                <w:sz w:val="18"/>
              </w:rPr>
              <w:t>4</w:t>
            </w:r>
          </w:p>
        </w:tc>
        <w:tc>
          <w:tcPr>
            <w:tcW w:w="1275" w:type="dxa"/>
            <w:tcBorders>
              <w:top w:val="single" w:sz="4" w:space="0" w:color="000000"/>
              <w:left w:val="single" w:sz="4" w:space="0" w:color="000000"/>
              <w:bottom w:val="single" w:sz="4" w:space="0" w:color="000000"/>
              <w:right w:val="single" w:sz="4" w:space="0" w:color="000000"/>
            </w:tcBorders>
          </w:tcPr>
          <w:p>
            <w:pPr>
              <w:pStyle w:val="TableParagraph"/>
              <w:spacing w:before="81"/>
              <w:ind w:left="275"/>
              <w:rPr>
                <w:sz w:val="18"/>
              </w:rPr>
            </w:pPr>
            <w:r>
              <w:rPr>
                <w:sz w:val="18"/>
              </w:rPr>
              <w:t>广东稀土</w:t>
            </w:r>
          </w:p>
        </w:tc>
        <w:tc>
          <w:tcPr>
            <w:tcW w:w="1703"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18"/>
              </w:rPr>
            </w:pPr>
          </w:p>
        </w:tc>
        <w:tc>
          <w:tcPr>
            <w:tcW w:w="1922" w:type="dxa"/>
            <w:tcBorders>
              <w:top w:val="single" w:sz="4" w:space="0" w:color="000000"/>
              <w:left w:val="single" w:sz="4" w:space="0" w:color="000000"/>
              <w:bottom w:val="single" w:sz="4" w:space="0" w:color="000000"/>
              <w:right w:val="single" w:sz="4" w:space="0" w:color="000000"/>
            </w:tcBorders>
          </w:tcPr>
          <w:p>
            <w:pPr>
              <w:pStyle w:val="TableParagraph"/>
              <w:spacing w:before="81"/>
              <w:ind w:left="778"/>
              <w:rPr>
                <w:sz w:val="18"/>
              </w:rPr>
            </w:pPr>
            <w:r>
              <w:rPr>
                <w:sz w:val="18"/>
              </w:rPr>
              <w:t>2700</w:t>
            </w:r>
          </w:p>
        </w:tc>
        <w:tc>
          <w:tcPr>
            <w:tcW w:w="1509" w:type="dxa"/>
            <w:tcBorders>
              <w:top w:val="single" w:sz="4" w:space="0" w:color="000000"/>
              <w:left w:val="single" w:sz="4" w:space="0" w:color="000000"/>
              <w:bottom w:val="single" w:sz="4" w:space="0" w:color="000000"/>
              <w:right w:val="single" w:sz="4" w:space="0" w:color="000000"/>
            </w:tcBorders>
          </w:tcPr>
          <w:p>
            <w:pPr>
              <w:pStyle w:val="TableParagraph"/>
              <w:spacing w:before="81"/>
              <w:ind w:left="190" w:right="188"/>
              <w:jc w:val="center"/>
              <w:rPr>
                <w:sz w:val="18"/>
              </w:rPr>
            </w:pPr>
            <w:r>
              <w:rPr>
                <w:sz w:val="18"/>
              </w:rPr>
              <w:t>10604</w:t>
            </w:r>
          </w:p>
        </w:tc>
      </w:tr>
      <w:tr>
        <w:tblPrEx>
          <w:tblW w:w="0" w:type="auto"/>
          <w:jc w:val="left"/>
          <w:tblInd w:w="2856" w:type="dxa"/>
          <w:tblLayout w:type="fixed"/>
          <w:tblCellMar>
            <w:top w:w="0" w:type="dxa"/>
            <w:left w:w="0" w:type="dxa"/>
            <w:bottom w:w="0" w:type="dxa"/>
            <w:right w:w="0" w:type="dxa"/>
          </w:tblCellMar>
          <w:tblLook w:val="01E0"/>
        </w:tblPrEx>
        <w:trPr>
          <w:trHeight w:val="390"/>
          <w:jc w:val="left"/>
        </w:trPr>
        <w:tc>
          <w:tcPr>
            <w:tcW w:w="2303" w:type="dxa"/>
            <w:gridSpan w:val="2"/>
            <w:tcBorders>
              <w:top w:val="single" w:sz="4" w:space="0" w:color="000000"/>
              <w:left w:val="single" w:sz="4" w:space="0" w:color="000000"/>
              <w:bottom w:val="single" w:sz="4" w:space="0" w:color="000000"/>
              <w:right w:val="single" w:sz="4" w:space="0" w:color="000000"/>
            </w:tcBorders>
            <w:shd w:val="clear" w:color="auto" w:fill="F1F1F1"/>
          </w:tcPr>
          <w:p>
            <w:pPr>
              <w:pStyle w:val="TableParagraph"/>
              <w:spacing w:before="79"/>
              <w:ind w:left="950" w:right="943"/>
              <w:jc w:val="center"/>
              <w:rPr>
                <w:sz w:val="18"/>
              </w:rPr>
            </w:pPr>
            <w:r>
              <w:rPr>
                <w:sz w:val="18"/>
              </w:rPr>
              <w:t>合计</w:t>
            </w:r>
          </w:p>
        </w:tc>
        <w:tc>
          <w:tcPr>
            <w:tcW w:w="1703" w:type="dxa"/>
            <w:tcBorders>
              <w:top w:val="single" w:sz="4" w:space="0" w:color="000000"/>
              <w:left w:val="single" w:sz="4" w:space="0" w:color="000000"/>
              <w:bottom w:val="single" w:sz="4" w:space="0" w:color="000000"/>
              <w:right w:val="single" w:sz="4" w:space="0" w:color="000000"/>
            </w:tcBorders>
            <w:shd w:val="clear" w:color="auto" w:fill="F1F1F1"/>
          </w:tcPr>
          <w:p>
            <w:pPr>
              <w:pStyle w:val="TableParagraph"/>
              <w:spacing w:before="79"/>
              <w:ind w:left="580"/>
              <w:rPr>
                <w:sz w:val="18"/>
              </w:rPr>
            </w:pPr>
            <w:r>
              <w:rPr>
                <w:sz w:val="18"/>
              </w:rPr>
              <w:t>235850</w:t>
            </w:r>
          </w:p>
        </w:tc>
        <w:tc>
          <w:tcPr>
            <w:tcW w:w="1922" w:type="dxa"/>
            <w:tcBorders>
              <w:top w:val="single" w:sz="4" w:space="0" w:color="000000"/>
              <w:left w:val="single" w:sz="4" w:space="0" w:color="000000"/>
              <w:bottom w:val="single" w:sz="4" w:space="0" w:color="000000"/>
              <w:right w:val="single" w:sz="4" w:space="0" w:color="000000"/>
            </w:tcBorders>
            <w:shd w:val="clear" w:color="auto" w:fill="F1F1F1"/>
          </w:tcPr>
          <w:p>
            <w:pPr>
              <w:pStyle w:val="TableParagraph"/>
              <w:spacing w:before="79"/>
              <w:ind w:left="732"/>
              <w:rPr>
                <w:sz w:val="18"/>
              </w:rPr>
            </w:pPr>
            <w:r>
              <w:rPr>
                <w:sz w:val="18"/>
              </w:rPr>
              <w:t>19150</w:t>
            </w:r>
          </w:p>
        </w:tc>
        <w:tc>
          <w:tcPr>
            <w:tcW w:w="1509" w:type="dxa"/>
            <w:tcBorders>
              <w:top w:val="single" w:sz="4" w:space="0" w:color="000000"/>
              <w:left w:val="single" w:sz="4" w:space="0" w:color="000000"/>
              <w:bottom w:val="single" w:sz="4" w:space="0" w:color="000000"/>
              <w:right w:val="single" w:sz="4" w:space="0" w:color="000000"/>
            </w:tcBorders>
            <w:shd w:val="clear" w:color="auto" w:fill="F1F1F1"/>
          </w:tcPr>
          <w:p>
            <w:pPr>
              <w:pStyle w:val="TableParagraph"/>
              <w:spacing w:before="79"/>
              <w:ind w:left="189" w:right="189"/>
              <w:jc w:val="center"/>
              <w:rPr>
                <w:sz w:val="18"/>
              </w:rPr>
            </w:pPr>
            <w:r>
              <w:rPr>
                <w:sz w:val="18"/>
              </w:rPr>
              <w:t>243850</w:t>
            </w:r>
          </w:p>
        </w:tc>
      </w:tr>
      <w:tr>
        <w:tblPrEx>
          <w:tblW w:w="0" w:type="auto"/>
          <w:jc w:val="left"/>
          <w:tblInd w:w="2856" w:type="dxa"/>
          <w:tblLayout w:type="fixed"/>
          <w:tblCellMar>
            <w:top w:w="0" w:type="dxa"/>
            <w:left w:w="0" w:type="dxa"/>
            <w:bottom w:w="0" w:type="dxa"/>
            <w:right w:w="0" w:type="dxa"/>
          </w:tblCellMar>
          <w:tblLook w:val="01E0"/>
        </w:tblPrEx>
        <w:trPr>
          <w:trHeight w:val="396"/>
          <w:jc w:val="left"/>
        </w:trPr>
        <w:tc>
          <w:tcPr>
            <w:tcW w:w="2303" w:type="dxa"/>
            <w:gridSpan w:val="2"/>
            <w:tcBorders>
              <w:top w:val="single" w:sz="4" w:space="0" w:color="000000"/>
              <w:left w:val="single" w:sz="4" w:space="0" w:color="000000"/>
              <w:right w:val="single" w:sz="4" w:space="0" w:color="000000"/>
            </w:tcBorders>
            <w:shd w:val="clear" w:color="auto" w:fill="F1F1F1"/>
          </w:tcPr>
          <w:p>
            <w:pPr>
              <w:pStyle w:val="TableParagraph"/>
              <w:spacing w:before="79"/>
              <w:ind w:left="950" w:right="943"/>
              <w:jc w:val="center"/>
              <w:rPr>
                <w:sz w:val="18"/>
              </w:rPr>
            </w:pPr>
            <w:r>
              <w:rPr>
                <w:sz w:val="18"/>
              </w:rPr>
              <w:t>总计</w:t>
            </w:r>
          </w:p>
        </w:tc>
        <w:tc>
          <w:tcPr>
            <w:tcW w:w="3625" w:type="dxa"/>
            <w:gridSpan w:val="2"/>
            <w:tcBorders>
              <w:top w:val="single" w:sz="4" w:space="0" w:color="000000"/>
              <w:left w:val="single" w:sz="4" w:space="0" w:color="000000"/>
              <w:right w:val="single" w:sz="4" w:space="0" w:color="000000"/>
            </w:tcBorders>
            <w:shd w:val="clear" w:color="auto" w:fill="F1F1F1"/>
          </w:tcPr>
          <w:p>
            <w:pPr>
              <w:pStyle w:val="TableParagraph"/>
              <w:spacing w:before="79"/>
              <w:ind w:left="1520" w:right="1514"/>
              <w:jc w:val="center"/>
              <w:rPr>
                <w:sz w:val="18"/>
              </w:rPr>
            </w:pPr>
            <w:r>
              <w:rPr>
                <w:sz w:val="18"/>
              </w:rPr>
              <w:t>255000</w:t>
            </w:r>
          </w:p>
        </w:tc>
        <w:tc>
          <w:tcPr>
            <w:tcW w:w="1509" w:type="dxa"/>
            <w:tcBorders>
              <w:top w:val="single" w:sz="4" w:space="0" w:color="000000"/>
              <w:left w:val="single" w:sz="4" w:space="0" w:color="000000"/>
              <w:right w:val="single" w:sz="4" w:space="0" w:color="000000"/>
            </w:tcBorders>
            <w:shd w:val="clear" w:color="auto" w:fill="F1F1F1"/>
          </w:tcPr>
          <w:p>
            <w:pPr>
              <w:pStyle w:val="TableParagraph"/>
              <w:spacing w:before="79"/>
              <w:ind w:left="189" w:right="189"/>
              <w:jc w:val="center"/>
              <w:rPr>
                <w:sz w:val="18"/>
              </w:rPr>
            </w:pPr>
            <w:r>
              <w:rPr>
                <w:sz w:val="18"/>
              </w:rPr>
              <w:t>243850</w:t>
            </w:r>
          </w:p>
        </w:tc>
      </w:tr>
    </w:tbl>
    <w:p>
      <w:pPr>
        <w:pStyle w:val="BodyText"/>
        <w:spacing w:line="20" w:lineRule="exact"/>
        <w:ind w:left="2733"/>
        <w:rPr>
          <w:sz w:val="2"/>
        </w:rPr>
      </w:pPr>
      <w:r>
        <w:rPr>
          <w:sz w:val="2"/>
        </w:rPr>
        <w:pict>
          <v:group id="_x0000_i1310" style="width:383pt;height:0.5pt;mso-position-horizontal-relative:char;mso-position-vertical-relative:line" coordorigin="0,0" coordsize="7660,10">
            <v:line id="_x0000_s1311" style="position:absolute" from="0,5" to="7660,5" stroked="t" strokecolor="#013e96" strokeweight="0.48pt">
              <v:stroke dashstyle="solid"/>
            </v:line>
            <w10:wrap type="none"/>
          </v:group>
        </w:pict>
      </w:r>
    </w:p>
    <w:p>
      <w:pPr>
        <w:spacing w:before="84"/>
        <w:ind w:left="2846" w:right="0" w:firstLine="0"/>
        <w:jc w:val="left"/>
        <w:rPr>
          <w:sz w:val="15"/>
        </w:rPr>
      </w:pPr>
      <w:r>
        <w:t xml:space="preserve">数据来源：工信部， </w:t>
      </w:r>
    </w:p>
    <w:p>
      <w:pPr>
        <w:pStyle w:val="BodyText"/>
        <w:spacing w:before="10"/>
        <w:rPr>
          <w:sz w:val="18"/>
        </w:rPr>
      </w:pPr>
    </w:p>
    <w:p>
      <w:pPr>
        <w:pStyle w:val="BodyText"/>
        <w:spacing w:before="81" w:line="348" w:lineRule="auto"/>
        <w:ind w:left="2712" w:right="215" w:firstLine="423"/>
      </w:pPr>
      <w:r>
        <w:rPr>
          <w:b/>
          <w:spacing w:val="-4"/>
        </w:rPr>
        <w:t xml:space="preserve">轻稀土开采指标：北方稀土和中国稀土集团分别占 </w:t>
      </w:r>
      <w:r>
        <w:rPr>
          <w:rFonts w:ascii="Arial" w:eastAsia="Arial"/>
          <w:b/>
        </w:rPr>
        <w:t>75.7%</w:t>
      </w:r>
      <w:r>
        <w:rPr>
          <w:b/>
          <w:spacing w:val="-9"/>
        </w:rPr>
        <w:t xml:space="preserve">和 </w:t>
      </w:r>
      <w:r>
        <w:rPr>
          <w:rFonts w:ascii="Arial" w:eastAsia="Arial"/>
          <w:b/>
        </w:rPr>
        <w:t>24.3%</w:t>
      </w:r>
      <w:r>
        <w:rPr>
          <w:b/>
        </w:rPr>
        <w:t>。</w:t>
      </w:r>
      <w:r>
        <w:rPr>
          <w:spacing w:val="-3"/>
        </w:rPr>
        <w:t>从轻稀土</w:t>
      </w:r>
      <w:r>
        <w:rPr>
          <w:spacing w:val="-16"/>
          <w:w w:val="100"/>
        </w:rPr>
        <w:t>开采总量指标看，</w:t>
      </w:r>
      <w:r>
        <w:rPr>
          <w:rFonts w:ascii="Arial" w:eastAsia="Arial"/>
          <w:w w:val="100"/>
        </w:rPr>
        <w:t>2</w:t>
      </w:r>
      <w:r>
        <w:rPr>
          <w:rFonts w:ascii="Arial" w:eastAsia="Arial"/>
          <w:spacing w:val="-3"/>
          <w:w w:val="100"/>
        </w:rPr>
        <w:t>0</w:t>
      </w:r>
      <w:r>
        <w:rPr>
          <w:rFonts w:ascii="Arial" w:eastAsia="Arial"/>
          <w:spacing w:val="-1"/>
          <w:w w:val="100"/>
        </w:rPr>
        <w:t>2</w:t>
      </w:r>
      <w:r>
        <w:rPr>
          <w:rFonts w:ascii="Arial" w:eastAsia="Arial"/>
          <w:w w:val="100"/>
        </w:rPr>
        <w:t>3</w:t>
      </w:r>
      <w:r>
        <w:rPr>
          <w:rFonts w:ascii="Arial" w:eastAsia="Arial"/>
        </w:rPr>
        <w:t xml:space="preserve"> </w:t>
      </w:r>
      <w:r>
        <w:rPr>
          <w:w w:val="100"/>
        </w:rPr>
        <w:t>年轻稀土开采总量指标合计</w:t>
      </w:r>
      <w:r>
        <w:rPr>
          <w:rFonts w:ascii="Arial" w:eastAsia="Arial"/>
          <w:spacing w:val="-1"/>
          <w:w w:val="100"/>
        </w:rPr>
        <w:t>23.</w:t>
      </w:r>
      <w:r>
        <w:rPr>
          <w:rFonts w:ascii="Arial" w:eastAsia="Arial"/>
          <w:w w:val="100"/>
        </w:rPr>
        <w:t>6</w:t>
      </w:r>
      <w:r>
        <w:rPr>
          <w:rFonts w:ascii="Arial" w:eastAsia="Arial"/>
        </w:rPr>
        <w:t xml:space="preserve"> </w:t>
      </w:r>
      <w:r>
        <w:rPr>
          <w:spacing w:val="18"/>
          <w:w w:val="100"/>
        </w:rPr>
        <w:t>万吨</w:t>
      </w:r>
      <w:r>
        <w:rPr>
          <w:rFonts w:ascii="Arial" w:eastAsia="Arial"/>
          <w:spacing w:val="-2"/>
          <w:w w:val="100"/>
        </w:rPr>
        <w:t>R</w:t>
      </w:r>
      <w:r>
        <w:rPr>
          <w:rFonts w:ascii="Arial" w:eastAsia="Arial"/>
          <w:w w:val="100"/>
        </w:rPr>
        <w:t>E</w:t>
      </w:r>
      <w:r>
        <w:rPr>
          <w:rFonts w:ascii="Arial" w:eastAsia="Arial"/>
          <w:spacing w:val="-2"/>
          <w:w w:val="100"/>
        </w:rPr>
        <w:t>O</w:t>
      </w:r>
      <w:r>
        <w:rPr>
          <w:spacing w:val="-16"/>
          <w:w w:val="100"/>
        </w:rPr>
        <w:t>，同比增长</w:t>
      </w:r>
      <w:r>
        <w:rPr>
          <w:rFonts w:ascii="Arial" w:eastAsia="Arial"/>
          <w:spacing w:val="-1"/>
          <w:w w:val="100"/>
        </w:rPr>
        <w:t>23.</w:t>
      </w:r>
      <w:r>
        <w:rPr>
          <w:rFonts w:ascii="Arial" w:eastAsia="Arial"/>
          <w:w w:val="100"/>
        </w:rPr>
        <w:t>6</w:t>
      </w:r>
      <w:r>
        <w:rPr>
          <w:rFonts w:ascii="Arial" w:eastAsia="Arial"/>
          <w:spacing w:val="-1"/>
          <w:w w:val="100"/>
        </w:rPr>
        <w:t>%</w:t>
      </w:r>
      <w:r>
        <w:rPr>
          <w:w w:val="100"/>
        </w:rPr>
        <w:t>。</w:t>
      </w:r>
      <w:r>
        <w:rPr>
          <w:spacing w:val="-9"/>
        </w:rPr>
        <w:t>分公司看，轻稀土开采指标仅分配给中国稀土集团和北方稀土，其中，中国稀土集团</w:t>
      </w:r>
      <w:r>
        <w:rPr>
          <w:spacing w:val="-20"/>
        </w:rPr>
        <w:t xml:space="preserve">指标为 </w:t>
      </w:r>
      <w:r>
        <w:rPr>
          <w:rFonts w:ascii="Arial" w:eastAsia="Arial"/>
        </w:rPr>
        <w:t xml:space="preserve">5.72 </w:t>
      </w:r>
      <w:r>
        <w:rPr>
          <w:spacing w:val="-18"/>
        </w:rPr>
        <w:t xml:space="preserve">万吨 </w:t>
      </w:r>
      <w:r>
        <w:rPr>
          <w:rFonts w:ascii="Arial" w:eastAsia="Arial"/>
        </w:rPr>
        <w:t>REO</w:t>
      </w:r>
      <w:r>
        <w:rPr>
          <w:spacing w:val="-9"/>
        </w:rPr>
        <w:t xml:space="preserve">，同比增长 </w:t>
      </w:r>
      <w:r>
        <w:rPr>
          <w:rFonts w:ascii="Arial" w:eastAsia="Arial"/>
        </w:rPr>
        <w:t>16.3%</w:t>
      </w:r>
      <w:r>
        <w:rPr>
          <w:spacing w:val="-10"/>
        </w:rPr>
        <w:t xml:space="preserve">，占总指标 </w:t>
      </w:r>
      <w:r>
        <w:rPr>
          <w:rFonts w:ascii="Arial" w:eastAsia="Arial"/>
        </w:rPr>
        <w:t>24.3%</w:t>
      </w:r>
      <w:r>
        <w:rPr>
          <w:spacing w:val="-9"/>
        </w:rPr>
        <w:t xml:space="preserve">；北方稀土指标 </w:t>
      </w:r>
      <w:r>
        <w:rPr>
          <w:rFonts w:ascii="Arial" w:eastAsia="Arial"/>
        </w:rPr>
        <w:t xml:space="preserve">17.9 </w:t>
      </w:r>
      <w:r>
        <w:t>万</w:t>
      </w:r>
      <w:r>
        <w:rPr>
          <w:spacing w:val="-27"/>
        </w:rPr>
        <w:t xml:space="preserve">吨 </w:t>
      </w:r>
      <w:r>
        <w:rPr>
          <w:rFonts w:ascii="Arial" w:eastAsia="Arial"/>
        </w:rPr>
        <w:t>REO</w:t>
      </w:r>
      <w:r>
        <w:rPr>
          <w:spacing w:val="-11"/>
        </w:rPr>
        <w:t xml:space="preserve">，同比增长 </w:t>
      </w:r>
      <w:r>
        <w:rPr>
          <w:rFonts w:ascii="Arial" w:eastAsia="Arial"/>
        </w:rPr>
        <w:t>26.1%</w:t>
      </w:r>
      <w:r>
        <w:rPr>
          <w:spacing w:val="-11"/>
        </w:rPr>
        <w:t xml:space="preserve">，占总指标 </w:t>
      </w:r>
      <w:r>
        <w:rPr>
          <w:rFonts w:ascii="Arial" w:eastAsia="Arial"/>
        </w:rPr>
        <w:t>75.7%</w:t>
      </w:r>
      <w:r>
        <w:t>。</w:t>
      </w:r>
    </w:p>
    <w:p>
      <w:pPr>
        <w:spacing w:before="146" w:line="333" w:lineRule="auto"/>
        <w:ind w:left="2846" w:right="443" w:firstLine="0"/>
        <w:jc w:val="left"/>
        <w:rPr>
          <w:b/>
          <w:i/>
          <w:sz w:val="22"/>
        </w:rPr>
      </w:pPr>
      <w:r>
        <w:rPr>
          <w:b/>
          <w:i/>
          <w:w w:val="95"/>
          <w:sz w:val="22"/>
        </w:rPr>
        <w:t xml:space="preserve">图表 </w:t>
      </w:r>
      <w:r>
        <w:rPr>
          <w:rFonts w:ascii="Arial" w:eastAsia="Arial"/>
          <w:b/>
          <w:i/>
          <w:w w:val="95"/>
          <w:sz w:val="21"/>
        </w:rPr>
        <w:t>19</w:t>
      </w:r>
      <w:r>
        <w:rPr>
          <w:b/>
          <w:i/>
          <w:w w:val="95"/>
          <w:sz w:val="22"/>
        </w:rPr>
        <w:t>：</w:t>
      </w:r>
      <w:r>
        <w:rPr>
          <w:rFonts w:ascii="Arial" w:eastAsia="Arial"/>
          <w:b/>
          <w:i/>
          <w:w w:val="95"/>
          <w:sz w:val="21"/>
        </w:rPr>
        <w:t xml:space="preserve">2023 </w:t>
      </w:r>
      <w:r>
        <w:rPr>
          <w:b/>
          <w:i/>
          <w:w w:val="95"/>
          <w:sz w:val="22"/>
        </w:rPr>
        <w:t xml:space="preserve">年北方稀土和中国稀土集团分别占轻稀土开采指标的 </w:t>
      </w:r>
      <w:r>
        <w:rPr>
          <w:rFonts w:ascii="Arial" w:eastAsia="Arial"/>
          <w:b/>
          <w:i/>
          <w:w w:val="95"/>
          <w:sz w:val="21"/>
        </w:rPr>
        <w:t>75.7%</w:t>
      </w:r>
      <w:r>
        <w:rPr>
          <w:b/>
          <w:i/>
          <w:w w:val="95"/>
          <w:sz w:val="22"/>
        </w:rPr>
        <w:t>和</w:t>
      </w:r>
      <w:r>
        <w:rPr>
          <w:rFonts w:ascii="Arial" w:eastAsia="Arial"/>
          <w:b/>
          <w:i/>
          <w:sz w:val="21"/>
        </w:rPr>
        <w:t>24.3%</w:t>
      </w:r>
      <w:r>
        <w:rPr>
          <w:b/>
          <w:i/>
          <w:sz w:val="22"/>
        </w:rPr>
        <w:t xml:space="preserve">（吨 </w:t>
      </w:r>
      <w:r>
        <w:rPr>
          <w:rFonts w:ascii="Arial" w:eastAsia="Arial"/>
          <w:b/>
          <w:i/>
          <w:sz w:val="21"/>
        </w:rPr>
        <w:t>REO</w:t>
      </w:r>
      <w:r>
        <w:rPr>
          <w:b/>
          <w:i/>
          <w:sz w:val="22"/>
        </w:rPr>
        <w:t>）</w:t>
      </w:r>
    </w:p>
    <w:p>
      <w:pPr>
        <w:pStyle w:val="BodyText"/>
        <w:spacing w:line="20" w:lineRule="exact"/>
        <w:ind w:left="2719"/>
        <w:rPr>
          <w:sz w:val="2"/>
        </w:rPr>
      </w:pPr>
      <w:r>
        <w:rPr>
          <w:sz w:val="2"/>
        </w:rPr>
        <w:pict>
          <v:group id="_x0000_i1312" style="width:383.75pt;height:1pt;mso-position-horizontal-relative:char;mso-position-vertical-relative:line" coordorigin="0,0" coordsize="7675,20">
            <v:line id="_x0000_s1313" style="position:absolute" from="14,14" to="7674,14" stroked="t" strokecolor="#013e96" strokeweight="0.48pt">
              <v:stroke dashstyle="solid"/>
            </v:line>
            <v:line id="_x0000_s1314" style="position:absolute" from="0,5" to="7665,5" stroked="t" strokecolor="#013e96" strokeweight="0.48pt">
              <v:stroke dashstyle="solid"/>
            </v:line>
            <w10:wrap type="none"/>
          </v:group>
        </w:pict>
      </w:r>
    </w:p>
    <w:tbl>
      <w:tblPr>
        <w:tblStyle w:val="TableNormal5"/>
        <w:tblW w:w="0" w:type="auto"/>
        <w:jc w:val="left"/>
        <w:tblInd w:w="2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256"/>
        <w:gridCol w:w="2619"/>
        <w:gridCol w:w="891"/>
        <w:gridCol w:w="894"/>
        <w:gridCol w:w="893"/>
        <w:gridCol w:w="891"/>
      </w:tblGrid>
      <w:tr>
        <w:tblPrEx>
          <w:tblW w:w="0" w:type="auto"/>
          <w:jc w:val="left"/>
          <w:tblInd w:w="2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00"/>
          <w:jc w:val="left"/>
        </w:trPr>
        <w:tc>
          <w:tcPr>
            <w:tcW w:w="1256" w:type="dxa"/>
            <w:tcBorders>
              <w:top w:val="nil"/>
              <w:left w:val="nil"/>
              <w:right w:val="nil"/>
            </w:tcBorders>
            <w:shd w:val="clear" w:color="auto" w:fill="4774CA"/>
          </w:tcPr>
          <w:p>
            <w:pPr>
              <w:pStyle w:val="TableParagraph"/>
              <w:spacing w:before="78"/>
              <w:ind w:left="294" w:right="282"/>
              <w:jc w:val="center"/>
              <w:rPr>
                <w:sz w:val="16"/>
              </w:rPr>
            </w:pPr>
            <w:r>
              <w:rPr>
                <w:color w:val="FFFFFF"/>
                <w:sz w:val="16"/>
              </w:rPr>
              <w:t>稀土集团</w:t>
            </w:r>
          </w:p>
        </w:tc>
        <w:tc>
          <w:tcPr>
            <w:tcW w:w="2619" w:type="dxa"/>
            <w:tcBorders>
              <w:top w:val="nil"/>
              <w:left w:val="nil"/>
              <w:right w:val="nil"/>
            </w:tcBorders>
            <w:shd w:val="clear" w:color="auto" w:fill="4774CA"/>
          </w:tcPr>
          <w:p>
            <w:pPr>
              <w:pStyle w:val="TableParagraph"/>
              <w:spacing w:before="78"/>
              <w:ind w:left="573" w:right="565"/>
              <w:jc w:val="center"/>
              <w:rPr>
                <w:sz w:val="16"/>
              </w:rPr>
            </w:pPr>
            <w:r>
              <w:rPr>
                <w:color w:val="FFFFFF"/>
                <w:sz w:val="16"/>
              </w:rPr>
              <w:t>省（区）或中央企业</w:t>
            </w:r>
          </w:p>
        </w:tc>
        <w:tc>
          <w:tcPr>
            <w:tcW w:w="891" w:type="dxa"/>
            <w:tcBorders>
              <w:top w:val="nil"/>
              <w:left w:val="nil"/>
              <w:right w:val="nil"/>
            </w:tcBorders>
            <w:shd w:val="clear" w:color="auto" w:fill="4774CA"/>
          </w:tcPr>
          <w:p>
            <w:pPr>
              <w:pStyle w:val="TableParagraph"/>
              <w:spacing w:before="78"/>
              <w:ind w:left="268" w:right="259"/>
              <w:jc w:val="center"/>
              <w:rPr>
                <w:sz w:val="16"/>
              </w:rPr>
            </w:pPr>
            <w:r>
              <w:rPr>
                <w:color w:val="FFFFFF"/>
                <w:sz w:val="16"/>
              </w:rPr>
              <w:t>2020</w:t>
            </w:r>
          </w:p>
        </w:tc>
        <w:tc>
          <w:tcPr>
            <w:tcW w:w="894" w:type="dxa"/>
            <w:tcBorders>
              <w:top w:val="nil"/>
              <w:left w:val="nil"/>
              <w:bottom w:val="nil"/>
              <w:right w:val="nil"/>
            </w:tcBorders>
            <w:shd w:val="clear" w:color="auto" w:fill="4774CA"/>
          </w:tcPr>
          <w:p>
            <w:pPr>
              <w:pStyle w:val="TableParagraph"/>
              <w:spacing w:before="78"/>
              <w:ind w:left="269" w:right="264"/>
              <w:jc w:val="center"/>
              <w:rPr>
                <w:sz w:val="16"/>
              </w:rPr>
            </w:pPr>
            <w:r>
              <w:rPr>
                <w:color w:val="FFFFFF"/>
                <w:sz w:val="16"/>
              </w:rPr>
              <w:t>2021</w:t>
            </w:r>
          </w:p>
        </w:tc>
        <w:tc>
          <w:tcPr>
            <w:tcW w:w="893" w:type="dxa"/>
            <w:tcBorders>
              <w:top w:val="nil"/>
              <w:left w:val="nil"/>
              <w:right w:val="nil"/>
            </w:tcBorders>
            <w:shd w:val="clear" w:color="auto" w:fill="4774CA"/>
          </w:tcPr>
          <w:p>
            <w:pPr>
              <w:pStyle w:val="TableParagraph"/>
              <w:spacing w:before="78"/>
              <w:ind w:left="227" w:right="223"/>
              <w:jc w:val="center"/>
              <w:rPr>
                <w:sz w:val="16"/>
              </w:rPr>
            </w:pPr>
            <w:r>
              <w:rPr>
                <w:color w:val="FFFFFF"/>
                <w:sz w:val="16"/>
              </w:rPr>
              <w:t>2022</w:t>
            </w:r>
          </w:p>
        </w:tc>
        <w:tc>
          <w:tcPr>
            <w:tcW w:w="891" w:type="dxa"/>
            <w:tcBorders>
              <w:top w:val="nil"/>
              <w:left w:val="nil"/>
              <w:right w:val="nil"/>
            </w:tcBorders>
            <w:shd w:val="clear" w:color="auto" w:fill="4774CA"/>
          </w:tcPr>
          <w:p>
            <w:pPr>
              <w:pStyle w:val="TableParagraph"/>
              <w:spacing w:before="78"/>
              <w:ind w:left="267" w:right="261"/>
              <w:jc w:val="center"/>
              <w:rPr>
                <w:sz w:val="16"/>
              </w:rPr>
            </w:pPr>
            <w:r>
              <w:rPr>
                <w:color w:val="FFFFFF"/>
                <w:sz w:val="16"/>
              </w:rPr>
              <w:t>2023</w:t>
            </w:r>
          </w:p>
        </w:tc>
      </w:tr>
      <w:tr>
        <w:tblPrEx>
          <w:tblW w:w="0" w:type="auto"/>
          <w:jc w:val="left"/>
          <w:tblInd w:w="2854" w:type="dxa"/>
          <w:tblLayout w:type="fixed"/>
          <w:tblCellMar>
            <w:top w:w="0" w:type="dxa"/>
            <w:left w:w="0" w:type="dxa"/>
            <w:bottom w:w="0" w:type="dxa"/>
            <w:right w:w="0" w:type="dxa"/>
          </w:tblCellMar>
          <w:tblLook w:val="01E0"/>
        </w:tblPrEx>
        <w:trPr>
          <w:trHeight w:val="388"/>
          <w:jc w:val="left"/>
        </w:trPr>
        <w:tc>
          <w:tcPr>
            <w:tcW w:w="1256" w:type="dxa"/>
            <w:vMerge w:val="restart"/>
          </w:tcPr>
          <w:p>
            <w:pPr>
              <w:pStyle w:val="TableParagraph"/>
              <w:rPr>
                <w:b/>
                <w:i/>
                <w:sz w:val="16"/>
              </w:rPr>
            </w:pPr>
          </w:p>
          <w:p>
            <w:pPr>
              <w:pStyle w:val="TableParagraph"/>
              <w:rPr>
                <w:b/>
                <w:i/>
                <w:sz w:val="16"/>
              </w:rPr>
            </w:pPr>
          </w:p>
          <w:p>
            <w:pPr>
              <w:pStyle w:val="TableParagraph"/>
              <w:spacing w:before="2"/>
              <w:rPr>
                <w:b/>
                <w:i/>
                <w:sz w:val="20"/>
              </w:rPr>
            </w:pPr>
          </w:p>
          <w:p>
            <w:pPr>
              <w:pStyle w:val="TableParagraph"/>
              <w:ind w:left="146"/>
              <w:rPr>
                <w:sz w:val="16"/>
              </w:rPr>
            </w:pPr>
            <w:r>
              <w:rPr>
                <w:sz w:val="16"/>
              </w:rPr>
              <w:t>中国稀土集团</w:t>
            </w:r>
          </w:p>
        </w:tc>
        <w:tc>
          <w:tcPr>
            <w:tcW w:w="2619" w:type="dxa"/>
          </w:tcPr>
          <w:p>
            <w:pPr>
              <w:pStyle w:val="TableParagraph"/>
              <w:spacing w:before="68"/>
              <w:ind w:left="169" w:right="159"/>
              <w:jc w:val="center"/>
              <w:rPr>
                <w:sz w:val="16"/>
              </w:rPr>
            </w:pPr>
            <w:r>
              <w:rPr>
                <w:sz w:val="16"/>
              </w:rPr>
              <w:t>中国稀有稀土（中国铝业公司）</w:t>
            </w:r>
          </w:p>
        </w:tc>
        <w:tc>
          <w:tcPr>
            <w:tcW w:w="891" w:type="dxa"/>
          </w:tcPr>
          <w:p>
            <w:pPr>
              <w:pStyle w:val="TableParagraph"/>
              <w:spacing w:before="68"/>
              <w:ind w:left="143" w:right="132"/>
              <w:jc w:val="center"/>
              <w:rPr>
                <w:sz w:val="16"/>
              </w:rPr>
            </w:pPr>
            <w:r>
              <w:rPr>
                <w:sz w:val="16"/>
              </w:rPr>
              <w:t>14,550</w:t>
            </w:r>
          </w:p>
        </w:tc>
        <w:tc>
          <w:tcPr>
            <w:tcW w:w="894" w:type="dxa"/>
            <w:vMerge w:val="restart"/>
            <w:tcBorders>
              <w:top w:val="nil"/>
            </w:tcBorders>
          </w:tcPr>
          <w:p>
            <w:pPr>
              <w:pStyle w:val="TableParagraph"/>
              <w:rPr>
                <w:b/>
                <w:i/>
                <w:sz w:val="16"/>
              </w:rPr>
            </w:pPr>
          </w:p>
          <w:p>
            <w:pPr>
              <w:pStyle w:val="TableParagraph"/>
              <w:rPr>
                <w:b/>
                <w:i/>
                <w:sz w:val="16"/>
              </w:rPr>
            </w:pPr>
          </w:p>
          <w:p>
            <w:pPr>
              <w:pStyle w:val="TableParagraph"/>
              <w:spacing w:before="2"/>
              <w:rPr>
                <w:b/>
                <w:i/>
                <w:sz w:val="20"/>
              </w:rPr>
            </w:pPr>
          </w:p>
          <w:p>
            <w:pPr>
              <w:pStyle w:val="TableParagraph"/>
              <w:ind w:left="205"/>
              <w:rPr>
                <w:sz w:val="16"/>
              </w:rPr>
            </w:pPr>
            <w:r>
              <w:rPr>
                <w:sz w:val="16"/>
              </w:rPr>
              <w:t>48,500</w:t>
            </w:r>
          </w:p>
        </w:tc>
        <w:tc>
          <w:tcPr>
            <w:tcW w:w="893" w:type="dxa"/>
            <w:vMerge w:val="restart"/>
          </w:tcPr>
          <w:p>
            <w:pPr>
              <w:pStyle w:val="TableParagraph"/>
              <w:rPr>
                <w:b/>
                <w:i/>
                <w:sz w:val="16"/>
              </w:rPr>
            </w:pPr>
          </w:p>
          <w:p>
            <w:pPr>
              <w:pStyle w:val="TableParagraph"/>
              <w:rPr>
                <w:b/>
                <w:i/>
                <w:sz w:val="16"/>
              </w:rPr>
            </w:pPr>
          </w:p>
          <w:p>
            <w:pPr>
              <w:pStyle w:val="TableParagraph"/>
              <w:spacing w:before="2"/>
              <w:rPr>
                <w:b/>
                <w:i/>
                <w:sz w:val="20"/>
              </w:rPr>
            </w:pPr>
          </w:p>
          <w:p>
            <w:pPr>
              <w:pStyle w:val="TableParagraph"/>
              <w:ind w:left="204"/>
              <w:rPr>
                <w:sz w:val="16"/>
              </w:rPr>
            </w:pPr>
            <w:r>
              <w:rPr>
                <w:sz w:val="16"/>
              </w:rPr>
              <w:t>49,200</w:t>
            </w:r>
          </w:p>
        </w:tc>
        <w:tc>
          <w:tcPr>
            <w:tcW w:w="891" w:type="dxa"/>
            <w:vMerge w:val="restart"/>
          </w:tcPr>
          <w:p>
            <w:pPr>
              <w:pStyle w:val="TableParagraph"/>
              <w:rPr>
                <w:b/>
                <w:i/>
                <w:sz w:val="16"/>
              </w:rPr>
            </w:pPr>
          </w:p>
          <w:p>
            <w:pPr>
              <w:pStyle w:val="TableParagraph"/>
              <w:rPr>
                <w:b/>
                <w:i/>
                <w:sz w:val="16"/>
              </w:rPr>
            </w:pPr>
          </w:p>
          <w:p>
            <w:pPr>
              <w:pStyle w:val="TableParagraph"/>
              <w:spacing w:before="2"/>
              <w:rPr>
                <w:b/>
                <w:i/>
                <w:sz w:val="20"/>
              </w:rPr>
            </w:pPr>
          </w:p>
          <w:p>
            <w:pPr>
              <w:pStyle w:val="TableParagraph"/>
              <w:ind w:left="204"/>
              <w:rPr>
                <w:sz w:val="16"/>
              </w:rPr>
            </w:pPr>
            <w:r>
              <w:rPr>
                <w:sz w:val="16"/>
              </w:rPr>
              <w:t>57,200</w:t>
            </w: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1256" w:type="dxa"/>
            <w:vMerge/>
            <w:tcBorders>
              <w:top w:val="nil"/>
            </w:tcBorders>
          </w:tcPr>
          <w:p>
            <w:pPr>
              <w:rPr>
                <w:sz w:val="2"/>
                <w:szCs w:val="2"/>
              </w:rPr>
            </w:pPr>
          </w:p>
        </w:tc>
        <w:tc>
          <w:tcPr>
            <w:tcW w:w="2619" w:type="dxa"/>
          </w:tcPr>
          <w:p>
            <w:pPr>
              <w:pStyle w:val="TableParagraph"/>
              <w:spacing w:before="68"/>
              <w:ind w:left="167" w:right="159"/>
              <w:jc w:val="center"/>
              <w:rPr>
                <w:sz w:val="16"/>
              </w:rPr>
            </w:pPr>
            <w:r>
              <w:rPr>
                <w:sz w:val="16"/>
              </w:rPr>
              <w:t>其中:中国钢研科技集团</w:t>
            </w:r>
          </w:p>
        </w:tc>
        <w:tc>
          <w:tcPr>
            <w:tcW w:w="891" w:type="dxa"/>
          </w:tcPr>
          <w:p>
            <w:pPr>
              <w:pStyle w:val="TableParagraph"/>
              <w:spacing w:before="68"/>
              <w:ind w:left="143" w:right="134"/>
              <w:jc w:val="center"/>
              <w:rPr>
                <w:sz w:val="16"/>
              </w:rPr>
            </w:pPr>
            <w:r>
              <w:rPr>
                <w:sz w:val="16"/>
              </w:rPr>
              <w:t>4,300</w:t>
            </w:r>
          </w:p>
        </w:tc>
        <w:tc>
          <w:tcPr>
            <w:tcW w:w="894" w:type="dxa"/>
            <w:vMerge/>
            <w:tcBorders>
              <w:top w:val="nil"/>
            </w:tcBorders>
          </w:tcPr>
          <w:p>
            <w:pPr>
              <w:rPr>
                <w:sz w:val="2"/>
                <w:szCs w:val="2"/>
              </w:rPr>
            </w:pPr>
          </w:p>
        </w:tc>
        <w:tc>
          <w:tcPr>
            <w:tcW w:w="893" w:type="dxa"/>
            <w:vMerge/>
            <w:tcBorders>
              <w:top w:val="nil"/>
            </w:tcBorders>
          </w:tcPr>
          <w:p>
            <w:pPr>
              <w:rPr>
                <w:sz w:val="2"/>
                <w:szCs w:val="2"/>
              </w:rPr>
            </w:pPr>
          </w:p>
        </w:tc>
        <w:tc>
          <w:tcPr>
            <w:tcW w:w="891" w:type="dxa"/>
            <w:vMerge/>
            <w:tcBorders>
              <w:top w:val="nil"/>
            </w:tcBorders>
          </w:tcPr>
          <w:p>
            <w:pPr>
              <w:rPr>
                <w:sz w:val="2"/>
                <w:szCs w:val="2"/>
              </w:rPr>
            </w:pP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1256" w:type="dxa"/>
            <w:vMerge/>
            <w:tcBorders>
              <w:top w:val="nil"/>
            </w:tcBorders>
          </w:tcPr>
          <w:p>
            <w:pPr>
              <w:rPr>
                <w:sz w:val="2"/>
                <w:szCs w:val="2"/>
              </w:rPr>
            </w:pPr>
          </w:p>
        </w:tc>
        <w:tc>
          <w:tcPr>
            <w:tcW w:w="2619" w:type="dxa"/>
          </w:tcPr>
          <w:p>
            <w:pPr>
              <w:pStyle w:val="TableParagraph"/>
              <w:spacing w:before="68"/>
              <w:ind w:left="169" w:right="159"/>
              <w:jc w:val="center"/>
              <w:rPr>
                <w:sz w:val="16"/>
              </w:rPr>
            </w:pPr>
            <w:r>
              <w:rPr>
                <w:sz w:val="16"/>
              </w:rPr>
              <w:t>中国南方稀土集团</w:t>
            </w:r>
          </w:p>
        </w:tc>
        <w:tc>
          <w:tcPr>
            <w:tcW w:w="891" w:type="dxa"/>
          </w:tcPr>
          <w:p>
            <w:pPr>
              <w:pStyle w:val="TableParagraph"/>
              <w:spacing w:before="68"/>
              <w:ind w:left="143" w:right="132"/>
              <w:jc w:val="center"/>
              <w:rPr>
                <w:sz w:val="16"/>
              </w:rPr>
            </w:pPr>
            <w:r>
              <w:rPr>
                <w:sz w:val="16"/>
              </w:rPr>
              <w:t>32,750</w:t>
            </w:r>
          </w:p>
        </w:tc>
        <w:tc>
          <w:tcPr>
            <w:tcW w:w="894" w:type="dxa"/>
            <w:vMerge/>
            <w:tcBorders>
              <w:top w:val="nil"/>
            </w:tcBorders>
          </w:tcPr>
          <w:p>
            <w:pPr>
              <w:rPr>
                <w:sz w:val="2"/>
                <w:szCs w:val="2"/>
              </w:rPr>
            </w:pPr>
          </w:p>
        </w:tc>
        <w:tc>
          <w:tcPr>
            <w:tcW w:w="893" w:type="dxa"/>
            <w:vMerge/>
            <w:tcBorders>
              <w:top w:val="nil"/>
            </w:tcBorders>
          </w:tcPr>
          <w:p>
            <w:pPr>
              <w:rPr>
                <w:sz w:val="2"/>
                <w:szCs w:val="2"/>
              </w:rPr>
            </w:pPr>
          </w:p>
        </w:tc>
        <w:tc>
          <w:tcPr>
            <w:tcW w:w="891" w:type="dxa"/>
            <w:vMerge/>
            <w:tcBorders>
              <w:top w:val="nil"/>
            </w:tcBorders>
          </w:tcPr>
          <w:p>
            <w:pPr>
              <w:rPr>
                <w:sz w:val="2"/>
                <w:szCs w:val="2"/>
              </w:rPr>
            </w:pPr>
          </w:p>
        </w:tc>
      </w:tr>
      <w:tr>
        <w:tblPrEx>
          <w:tblW w:w="0" w:type="auto"/>
          <w:jc w:val="left"/>
          <w:tblInd w:w="2854" w:type="dxa"/>
          <w:tblLayout w:type="fixed"/>
          <w:tblCellMar>
            <w:top w:w="0" w:type="dxa"/>
            <w:left w:w="0" w:type="dxa"/>
            <w:bottom w:w="0" w:type="dxa"/>
            <w:right w:w="0" w:type="dxa"/>
          </w:tblCellMar>
          <w:tblLook w:val="01E0"/>
        </w:tblPrEx>
        <w:trPr>
          <w:trHeight w:val="388"/>
          <w:jc w:val="left"/>
        </w:trPr>
        <w:tc>
          <w:tcPr>
            <w:tcW w:w="1256" w:type="dxa"/>
            <w:vMerge/>
            <w:tcBorders>
              <w:top w:val="nil"/>
            </w:tcBorders>
          </w:tcPr>
          <w:p>
            <w:pPr>
              <w:rPr>
                <w:sz w:val="2"/>
                <w:szCs w:val="2"/>
              </w:rPr>
            </w:pPr>
          </w:p>
        </w:tc>
        <w:tc>
          <w:tcPr>
            <w:tcW w:w="2619" w:type="dxa"/>
          </w:tcPr>
          <w:p>
            <w:pPr>
              <w:pStyle w:val="TableParagraph"/>
              <w:spacing w:before="68"/>
              <w:ind w:left="169" w:right="159"/>
              <w:jc w:val="center"/>
              <w:rPr>
                <w:sz w:val="16"/>
              </w:rPr>
            </w:pPr>
            <w:r>
              <w:rPr>
                <w:sz w:val="16"/>
              </w:rPr>
              <w:t>其中：四川江铜稀土参控股企业</w:t>
            </w:r>
          </w:p>
        </w:tc>
        <w:tc>
          <w:tcPr>
            <w:tcW w:w="891" w:type="dxa"/>
          </w:tcPr>
          <w:p>
            <w:pPr>
              <w:pStyle w:val="TableParagraph"/>
              <w:spacing w:before="68"/>
              <w:ind w:left="143" w:right="132"/>
              <w:jc w:val="center"/>
              <w:rPr>
                <w:sz w:val="16"/>
              </w:rPr>
            </w:pPr>
            <w:r>
              <w:rPr>
                <w:sz w:val="16"/>
              </w:rPr>
              <w:t>32,750</w:t>
            </w:r>
          </w:p>
        </w:tc>
        <w:tc>
          <w:tcPr>
            <w:tcW w:w="894" w:type="dxa"/>
            <w:vMerge/>
            <w:tcBorders>
              <w:top w:val="nil"/>
            </w:tcBorders>
          </w:tcPr>
          <w:p>
            <w:pPr>
              <w:rPr>
                <w:sz w:val="2"/>
                <w:szCs w:val="2"/>
              </w:rPr>
            </w:pPr>
          </w:p>
        </w:tc>
        <w:tc>
          <w:tcPr>
            <w:tcW w:w="893" w:type="dxa"/>
            <w:vMerge/>
            <w:tcBorders>
              <w:top w:val="nil"/>
            </w:tcBorders>
          </w:tcPr>
          <w:p>
            <w:pPr>
              <w:rPr>
                <w:sz w:val="2"/>
                <w:szCs w:val="2"/>
              </w:rPr>
            </w:pPr>
          </w:p>
        </w:tc>
        <w:tc>
          <w:tcPr>
            <w:tcW w:w="891" w:type="dxa"/>
            <w:vMerge/>
            <w:tcBorders>
              <w:top w:val="nil"/>
            </w:tcBorders>
          </w:tcPr>
          <w:p>
            <w:pPr>
              <w:rPr>
                <w:sz w:val="2"/>
                <w:szCs w:val="2"/>
              </w:rPr>
            </w:pP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3875" w:type="dxa"/>
            <w:gridSpan w:val="2"/>
          </w:tcPr>
          <w:p>
            <w:pPr>
              <w:pStyle w:val="TableParagraph"/>
              <w:spacing w:before="58"/>
              <w:ind w:left="1725"/>
              <w:rPr>
                <w:i/>
                <w:sz w:val="17"/>
              </w:rPr>
            </w:pPr>
            <w:r>
              <w:rPr>
                <w:i/>
                <w:w w:val="95"/>
                <w:sz w:val="17"/>
              </w:rPr>
              <w:t>中国稀土集团轻稀土指标yoy</w:t>
            </w:r>
          </w:p>
        </w:tc>
        <w:tc>
          <w:tcPr>
            <w:tcW w:w="891" w:type="dxa"/>
          </w:tcPr>
          <w:p>
            <w:pPr>
              <w:pStyle w:val="TableParagraph"/>
              <w:spacing w:before="58"/>
              <w:ind w:left="66" w:right="136"/>
              <w:jc w:val="center"/>
              <w:rPr>
                <w:i/>
                <w:sz w:val="17"/>
              </w:rPr>
            </w:pPr>
            <w:r>
              <w:rPr>
                <w:i/>
                <w:sz w:val="17"/>
              </w:rPr>
              <w:t>12.4</w:t>
            </w:r>
          </w:p>
        </w:tc>
        <w:tc>
          <w:tcPr>
            <w:tcW w:w="894" w:type="dxa"/>
          </w:tcPr>
          <w:p>
            <w:pPr>
              <w:pStyle w:val="TableParagraph"/>
              <w:spacing w:before="58"/>
              <w:ind w:left="67" w:right="139"/>
              <w:jc w:val="center"/>
              <w:rPr>
                <w:i/>
                <w:sz w:val="17"/>
              </w:rPr>
            </w:pPr>
            <w:r>
              <w:rPr>
                <w:i/>
                <w:sz w:val="17"/>
              </w:rPr>
              <w:t>2.5</w:t>
            </w:r>
          </w:p>
        </w:tc>
        <w:tc>
          <w:tcPr>
            <w:tcW w:w="893" w:type="dxa"/>
          </w:tcPr>
          <w:p>
            <w:pPr>
              <w:pStyle w:val="TableParagraph"/>
              <w:spacing w:before="58"/>
              <w:ind w:left="67" w:right="139"/>
              <w:jc w:val="center"/>
              <w:rPr>
                <w:i/>
                <w:sz w:val="17"/>
              </w:rPr>
            </w:pPr>
            <w:r>
              <w:rPr>
                <w:i/>
                <w:sz w:val="17"/>
              </w:rPr>
              <w:t>1.4</w:t>
            </w:r>
          </w:p>
        </w:tc>
        <w:tc>
          <w:tcPr>
            <w:tcW w:w="891" w:type="dxa"/>
          </w:tcPr>
          <w:p>
            <w:pPr>
              <w:pStyle w:val="TableParagraph"/>
              <w:spacing w:before="58"/>
              <w:ind w:left="63" w:right="136"/>
              <w:jc w:val="center"/>
              <w:rPr>
                <w:i/>
                <w:sz w:val="17"/>
              </w:rPr>
            </w:pPr>
            <w:r>
              <w:rPr>
                <w:i/>
                <w:sz w:val="17"/>
              </w:rPr>
              <w:t>16.3</w:t>
            </w:r>
          </w:p>
        </w:tc>
      </w:tr>
      <w:tr>
        <w:tblPrEx>
          <w:tblW w:w="0" w:type="auto"/>
          <w:jc w:val="left"/>
          <w:tblInd w:w="2854" w:type="dxa"/>
          <w:tblLayout w:type="fixed"/>
          <w:tblCellMar>
            <w:top w:w="0" w:type="dxa"/>
            <w:left w:w="0" w:type="dxa"/>
            <w:bottom w:w="0" w:type="dxa"/>
            <w:right w:w="0" w:type="dxa"/>
          </w:tblCellMar>
          <w:tblLook w:val="01E0"/>
        </w:tblPrEx>
        <w:trPr>
          <w:trHeight w:val="395"/>
          <w:jc w:val="left"/>
        </w:trPr>
        <w:tc>
          <w:tcPr>
            <w:tcW w:w="1256" w:type="dxa"/>
            <w:tcBorders>
              <w:bottom w:val="single" w:sz="4" w:space="0" w:color="013E96"/>
            </w:tcBorders>
          </w:tcPr>
          <w:p>
            <w:pPr>
              <w:pStyle w:val="TableParagraph"/>
              <w:spacing w:before="68"/>
              <w:ind w:left="289" w:right="277"/>
              <w:jc w:val="center"/>
              <w:rPr>
                <w:sz w:val="16"/>
              </w:rPr>
            </w:pPr>
            <w:r>
              <w:rPr>
                <w:sz w:val="16"/>
              </w:rPr>
              <w:t>北方稀土</w:t>
            </w:r>
          </w:p>
        </w:tc>
        <w:tc>
          <w:tcPr>
            <w:tcW w:w="2619" w:type="dxa"/>
            <w:tcBorders>
              <w:bottom w:val="single" w:sz="4" w:space="0" w:color="013E96"/>
            </w:tcBorders>
          </w:tcPr>
          <w:p>
            <w:pPr>
              <w:pStyle w:val="TableParagraph"/>
              <w:spacing w:before="68"/>
              <w:ind w:left="169" w:right="158"/>
              <w:jc w:val="center"/>
              <w:rPr>
                <w:sz w:val="16"/>
              </w:rPr>
            </w:pPr>
            <w:r>
              <w:rPr>
                <w:sz w:val="16"/>
              </w:rPr>
              <w:t>北方稀土</w:t>
            </w:r>
          </w:p>
        </w:tc>
        <w:tc>
          <w:tcPr>
            <w:tcW w:w="891" w:type="dxa"/>
            <w:tcBorders>
              <w:bottom w:val="single" w:sz="4" w:space="0" w:color="013E96"/>
            </w:tcBorders>
          </w:tcPr>
          <w:p>
            <w:pPr>
              <w:pStyle w:val="TableParagraph"/>
              <w:spacing w:before="68"/>
              <w:ind w:left="143" w:right="132"/>
              <w:jc w:val="center"/>
              <w:rPr>
                <w:sz w:val="16"/>
              </w:rPr>
            </w:pPr>
            <w:r>
              <w:rPr>
                <w:sz w:val="16"/>
              </w:rPr>
              <w:t>73,550</w:t>
            </w:r>
          </w:p>
        </w:tc>
        <w:tc>
          <w:tcPr>
            <w:tcW w:w="894" w:type="dxa"/>
            <w:tcBorders>
              <w:bottom w:val="single" w:sz="4" w:space="0" w:color="013E96"/>
            </w:tcBorders>
          </w:tcPr>
          <w:p>
            <w:pPr>
              <w:pStyle w:val="TableParagraph"/>
              <w:spacing w:before="68"/>
              <w:ind w:left="144" w:right="139"/>
              <w:jc w:val="center"/>
              <w:rPr>
                <w:sz w:val="16"/>
              </w:rPr>
            </w:pPr>
            <w:r>
              <w:rPr>
                <w:sz w:val="16"/>
              </w:rPr>
              <w:t>100,350</w:t>
            </w:r>
          </w:p>
        </w:tc>
        <w:tc>
          <w:tcPr>
            <w:tcW w:w="893" w:type="dxa"/>
            <w:tcBorders>
              <w:bottom w:val="single" w:sz="4" w:space="0" w:color="013E96"/>
            </w:tcBorders>
          </w:tcPr>
          <w:p>
            <w:pPr>
              <w:pStyle w:val="TableParagraph"/>
              <w:spacing w:before="68"/>
              <w:ind w:left="143" w:right="139"/>
              <w:jc w:val="center"/>
              <w:rPr>
                <w:sz w:val="16"/>
              </w:rPr>
            </w:pPr>
            <w:r>
              <w:rPr>
                <w:sz w:val="16"/>
              </w:rPr>
              <w:t>141,650</w:t>
            </w:r>
          </w:p>
        </w:tc>
        <w:tc>
          <w:tcPr>
            <w:tcW w:w="891" w:type="dxa"/>
            <w:tcBorders>
              <w:bottom w:val="single" w:sz="4" w:space="0" w:color="013E96"/>
            </w:tcBorders>
          </w:tcPr>
          <w:p>
            <w:pPr>
              <w:pStyle w:val="TableParagraph"/>
              <w:spacing w:before="68"/>
              <w:ind w:left="141" w:right="136"/>
              <w:jc w:val="center"/>
              <w:rPr>
                <w:sz w:val="16"/>
              </w:rPr>
            </w:pPr>
            <w:r>
              <w:rPr>
                <w:sz w:val="16"/>
              </w:rPr>
              <w:t>178,650</w:t>
            </w:r>
          </w:p>
        </w:tc>
      </w:tr>
    </w:tbl>
    <w:p>
      <w:pPr>
        <w:spacing w:after="0"/>
        <w:jc w:val="center"/>
        <w:rPr>
          <w:sz w:val="16"/>
        </w:rPr>
        <w:sectPr>
          <w:headerReference w:type="default" r:id="rId75"/>
          <w:footerReference w:type="default" r:id="rId76"/>
          <w:pgSz w:w="11910" w:h="16840"/>
          <w:pgMar w:top="1360" w:right="520" w:bottom="660" w:left="660" w:header="708" w:footer="708"/>
          <w:pgNumType w:start="30"/>
          <w:cols w:space="708"/>
        </w:sectPr>
      </w:pPr>
    </w:p>
    <w:p>
      <w:pPr>
        <w:pStyle w:val="BodyText"/>
        <w:rPr>
          <w:b/>
          <w:i/>
          <w:sz w:val="3"/>
        </w:rPr>
      </w:pPr>
      <w:r>
        <w:pict>
          <v:shape id="_x0000_s1315" type="#_x0000_t202" style="width:60pt;height:12pt;margin-top:36.85pt;margin-left:488.98pt;mso-position-horizontal-relative:page;mso-position-vertical-relative:page;position:absolute;z-index:-251567104" filled="f" stroked="f">
            <v:textbox inset="0,0,0,0">
              <w:txbxContent>
                <w:p>
                  <w:pPr>
                    <w:spacing w:before="0" w:line="240" w:lineRule="exact"/>
                    <w:ind w:left="0" w:right="0" w:firstLine="0"/>
                    <w:jc w:val="left"/>
                    <w:rPr>
                      <w:sz w:val="24"/>
                    </w:rPr>
                  </w:pPr>
                  <w:r>
                    <w:rPr>
                      <w:sz w:val="24"/>
                    </w:rPr>
                    <w:t>丨公司名称</w:t>
                  </w:r>
                </w:p>
              </w:txbxContent>
            </v:textbox>
          </v:shape>
        </w:pict>
      </w:r>
    </w:p>
    <w:tbl>
      <w:tblPr>
        <w:tblStyle w:val="TableNormal6"/>
        <w:tblW w:w="0" w:type="auto"/>
        <w:jc w:val="left"/>
        <w:tblInd w:w="2852" w:type="dxa"/>
        <w:tblBorders>
          <w:top w:val="single" w:sz="4" w:space="0" w:color="013E96"/>
          <w:left w:val="single" w:sz="4" w:space="0" w:color="013E96"/>
          <w:bottom w:val="single" w:sz="4" w:space="0" w:color="013E96"/>
          <w:right w:val="single" w:sz="4" w:space="0" w:color="013E96"/>
          <w:insideH w:val="single" w:sz="4" w:space="0" w:color="013E96"/>
          <w:insideV w:val="single" w:sz="4" w:space="0" w:color="013E96"/>
        </w:tblBorders>
        <w:tblLayout w:type="fixed"/>
        <w:tblCellMar>
          <w:top w:w="0" w:type="dxa"/>
          <w:left w:w="0" w:type="dxa"/>
          <w:bottom w:w="0" w:type="dxa"/>
          <w:right w:w="0" w:type="dxa"/>
        </w:tblCellMar>
        <w:tblLook w:val="01E0"/>
      </w:tblPr>
      <w:tblGrid>
        <w:gridCol w:w="3875"/>
        <w:gridCol w:w="891"/>
        <w:gridCol w:w="894"/>
        <w:gridCol w:w="893"/>
        <w:gridCol w:w="891"/>
      </w:tblGrid>
      <w:tr>
        <w:tblPrEx>
          <w:tblW w:w="0" w:type="auto"/>
          <w:jc w:val="left"/>
          <w:tblInd w:w="2852" w:type="dxa"/>
          <w:tblBorders>
            <w:top w:val="single" w:sz="4" w:space="0" w:color="013E96"/>
            <w:left w:val="single" w:sz="4" w:space="0" w:color="013E96"/>
            <w:bottom w:val="single" w:sz="4" w:space="0" w:color="013E96"/>
            <w:right w:val="single" w:sz="4" w:space="0" w:color="013E96"/>
            <w:insideH w:val="single" w:sz="4" w:space="0" w:color="013E96"/>
            <w:insideV w:val="single" w:sz="4" w:space="0" w:color="013E96"/>
          </w:tblBorders>
          <w:tblLayout w:type="fixed"/>
          <w:tblCellMar>
            <w:top w:w="0" w:type="dxa"/>
            <w:left w:w="0" w:type="dxa"/>
            <w:bottom w:w="0" w:type="dxa"/>
            <w:right w:w="0" w:type="dxa"/>
          </w:tblCellMar>
          <w:tblLook w:val="01E0"/>
        </w:tblPrEx>
        <w:trPr>
          <w:trHeight w:val="388"/>
          <w:jc w:val="left"/>
        </w:trPr>
        <w:tc>
          <w:tcPr>
            <w:tcW w:w="3875" w:type="dxa"/>
            <w:tcBorders>
              <w:left w:val="single" w:sz="4" w:space="0" w:color="000000"/>
              <w:bottom w:val="single" w:sz="4" w:space="0" w:color="000000"/>
              <w:right w:val="single" w:sz="4" w:space="0" w:color="000000"/>
            </w:tcBorders>
          </w:tcPr>
          <w:p>
            <w:pPr>
              <w:pStyle w:val="TableParagraph"/>
              <w:spacing w:before="82"/>
              <w:ind w:right="95"/>
              <w:jc w:val="right"/>
              <w:rPr>
                <w:i/>
                <w:sz w:val="17"/>
              </w:rPr>
            </w:pPr>
            <w:r>
              <w:rPr>
                <w:i/>
                <w:w w:val="90"/>
                <w:sz w:val="17"/>
              </w:rPr>
              <w:t>北方稀土轻稀土指标yoy</w:t>
            </w:r>
          </w:p>
        </w:tc>
        <w:tc>
          <w:tcPr>
            <w:tcW w:w="891" w:type="dxa"/>
            <w:tcBorders>
              <w:left w:val="single" w:sz="4" w:space="0" w:color="000000"/>
              <w:bottom w:val="single" w:sz="4" w:space="0" w:color="000000"/>
              <w:right w:val="single" w:sz="4" w:space="0" w:color="000000"/>
            </w:tcBorders>
          </w:tcPr>
          <w:p>
            <w:pPr>
              <w:pStyle w:val="TableParagraph"/>
              <w:spacing w:before="82"/>
              <w:ind w:left="69" w:right="136"/>
              <w:jc w:val="center"/>
              <w:rPr>
                <w:i/>
                <w:sz w:val="17"/>
              </w:rPr>
            </w:pPr>
            <w:r>
              <w:rPr>
                <w:i/>
                <w:sz w:val="17"/>
              </w:rPr>
              <w:t>4.0</w:t>
            </w:r>
          </w:p>
        </w:tc>
        <w:tc>
          <w:tcPr>
            <w:tcW w:w="894" w:type="dxa"/>
            <w:tcBorders>
              <w:left w:val="single" w:sz="4" w:space="0" w:color="000000"/>
              <w:bottom w:val="single" w:sz="4" w:space="0" w:color="000000"/>
              <w:right w:val="single" w:sz="4" w:space="0" w:color="000000"/>
            </w:tcBorders>
          </w:tcPr>
          <w:p>
            <w:pPr>
              <w:pStyle w:val="TableParagraph"/>
              <w:spacing w:before="82"/>
              <w:ind w:left="65" w:right="139"/>
              <w:jc w:val="center"/>
              <w:rPr>
                <w:i/>
                <w:sz w:val="17"/>
              </w:rPr>
            </w:pPr>
            <w:r>
              <w:rPr>
                <w:i/>
                <w:sz w:val="17"/>
              </w:rPr>
              <w:t>36.4</w:t>
            </w:r>
          </w:p>
        </w:tc>
        <w:tc>
          <w:tcPr>
            <w:tcW w:w="893" w:type="dxa"/>
            <w:tcBorders>
              <w:left w:val="single" w:sz="4" w:space="0" w:color="000000"/>
              <w:bottom w:val="single" w:sz="4" w:space="0" w:color="000000"/>
              <w:right w:val="single" w:sz="4" w:space="0" w:color="000000"/>
            </w:tcBorders>
          </w:tcPr>
          <w:p>
            <w:pPr>
              <w:pStyle w:val="TableParagraph"/>
              <w:spacing w:before="82"/>
              <w:ind w:left="65" w:right="139"/>
              <w:jc w:val="center"/>
              <w:rPr>
                <w:i/>
                <w:sz w:val="17"/>
              </w:rPr>
            </w:pPr>
            <w:r>
              <w:rPr>
                <w:i/>
                <w:sz w:val="17"/>
              </w:rPr>
              <w:t>41.2</w:t>
            </w:r>
          </w:p>
        </w:tc>
        <w:tc>
          <w:tcPr>
            <w:tcW w:w="891" w:type="dxa"/>
            <w:tcBorders>
              <w:left w:val="single" w:sz="4" w:space="0" w:color="000000"/>
              <w:bottom w:val="single" w:sz="4" w:space="0" w:color="000000"/>
              <w:right w:val="single" w:sz="4" w:space="0" w:color="000000"/>
            </w:tcBorders>
          </w:tcPr>
          <w:p>
            <w:pPr>
              <w:pStyle w:val="TableParagraph"/>
              <w:spacing w:before="82"/>
              <w:ind w:left="63" w:right="136"/>
              <w:jc w:val="center"/>
              <w:rPr>
                <w:i/>
                <w:sz w:val="17"/>
              </w:rPr>
            </w:pPr>
            <w:r>
              <w:rPr>
                <w:i/>
                <w:sz w:val="17"/>
              </w:rPr>
              <w:t>26.1</w:t>
            </w:r>
          </w:p>
        </w:tc>
      </w:tr>
      <w:tr>
        <w:tblPrEx>
          <w:tblW w:w="0" w:type="auto"/>
          <w:jc w:val="left"/>
          <w:tblInd w:w="2852" w:type="dxa"/>
          <w:tblLayout w:type="fixed"/>
          <w:tblCellMar>
            <w:top w:w="0" w:type="dxa"/>
            <w:left w:w="0" w:type="dxa"/>
            <w:bottom w:w="0" w:type="dxa"/>
            <w:right w:w="0" w:type="dxa"/>
          </w:tblCellMar>
          <w:tblLook w:val="01E0"/>
        </w:tblPrEx>
        <w:trPr>
          <w:trHeight w:val="390"/>
          <w:jc w:val="left"/>
        </w:trPr>
        <w:tc>
          <w:tcPr>
            <w:tcW w:w="3875" w:type="dxa"/>
            <w:tcBorders>
              <w:top w:val="single" w:sz="4" w:space="0" w:color="000000"/>
              <w:left w:val="single" w:sz="4" w:space="0" w:color="000000"/>
              <w:bottom w:val="single" w:sz="4" w:space="0" w:color="000000"/>
              <w:right w:val="single" w:sz="4" w:space="0" w:color="000000"/>
            </w:tcBorders>
            <w:shd w:val="clear" w:color="auto" w:fill="E7E6E6"/>
          </w:tcPr>
          <w:p>
            <w:pPr>
              <w:pStyle w:val="TableParagraph"/>
              <w:spacing w:before="94"/>
              <w:ind w:left="1597" w:right="1588"/>
              <w:jc w:val="center"/>
              <w:rPr>
                <w:sz w:val="16"/>
              </w:rPr>
            </w:pPr>
            <w:r>
              <w:rPr>
                <w:sz w:val="16"/>
              </w:rPr>
              <w:t>全国合计</w:t>
            </w:r>
          </w:p>
        </w:tc>
        <w:tc>
          <w:tcPr>
            <w:tcW w:w="891" w:type="dxa"/>
            <w:tcBorders>
              <w:top w:val="single" w:sz="4" w:space="0" w:color="000000"/>
              <w:left w:val="single" w:sz="4" w:space="0" w:color="000000"/>
              <w:bottom w:val="single" w:sz="4" w:space="0" w:color="000000"/>
              <w:right w:val="single" w:sz="4" w:space="0" w:color="000000"/>
            </w:tcBorders>
            <w:shd w:val="clear" w:color="auto" w:fill="E7E6E6"/>
          </w:tcPr>
          <w:p>
            <w:pPr>
              <w:pStyle w:val="TableParagraph"/>
              <w:spacing w:before="94"/>
              <w:ind w:left="143" w:right="134"/>
              <w:jc w:val="center"/>
              <w:rPr>
                <w:sz w:val="16"/>
              </w:rPr>
            </w:pPr>
            <w:r>
              <w:rPr>
                <w:sz w:val="16"/>
              </w:rPr>
              <w:t>120,850</w:t>
            </w:r>
          </w:p>
        </w:tc>
        <w:tc>
          <w:tcPr>
            <w:tcW w:w="894" w:type="dxa"/>
            <w:tcBorders>
              <w:top w:val="single" w:sz="4" w:space="0" w:color="000000"/>
              <w:left w:val="single" w:sz="4" w:space="0" w:color="000000"/>
              <w:bottom w:val="single" w:sz="4" w:space="0" w:color="000000"/>
              <w:right w:val="single" w:sz="4" w:space="0" w:color="000000"/>
            </w:tcBorders>
            <w:shd w:val="clear" w:color="auto" w:fill="E7E6E6"/>
          </w:tcPr>
          <w:p>
            <w:pPr>
              <w:pStyle w:val="TableParagraph"/>
              <w:spacing w:before="94"/>
              <w:ind w:left="144" w:right="139"/>
              <w:jc w:val="center"/>
              <w:rPr>
                <w:sz w:val="16"/>
              </w:rPr>
            </w:pPr>
            <w:r>
              <w:rPr>
                <w:sz w:val="16"/>
              </w:rPr>
              <w:t>148,850</w:t>
            </w:r>
          </w:p>
        </w:tc>
        <w:tc>
          <w:tcPr>
            <w:tcW w:w="893" w:type="dxa"/>
            <w:tcBorders>
              <w:top w:val="single" w:sz="4" w:space="0" w:color="000000"/>
              <w:left w:val="single" w:sz="4" w:space="0" w:color="000000"/>
              <w:bottom w:val="single" w:sz="4" w:space="0" w:color="000000"/>
              <w:right w:val="single" w:sz="4" w:space="0" w:color="000000"/>
            </w:tcBorders>
            <w:shd w:val="clear" w:color="auto" w:fill="E7E6E6"/>
          </w:tcPr>
          <w:p>
            <w:pPr>
              <w:pStyle w:val="TableParagraph"/>
              <w:spacing w:before="94"/>
              <w:ind w:left="143" w:right="139"/>
              <w:jc w:val="center"/>
              <w:rPr>
                <w:sz w:val="16"/>
              </w:rPr>
            </w:pPr>
            <w:r>
              <w:rPr>
                <w:sz w:val="16"/>
              </w:rPr>
              <w:t>190,850</w:t>
            </w:r>
          </w:p>
        </w:tc>
        <w:tc>
          <w:tcPr>
            <w:tcW w:w="891" w:type="dxa"/>
            <w:tcBorders>
              <w:top w:val="single" w:sz="4" w:space="0" w:color="000000"/>
              <w:left w:val="single" w:sz="4" w:space="0" w:color="000000"/>
              <w:bottom w:val="single" w:sz="4" w:space="0" w:color="000000"/>
              <w:right w:val="single" w:sz="4" w:space="0" w:color="000000"/>
            </w:tcBorders>
            <w:shd w:val="clear" w:color="auto" w:fill="E7E6E6"/>
          </w:tcPr>
          <w:p>
            <w:pPr>
              <w:pStyle w:val="TableParagraph"/>
              <w:spacing w:before="94"/>
              <w:ind w:left="142" w:right="136"/>
              <w:jc w:val="center"/>
              <w:rPr>
                <w:sz w:val="16"/>
              </w:rPr>
            </w:pPr>
            <w:r>
              <w:rPr>
                <w:sz w:val="16"/>
              </w:rPr>
              <w:t>235,850</w:t>
            </w:r>
          </w:p>
        </w:tc>
      </w:tr>
      <w:tr>
        <w:tblPrEx>
          <w:tblW w:w="0" w:type="auto"/>
          <w:jc w:val="left"/>
          <w:tblInd w:w="2852" w:type="dxa"/>
          <w:tblLayout w:type="fixed"/>
          <w:tblCellMar>
            <w:top w:w="0" w:type="dxa"/>
            <w:left w:w="0" w:type="dxa"/>
            <w:bottom w:w="0" w:type="dxa"/>
            <w:right w:w="0" w:type="dxa"/>
          </w:tblCellMar>
          <w:tblLook w:val="01E0"/>
        </w:tblPrEx>
        <w:trPr>
          <w:trHeight w:val="395"/>
          <w:jc w:val="left"/>
        </w:trPr>
        <w:tc>
          <w:tcPr>
            <w:tcW w:w="3875" w:type="dxa"/>
            <w:tcBorders>
              <w:top w:val="single" w:sz="4" w:space="0" w:color="000000"/>
              <w:left w:val="single" w:sz="4" w:space="0" w:color="000000"/>
              <w:right w:val="single" w:sz="4" w:space="0" w:color="000000"/>
            </w:tcBorders>
            <w:shd w:val="clear" w:color="auto" w:fill="E7E6E6"/>
          </w:tcPr>
          <w:p>
            <w:pPr>
              <w:pStyle w:val="TableParagraph"/>
              <w:spacing w:before="81"/>
              <w:ind w:right="95"/>
              <w:jc w:val="right"/>
              <w:rPr>
                <w:i/>
                <w:sz w:val="17"/>
              </w:rPr>
            </w:pPr>
            <w:r>
              <w:rPr>
                <w:i/>
                <w:w w:val="90"/>
                <w:sz w:val="17"/>
              </w:rPr>
              <w:t>yoy</w:t>
            </w:r>
          </w:p>
        </w:tc>
        <w:tc>
          <w:tcPr>
            <w:tcW w:w="891" w:type="dxa"/>
            <w:tcBorders>
              <w:top w:val="single" w:sz="4" w:space="0" w:color="000000"/>
              <w:left w:val="single" w:sz="4" w:space="0" w:color="000000"/>
              <w:right w:val="single" w:sz="4" w:space="0" w:color="000000"/>
            </w:tcBorders>
          </w:tcPr>
          <w:p>
            <w:pPr>
              <w:pStyle w:val="TableParagraph"/>
              <w:spacing w:before="81"/>
              <w:ind w:left="69" w:right="136"/>
              <w:jc w:val="center"/>
              <w:rPr>
                <w:i/>
                <w:sz w:val="17"/>
              </w:rPr>
            </w:pPr>
            <w:r>
              <w:rPr>
                <w:i/>
                <w:sz w:val="17"/>
              </w:rPr>
              <w:t>7.1</w:t>
            </w:r>
          </w:p>
        </w:tc>
        <w:tc>
          <w:tcPr>
            <w:tcW w:w="894" w:type="dxa"/>
            <w:tcBorders>
              <w:top w:val="single" w:sz="4" w:space="0" w:color="000000"/>
              <w:left w:val="single" w:sz="4" w:space="0" w:color="000000"/>
              <w:right w:val="single" w:sz="4" w:space="0" w:color="000000"/>
            </w:tcBorders>
          </w:tcPr>
          <w:p>
            <w:pPr>
              <w:pStyle w:val="TableParagraph"/>
              <w:spacing w:before="81"/>
              <w:ind w:left="65" w:right="139"/>
              <w:jc w:val="center"/>
              <w:rPr>
                <w:i/>
                <w:sz w:val="17"/>
              </w:rPr>
            </w:pPr>
            <w:r>
              <w:rPr>
                <w:i/>
                <w:sz w:val="17"/>
              </w:rPr>
              <w:t>23.2</w:t>
            </w:r>
          </w:p>
        </w:tc>
        <w:tc>
          <w:tcPr>
            <w:tcW w:w="893" w:type="dxa"/>
            <w:tcBorders>
              <w:top w:val="single" w:sz="4" w:space="0" w:color="000000"/>
              <w:left w:val="single" w:sz="4" w:space="0" w:color="000000"/>
              <w:right w:val="single" w:sz="4" w:space="0" w:color="000000"/>
            </w:tcBorders>
          </w:tcPr>
          <w:p>
            <w:pPr>
              <w:pStyle w:val="TableParagraph"/>
              <w:spacing w:before="81"/>
              <w:ind w:left="65" w:right="139"/>
              <w:jc w:val="center"/>
              <w:rPr>
                <w:i/>
                <w:sz w:val="17"/>
              </w:rPr>
            </w:pPr>
            <w:r>
              <w:rPr>
                <w:i/>
                <w:sz w:val="17"/>
              </w:rPr>
              <w:t>28.2</w:t>
            </w:r>
          </w:p>
        </w:tc>
        <w:tc>
          <w:tcPr>
            <w:tcW w:w="891" w:type="dxa"/>
            <w:tcBorders>
              <w:top w:val="single" w:sz="4" w:space="0" w:color="000000"/>
              <w:left w:val="single" w:sz="4" w:space="0" w:color="000000"/>
              <w:right w:val="single" w:sz="4" w:space="0" w:color="000000"/>
            </w:tcBorders>
            <w:shd w:val="clear" w:color="auto" w:fill="E7E6E6"/>
          </w:tcPr>
          <w:p>
            <w:pPr>
              <w:pStyle w:val="TableParagraph"/>
              <w:spacing w:before="81"/>
              <w:ind w:left="142" w:right="136"/>
              <w:jc w:val="center"/>
              <w:rPr>
                <w:i/>
                <w:sz w:val="17"/>
              </w:rPr>
            </w:pPr>
            <w:r>
              <w:rPr>
                <w:i/>
                <w:sz w:val="17"/>
              </w:rPr>
              <w:t>23.6</w:t>
            </w:r>
          </w:p>
        </w:tc>
      </w:tr>
    </w:tbl>
    <w:p>
      <w:pPr>
        <w:spacing w:before="104"/>
        <w:ind w:left="2846" w:right="0" w:firstLine="0"/>
        <w:jc w:val="left"/>
        <w:rPr>
          <w:sz w:val="15"/>
        </w:rPr>
      </w:pPr>
      <w:r>
        <w:t xml:space="preserve">数据来源：自然资源部官网， </w:t>
      </w:r>
    </w:p>
    <w:p>
      <w:pPr>
        <w:pStyle w:val="BodyText"/>
        <w:spacing w:before="12"/>
        <w:rPr>
          <w:sz w:val="18"/>
        </w:rPr>
      </w:pPr>
    </w:p>
    <w:p>
      <w:pPr>
        <w:pStyle w:val="BodyText"/>
        <w:spacing w:before="82" w:line="348" w:lineRule="auto"/>
        <w:ind w:left="2712" w:right="320" w:firstLine="423"/>
        <w:jc w:val="both"/>
      </w:pPr>
      <w:r>
        <w:rPr>
          <w:b/>
          <w:spacing w:val="-10"/>
        </w:rPr>
        <w:t xml:space="preserve">重稀土开采指标：连续 </w:t>
      </w:r>
      <w:r>
        <w:rPr>
          <w:rFonts w:ascii="Arial" w:eastAsia="Arial"/>
          <w:b/>
        </w:rPr>
        <w:t xml:space="preserve">6 </w:t>
      </w:r>
      <w:r>
        <w:rPr>
          <w:b/>
          <w:spacing w:val="-9"/>
        </w:rPr>
        <w:t>年保持不变，白云鄂博矿含有一定量的重稀土元素。</w:t>
      </w:r>
      <w:r>
        <w:t>从</w:t>
      </w:r>
      <w:r>
        <w:rPr>
          <w:spacing w:val="-3"/>
        </w:rPr>
        <w:t>重稀土开采指标看，</w:t>
      </w:r>
      <w:r>
        <w:rPr>
          <w:rFonts w:ascii="Arial" w:eastAsia="Arial"/>
        </w:rPr>
        <w:t xml:space="preserve">2023 </w:t>
      </w:r>
      <w:r>
        <w:rPr>
          <w:spacing w:val="-6"/>
        </w:rPr>
        <w:t xml:space="preserve">年重稀土开采总量指标合计 </w:t>
      </w:r>
      <w:r>
        <w:rPr>
          <w:rFonts w:ascii="Arial" w:eastAsia="Arial"/>
        </w:rPr>
        <w:t xml:space="preserve">19150 </w:t>
      </w:r>
      <w:r>
        <w:rPr>
          <w:spacing w:val="-20"/>
        </w:rPr>
        <w:t xml:space="preserve">吨 </w:t>
      </w:r>
      <w:r>
        <w:rPr>
          <w:rFonts w:ascii="Arial" w:eastAsia="Arial"/>
        </w:rPr>
        <w:t>REO</w:t>
      </w:r>
      <w:r>
        <w:rPr>
          <w:spacing w:val="-10"/>
        </w:rPr>
        <w:t xml:space="preserve">，连续 </w:t>
      </w:r>
      <w:r>
        <w:rPr>
          <w:rFonts w:ascii="Arial" w:eastAsia="Arial"/>
        </w:rPr>
        <w:t xml:space="preserve">6 </w:t>
      </w:r>
      <w:r>
        <w:t>年没</w:t>
      </w:r>
      <w:r>
        <w:rPr>
          <w:spacing w:val="-11"/>
        </w:rPr>
        <w:t>有变动。分公司看，重稀土开采指标主要分配给中国稀土集团、厦门钨业、广东稀土</w:t>
      </w:r>
      <w:r>
        <w:rPr>
          <w:spacing w:val="-8"/>
        </w:rPr>
        <w:t xml:space="preserve">集团，其中，中国稀土集团重稀土开采指标为 </w:t>
      </w:r>
      <w:r>
        <w:rPr>
          <w:rFonts w:ascii="Arial" w:eastAsia="Arial"/>
        </w:rPr>
        <w:t xml:space="preserve">13010 </w:t>
      </w:r>
      <w:r>
        <w:rPr>
          <w:spacing w:val="50"/>
        </w:rPr>
        <w:t>吨</w:t>
      </w:r>
      <w:r>
        <w:rPr>
          <w:rFonts w:ascii="Arial" w:eastAsia="Arial"/>
          <w:spacing w:val="-3"/>
        </w:rPr>
        <w:t>REO</w:t>
      </w:r>
      <w:r>
        <w:rPr>
          <w:spacing w:val="-4"/>
        </w:rPr>
        <w:t>，在集团合并之前，中</w:t>
      </w:r>
      <w:r>
        <w:rPr>
          <w:spacing w:val="-16"/>
        </w:rPr>
        <w:t xml:space="preserve">国稀有稀土、五矿稀土和南方稀土分别拥有 </w:t>
      </w:r>
      <w:r>
        <w:rPr>
          <w:rFonts w:ascii="Arial" w:eastAsia="Arial"/>
        </w:rPr>
        <w:t>2500</w:t>
      </w:r>
      <w:r>
        <w:rPr>
          <w:spacing w:val="-106"/>
        </w:rPr>
        <w:t>、</w:t>
      </w:r>
      <w:r>
        <w:rPr>
          <w:rFonts w:ascii="Arial" w:eastAsia="Arial"/>
        </w:rPr>
        <w:t xml:space="preserve">2010 </w:t>
      </w:r>
      <w:r>
        <w:rPr>
          <w:spacing w:val="-26"/>
        </w:rPr>
        <w:t xml:space="preserve">和 </w:t>
      </w:r>
      <w:r>
        <w:rPr>
          <w:rFonts w:ascii="Arial" w:eastAsia="Arial"/>
        </w:rPr>
        <w:t xml:space="preserve">8500 </w:t>
      </w:r>
      <w:r>
        <w:rPr>
          <w:spacing w:val="-3"/>
        </w:rPr>
        <w:t xml:space="preserve">吨重稀土开采指标； </w:t>
      </w:r>
      <w:r>
        <w:rPr>
          <w:spacing w:val="3"/>
        </w:rPr>
        <w:t>厦门钨业拥有</w:t>
      </w:r>
      <w:r>
        <w:rPr>
          <w:rFonts w:ascii="Arial" w:eastAsia="Arial"/>
        </w:rPr>
        <w:t xml:space="preserve">3440 </w:t>
      </w:r>
      <w:r>
        <w:rPr>
          <w:spacing w:val="-10"/>
        </w:rPr>
        <w:t>吨重稀土开采指标；广东稀土集团拥有</w:t>
      </w:r>
      <w:r>
        <w:rPr>
          <w:rFonts w:ascii="Arial" w:eastAsia="Arial"/>
        </w:rPr>
        <w:t xml:space="preserve">2700 </w:t>
      </w:r>
      <w:r>
        <w:rPr>
          <w:spacing w:val="-3"/>
        </w:rPr>
        <w:t>吨重稀土开采指标。</w:t>
      </w:r>
      <w:r>
        <w:rPr>
          <w:spacing w:val="-8"/>
        </w:rPr>
        <w:t>虽然北方稀土并没有重稀土开采指标，但白云鄂博稀土矿也同样含有一定量重稀土元</w:t>
      </w:r>
      <w:r>
        <w:rPr>
          <w:spacing w:val="-11"/>
        </w:rPr>
        <w:t>素，因此随着北方稀土轻稀土指标分配逐渐提高，整体看中国重稀土元素供给量是增加的。</w:t>
      </w:r>
    </w:p>
    <w:p>
      <w:pPr>
        <w:spacing w:before="144"/>
        <w:ind w:left="2846" w:right="0" w:firstLine="0"/>
        <w:jc w:val="left"/>
        <w:rPr>
          <w:b/>
          <w:i/>
          <w:sz w:val="22"/>
        </w:rPr>
      </w:pPr>
      <w:r>
        <w:pict>
          <v:group id="_x0000_s1316" style="width:383.75pt;height:1pt;margin-top:26.24pt;margin-left:169.22pt;mso-position-horizontal-relative:page;position:absolute;z-index:251751424" coordorigin="3384,525" coordsize="7675,20">
            <v:line id="_x0000_s1317" style="position:absolute" from="3399,539" to="11059,539" stroked="t" strokecolor="#013e96" strokeweight="0.48pt">
              <v:stroke dashstyle="solid"/>
            </v:line>
            <v:line id="_x0000_s1318" style="position:absolute" from="3384,530" to="11049,530" stroked="t" strokecolor="#013e96" strokeweight="0.48pt">
              <v:stroke dashstyle="solid"/>
            </v:line>
          </v:group>
        </w:pict>
      </w:r>
      <w:r>
        <w:rPr>
          <w:b/>
          <w:i/>
          <w:sz w:val="22"/>
        </w:rPr>
        <w:t xml:space="preserve">图表 </w:t>
      </w:r>
      <w:r>
        <w:rPr>
          <w:rFonts w:ascii="Arial" w:eastAsia="Arial"/>
          <w:b/>
          <w:i/>
          <w:sz w:val="21"/>
        </w:rPr>
        <w:t>20</w:t>
      </w:r>
      <w:r>
        <w:rPr>
          <w:b/>
          <w:i/>
          <w:sz w:val="22"/>
        </w:rPr>
        <w:t>：</w:t>
      </w:r>
      <w:r>
        <w:rPr>
          <w:rFonts w:ascii="Arial" w:eastAsia="Arial"/>
          <w:b/>
          <w:i/>
          <w:sz w:val="21"/>
        </w:rPr>
        <w:t xml:space="preserve">2023 </w:t>
      </w:r>
      <w:r>
        <w:rPr>
          <w:b/>
          <w:i/>
          <w:sz w:val="22"/>
        </w:rPr>
        <w:t xml:space="preserve">年重稀土开采指标连续 </w:t>
      </w:r>
      <w:r>
        <w:rPr>
          <w:rFonts w:ascii="Arial" w:eastAsia="Arial"/>
          <w:b/>
          <w:i/>
          <w:sz w:val="21"/>
        </w:rPr>
        <w:t xml:space="preserve">6 </w:t>
      </w:r>
      <w:r>
        <w:rPr>
          <w:b/>
          <w:i/>
          <w:sz w:val="22"/>
        </w:rPr>
        <w:t xml:space="preserve">年保持不变（吨 </w:t>
      </w:r>
      <w:r>
        <w:rPr>
          <w:rFonts w:ascii="Arial" w:eastAsia="Arial"/>
          <w:b/>
          <w:i/>
          <w:sz w:val="21"/>
        </w:rPr>
        <w:t>REO</w:t>
      </w:r>
      <w:r>
        <w:rPr>
          <w:b/>
          <w:i/>
          <w:sz w:val="22"/>
        </w:rPr>
        <w:t>）</w:t>
      </w:r>
    </w:p>
    <w:p>
      <w:pPr>
        <w:pStyle w:val="BodyText"/>
        <w:spacing w:before="6"/>
        <w:rPr>
          <w:b/>
          <w:i/>
          <w:sz w:val="8"/>
        </w:rPr>
      </w:pPr>
    </w:p>
    <w:tbl>
      <w:tblPr>
        <w:tblStyle w:val="TableNormal6"/>
        <w:tblW w:w="0" w:type="auto"/>
        <w:jc w:val="left"/>
        <w:tblInd w:w="2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41"/>
        <w:gridCol w:w="2835"/>
        <w:gridCol w:w="708"/>
        <w:gridCol w:w="711"/>
        <w:gridCol w:w="708"/>
        <w:gridCol w:w="739"/>
      </w:tblGrid>
      <w:tr>
        <w:tblPrEx>
          <w:tblW w:w="0" w:type="auto"/>
          <w:jc w:val="left"/>
          <w:tblInd w:w="2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98"/>
          <w:jc w:val="left"/>
        </w:trPr>
        <w:tc>
          <w:tcPr>
            <w:tcW w:w="1741" w:type="dxa"/>
            <w:tcBorders>
              <w:top w:val="nil"/>
              <w:left w:val="nil"/>
              <w:right w:val="nil"/>
            </w:tcBorders>
            <w:shd w:val="clear" w:color="auto" w:fill="4774CA"/>
          </w:tcPr>
          <w:p>
            <w:pPr>
              <w:pStyle w:val="TableParagraph"/>
              <w:spacing w:before="101"/>
              <w:ind w:left="536" w:right="524"/>
              <w:jc w:val="center"/>
              <w:rPr>
                <w:sz w:val="16"/>
              </w:rPr>
            </w:pPr>
            <w:r>
              <w:rPr>
                <w:color w:val="FFFFFF"/>
                <w:sz w:val="16"/>
              </w:rPr>
              <w:t>稀土集团</w:t>
            </w:r>
          </w:p>
        </w:tc>
        <w:tc>
          <w:tcPr>
            <w:tcW w:w="2835" w:type="dxa"/>
            <w:tcBorders>
              <w:top w:val="nil"/>
              <w:left w:val="nil"/>
              <w:right w:val="nil"/>
            </w:tcBorders>
            <w:shd w:val="clear" w:color="auto" w:fill="4774CA"/>
          </w:tcPr>
          <w:p>
            <w:pPr>
              <w:pStyle w:val="TableParagraph"/>
              <w:spacing w:before="101"/>
              <w:ind w:left="681" w:right="673"/>
              <w:jc w:val="center"/>
              <w:rPr>
                <w:sz w:val="16"/>
              </w:rPr>
            </w:pPr>
            <w:r>
              <w:rPr>
                <w:color w:val="FFFFFF"/>
                <w:sz w:val="16"/>
              </w:rPr>
              <w:t>省（区）或中央企业</w:t>
            </w:r>
          </w:p>
        </w:tc>
        <w:tc>
          <w:tcPr>
            <w:tcW w:w="708" w:type="dxa"/>
            <w:tcBorders>
              <w:top w:val="nil"/>
              <w:left w:val="nil"/>
              <w:right w:val="nil"/>
            </w:tcBorders>
            <w:shd w:val="clear" w:color="auto" w:fill="4774CA"/>
          </w:tcPr>
          <w:p>
            <w:pPr>
              <w:pStyle w:val="TableParagraph"/>
              <w:spacing w:before="101"/>
              <w:ind w:left="198"/>
              <w:rPr>
                <w:sz w:val="16"/>
              </w:rPr>
            </w:pPr>
            <w:r>
              <w:rPr>
                <w:color w:val="FFFFFF"/>
                <w:sz w:val="16"/>
              </w:rPr>
              <w:t>2020</w:t>
            </w:r>
          </w:p>
        </w:tc>
        <w:tc>
          <w:tcPr>
            <w:tcW w:w="711" w:type="dxa"/>
            <w:tcBorders>
              <w:top w:val="nil"/>
              <w:left w:val="nil"/>
              <w:right w:val="nil"/>
            </w:tcBorders>
            <w:shd w:val="clear" w:color="auto" w:fill="4774CA"/>
          </w:tcPr>
          <w:p>
            <w:pPr>
              <w:pStyle w:val="TableParagraph"/>
              <w:spacing w:before="101"/>
              <w:ind w:left="199"/>
              <w:rPr>
                <w:sz w:val="16"/>
              </w:rPr>
            </w:pPr>
            <w:r>
              <w:rPr>
                <w:color w:val="FFFFFF"/>
                <w:sz w:val="16"/>
              </w:rPr>
              <w:t>2021</w:t>
            </w:r>
          </w:p>
        </w:tc>
        <w:tc>
          <w:tcPr>
            <w:tcW w:w="708" w:type="dxa"/>
            <w:tcBorders>
              <w:top w:val="nil"/>
              <w:left w:val="nil"/>
              <w:right w:val="nil"/>
            </w:tcBorders>
            <w:shd w:val="clear" w:color="auto" w:fill="4774CA"/>
          </w:tcPr>
          <w:p>
            <w:pPr>
              <w:pStyle w:val="TableParagraph"/>
              <w:spacing w:before="101"/>
              <w:ind w:left="198"/>
              <w:rPr>
                <w:sz w:val="16"/>
              </w:rPr>
            </w:pPr>
            <w:r>
              <w:rPr>
                <w:color w:val="FFFFFF"/>
                <w:sz w:val="16"/>
              </w:rPr>
              <w:t>2022</w:t>
            </w:r>
          </w:p>
        </w:tc>
        <w:tc>
          <w:tcPr>
            <w:tcW w:w="739" w:type="dxa"/>
            <w:tcBorders>
              <w:top w:val="nil"/>
              <w:left w:val="nil"/>
              <w:right w:val="nil"/>
            </w:tcBorders>
            <w:shd w:val="clear" w:color="auto" w:fill="4774CA"/>
          </w:tcPr>
          <w:p>
            <w:pPr>
              <w:pStyle w:val="TableParagraph"/>
              <w:spacing w:before="101"/>
              <w:ind w:left="213"/>
              <w:rPr>
                <w:sz w:val="16"/>
              </w:rPr>
            </w:pPr>
            <w:r>
              <w:rPr>
                <w:color w:val="FFFFFF"/>
                <w:sz w:val="16"/>
              </w:rPr>
              <w:t>2023</w:t>
            </w:r>
          </w:p>
        </w:tc>
      </w:tr>
      <w:tr>
        <w:tblPrEx>
          <w:tblW w:w="0" w:type="auto"/>
          <w:jc w:val="left"/>
          <w:tblInd w:w="2854" w:type="dxa"/>
          <w:tblLayout w:type="fixed"/>
          <w:tblCellMar>
            <w:top w:w="0" w:type="dxa"/>
            <w:left w:w="0" w:type="dxa"/>
            <w:bottom w:w="0" w:type="dxa"/>
            <w:right w:w="0" w:type="dxa"/>
          </w:tblCellMar>
          <w:tblLook w:val="01E0"/>
        </w:tblPrEx>
        <w:trPr>
          <w:trHeight w:val="782"/>
          <w:jc w:val="left"/>
        </w:trPr>
        <w:tc>
          <w:tcPr>
            <w:tcW w:w="1741" w:type="dxa"/>
            <w:vMerge w:val="restart"/>
          </w:tcPr>
          <w:p>
            <w:pPr>
              <w:pStyle w:val="TableParagraph"/>
              <w:rPr>
                <w:b/>
                <w:i/>
                <w:sz w:val="16"/>
              </w:rPr>
            </w:pPr>
          </w:p>
          <w:p>
            <w:pPr>
              <w:pStyle w:val="TableParagraph"/>
              <w:rPr>
                <w:b/>
                <w:i/>
                <w:sz w:val="16"/>
              </w:rPr>
            </w:pPr>
          </w:p>
          <w:p>
            <w:pPr>
              <w:pStyle w:val="TableParagraph"/>
              <w:rPr>
                <w:b/>
                <w:i/>
                <w:sz w:val="16"/>
              </w:rPr>
            </w:pPr>
          </w:p>
          <w:p>
            <w:pPr>
              <w:pStyle w:val="TableParagraph"/>
              <w:rPr>
                <w:b/>
                <w:i/>
                <w:sz w:val="16"/>
              </w:rPr>
            </w:pPr>
          </w:p>
          <w:p>
            <w:pPr>
              <w:pStyle w:val="TableParagraph"/>
              <w:rPr>
                <w:b/>
                <w:i/>
                <w:sz w:val="16"/>
              </w:rPr>
            </w:pPr>
          </w:p>
          <w:p>
            <w:pPr>
              <w:pStyle w:val="TableParagraph"/>
              <w:rPr>
                <w:b/>
                <w:i/>
                <w:sz w:val="20"/>
              </w:rPr>
            </w:pPr>
          </w:p>
          <w:p>
            <w:pPr>
              <w:pStyle w:val="TableParagraph"/>
              <w:spacing w:before="1"/>
              <w:ind w:left="389"/>
              <w:rPr>
                <w:sz w:val="16"/>
              </w:rPr>
            </w:pPr>
            <w:r>
              <w:rPr>
                <w:sz w:val="16"/>
              </w:rPr>
              <w:t>中国稀土集团</w:t>
            </w:r>
          </w:p>
        </w:tc>
        <w:tc>
          <w:tcPr>
            <w:tcW w:w="2835" w:type="dxa"/>
          </w:tcPr>
          <w:p>
            <w:pPr>
              <w:pStyle w:val="TableParagraph"/>
              <w:spacing w:before="94"/>
              <w:ind w:left="275" w:right="267"/>
              <w:jc w:val="center"/>
              <w:rPr>
                <w:sz w:val="16"/>
              </w:rPr>
            </w:pPr>
            <w:r>
              <w:rPr>
                <w:sz w:val="16"/>
              </w:rPr>
              <w:t>中国稀有稀土</w:t>
            </w:r>
          </w:p>
          <w:p>
            <w:pPr>
              <w:pStyle w:val="TableParagraph"/>
              <w:spacing w:before="4"/>
              <w:rPr>
                <w:b/>
                <w:i/>
                <w:sz w:val="14"/>
              </w:rPr>
            </w:pPr>
          </w:p>
          <w:p>
            <w:pPr>
              <w:pStyle w:val="TableParagraph"/>
              <w:ind w:left="277" w:right="267"/>
              <w:jc w:val="center"/>
              <w:rPr>
                <w:sz w:val="16"/>
              </w:rPr>
            </w:pPr>
            <w:r>
              <w:rPr>
                <w:sz w:val="16"/>
              </w:rPr>
              <w:t>（中国铝业公司）</w:t>
            </w:r>
          </w:p>
        </w:tc>
        <w:tc>
          <w:tcPr>
            <w:tcW w:w="708" w:type="dxa"/>
            <w:tcBorders>
              <w:right w:val="single" w:sz="6" w:space="0" w:color="000000"/>
            </w:tcBorders>
          </w:tcPr>
          <w:p>
            <w:pPr>
              <w:pStyle w:val="TableParagraph"/>
              <w:spacing w:before="6"/>
              <w:rPr>
                <w:b/>
                <w:i/>
                <w:sz w:val="22"/>
              </w:rPr>
            </w:pPr>
          </w:p>
          <w:p>
            <w:pPr>
              <w:pStyle w:val="TableParagraph"/>
              <w:ind w:right="139"/>
              <w:jc w:val="right"/>
              <w:rPr>
                <w:sz w:val="16"/>
              </w:rPr>
            </w:pPr>
            <w:r>
              <w:rPr>
                <w:sz w:val="16"/>
              </w:rPr>
              <w:t>2,500</w:t>
            </w:r>
          </w:p>
        </w:tc>
        <w:tc>
          <w:tcPr>
            <w:tcW w:w="711" w:type="dxa"/>
            <w:vMerge w:val="restart"/>
            <w:tcBorders>
              <w:left w:val="single" w:sz="6" w:space="0" w:color="000000"/>
            </w:tcBorders>
          </w:tcPr>
          <w:p>
            <w:pPr>
              <w:pStyle w:val="TableParagraph"/>
              <w:rPr>
                <w:b/>
                <w:i/>
                <w:sz w:val="16"/>
              </w:rPr>
            </w:pPr>
          </w:p>
          <w:p>
            <w:pPr>
              <w:pStyle w:val="TableParagraph"/>
              <w:rPr>
                <w:b/>
                <w:i/>
                <w:sz w:val="16"/>
              </w:rPr>
            </w:pPr>
          </w:p>
          <w:p>
            <w:pPr>
              <w:pStyle w:val="TableParagraph"/>
              <w:rPr>
                <w:b/>
                <w:i/>
                <w:sz w:val="16"/>
              </w:rPr>
            </w:pPr>
          </w:p>
          <w:p>
            <w:pPr>
              <w:pStyle w:val="TableParagraph"/>
              <w:rPr>
                <w:b/>
                <w:i/>
                <w:sz w:val="16"/>
              </w:rPr>
            </w:pPr>
          </w:p>
          <w:p>
            <w:pPr>
              <w:pStyle w:val="TableParagraph"/>
              <w:rPr>
                <w:b/>
                <w:i/>
                <w:sz w:val="16"/>
              </w:rPr>
            </w:pPr>
          </w:p>
          <w:p>
            <w:pPr>
              <w:pStyle w:val="TableParagraph"/>
              <w:rPr>
                <w:b/>
                <w:i/>
                <w:sz w:val="20"/>
              </w:rPr>
            </w:pPr>
          </w:p>
          <w:p>
            <w:pPr>
              <w:pStyle w:val="TableParagraph"/>
              <w:spacing w:before="1"/>
              <w:ind w:left="110"/>
              <w:rPr>
                <w:sz w:val="16"/>
              </w:rPr>
            </w:pPr>
            <w:r>
              <w:rPr>
                <w:sz w:val="16"/>
              </w:rPr>
              <w:t>13,010</w:t>
            </w:r>
          </w:p>
        </w:tc>
        <w:tc>
          <w:tcPr>
            <w:tcW w:w="708" w:type="dxa"/>
            <w:vMerge w:val="restart"/>
          </w:tcPr>
          <w:p>
            <w:pPr>
              <w:pStyle w:val="TableParagraph"/>
              <w:rPr>
                <w:b/>
                <w:i/>
                <w:sz w:val="16"/>
              </w:rPr>
            </w:pPr>
          </w:p>
          <w:p>
            <w:pPr>
              <w:pStyle w:val="TableParagraph"/>
              <w:rPr>
                <w:b/>
                <w:i/>
                <w:sz w:val="16"/>
              </w:rPr>
            </w:pPr>
          </w:p>
          <w:p>
            <w:pPr>
              <w:pStyle w:val="TableParagraph"/>
              <w:rPr>
                <w:b/>
                <w:i/>
                <w:sz w:val="16"/>
              </w:rPr>
            </w:pPr>
          </w:p>
          <w:p>
            <w:pPr>
              <w:pStyle w:val="TableParagraph"/>
              <w:rPr>
                <w:b/>
                <w:i/>
                <w:sz w:val="16"/>
              </w:rPr>
            </w:pPr>
          </w:p>
          <w:p>
            <w:pPr>
              <w:pStyle w:val="TableParagraph"/>
              <w:rPr>
                <w:b/>
                <w:i/>
                <w:sz w:val="16"/>
              </w:rPr>
            </w:pPr>
          </w:p>
          <w:p>
            <w:pPr>
              <w:pStyle w:val="TableParagraph"/>
              <w:rPr>
                <w:b/>
                <w:i/>
                <w:sz w:val="20"/>
              </w:rPr>
            </w:pPr>
          </w:p>
          <w:p>
            <w:pPr>
              <w:pStyle w:val="TableParagraph"/>
              <w:spacing w:before="1"/>
              <w:ind w:left="112"/>
              <w:rPr>
                <w:sz w:val="16"/>
              </w:rPr>
            </w:pPr>
            <w:r>
              <w:rPr>
                <w:sz w:val="16"/>
              </w:rPr>
              <w:t>13,010</w:t>
            </w:r>
          </w:p>
        </w:tc>
        <w:tc>
          <w:tcPr>
            <w:tcW w:w="739" w:type="dxa"/>
            <w:vMerge w:val="restart"/>
          </w:tcPr>
          <w:p>
            <w:pPr>
              <w:pStyle w:val="TableParagraph"/>
              <w:rPr>
                <w:b/>
                <w:i/>
                <w:sz w:val="16"/>
              </w:rPr>
            </w:pPr>
          </w:p>
          <w:p>
            <w:pPr>
              <w:pStyle w:val="TableParagraph"/>
              <w:rPr>
                <w:b/>
                <w:i/>
                <w:sz w:val="16"/>
              </w:rPr>
            </w:pPr>
          </w:p>
          <w:p>
            <w:pPr>
              <w:pStyle w:val="TableParagraph"/>
              <w:rPr>
                <w:b/>
                <w:i/>
                <w:sz w:val="16"/>
              </w:rPr>
            </w:pPr>
          </w:p>
          <w:p>
            <w:pPr>
              <w:pStyle w:val="TableParagraph"/>
              <w:rPr>
                <w:b/>
                <w:i/>
                <w:sz w:val="16"/>
              </w:rPr>
            </w:pPr>
          </w:p>
          <w:p>
            <w:pPr>
              <w:pStyle w:val="TableParagraph"/>
              <w:rPr>
                <w:b/>
                <w:i/>
                <w:sz w:val="16"/>
              </w:rPr>
            </w:pPr>
          </w:p>
          <w:p>
            <w:pPr>
              <w:pStyle w:val="TableParagraph"/>
              <w:rPr>
                <w:b/>
                <w:i/>
                <w:sz w:val="20"/>
              </w:rPr>
            </w:pPr>
          </w:p>
          <w:p>
            <w:pPr>
              <w:pStyle w:val="TableParagraph"/>
              <w:spacing w:before="1"/>
              <w:ind w:left="128"/>
              <w:rPr>
                <w:sz w:val="16"/>
              </w:rPr>
            </w:pPr>
            <w:r>
              <w:rPr>
                <w:sz w:val="16"/>
              </w:rPr>
              <w:t>13,010</w:t>
            </w:r>
          </w:p>
        </w:tc>
      </w:tr>
      <w:tr>
        <w:tblPrEx>
          <w:tblW w:w="0" w:type="auto"/>
          <w:jc w:val="left"/>
          <w:tblInd w:w="2854" w:type="dxa"/>
          <w:tblLayout w:type="fixed"/>
          <w:tblCellMar>
            <w:top w:w="0" w:type="dxa"/>
            <w:left w:w="0" w:type="dxa"/>
            <w:bottom w:w="0" w:type="dxa"/>
            <w:right w:w="0" w:type="dxa"/>
          </w:tblCellMar>
          <w:tblLook w:val="01E0"/>
        </w:tblPrEx>
        <w:trPr>
          <w:trHeight w:val="388"/>
          <w:jc w:val="left"/>
        </w:trPr>
        <w:tc>
          <w:tcPr>
            <w:tcW w:w="1741" w:type="dxa"/>
            <w:vMerge/>
            <w:tcBorders>
              <w:top w:val="nil"/>
            </w:tcBorders>
          </w:tcPr>
          <w:p>
            <w:pPr>
              <w:rPr>
                <w:sz w:val="2"/>
                <w:szCs w:val="2"/>
              </w:rPr>
            </w:pPr>
          </w:p>
        </w:tc>
        <w:tc>
          <w:tcPr>
            <w:tcW w:w="2835" w:type="dxa"/>
          </w:tcPr>
          <w:p>
            <w:pPr>
              <w:pStyle w:val="TableParagraph"/>
              <w:spacing w:before="91"/>
              <w:ind w:left="275" w:right="267"/>
              <w:jc w:val="center"/>
              <w:rPr>
                <w:sz w:val="16"/>
              </w:rPr>
            </w:pPr>
            <w:r>
              <w:rPr>
                <w:sz w:val="16"/>
              </w:rPr>
              <w:t>其中:中国钢研科技集团</w:t>
            </w:r>
          </w:p>
        </w:tc>
        <w:tc>
          <w:tcPr>
            <w:tcW w:w="708" w:type="dxa"/>
            <w:tcBorders>
              <w:right w:val="single" w:sz="6" w:space="0" w:color="000000"/>
            </w:tcBorders>
          </w:tcPr>
          <w:p>
            <w:pPr>
              <w:pStyle w:val="TableParagraph"/>
              <w:spacing w:before="91"/>
              <w:ind w:left="12"/>
              <w:jc w:val="center"/>
              <w:rPr>
                <w:sz w:val="16"/>
              </w:rPr>
            </w:pPr>
            <w:r>
              <w:rPr>
                <w:w w:val="100"/>
                <w:sz w:val="16"/>
              </w:rPr>
              <w:t>0</w:t>
            </w:r>
          </w:p>
        </w:tc>
        <w:tc>
          <w:tcPr>
            <w:tcW w:w="711" w:type="dxa"/>
            <w:vMerge/>
            <w:tcBorders>
              <w:top w:val="nil"/>
              <w:left w:val="single" w:sz="6" w:space="0" w:color="000000"/>
            </w:tcBorders>
          </w:tcPr>
          <w:p>
            <w:pPr>
              <w:rPr>
                <w:sz w:val="2"/>
                <w:szCs w:val="2"/>
              </w:rPr>
            </w:pPr>
          </w:p>
        </w:tc>
        <w:tc>
          <w:tcPr>
            <w:tcW w:w="708" w:type="dxa"/>
            <w:vMerge/>
            <w:tcBorders>
              <w:top w:val="nil"/>
            </w:tcBorders>
          </w:tcPr>
          <w:p>
            <w:pPr>
              <w:rPr>
                <w:sz w:val="2"/>
                <w:szCs w:val="2"/>
              </w:rPr>
            </w:pPr>
          </w:p>
        </w:tc>
        <w:tc>
          <w:tcPr>
            <w:tcW w:w="739" w:type="dxa"/>
            <w:vMerge/>
            <w:tcBorders>
              <w:top w:val="nil"/>
            </w:tcBorders>
          </w:tcPr>
          <w:p>
            <w:pPr>
              <w:rPr>
                <w:sz w:val="2"/>
                <w:szCs w:val="2"/>
              </w:rPr>
            </w:pPr>
          </w:p>
        </w:tc>
      </w:tr>
      <w:tr>
        <w:tblPrEx>
          <w:tblW w:w="0" w:type="auto"/>
          <w:jc w:val="left"/>
          <w:tblInd w:w="2854" w:type="dxa"/>
          <w:tblLayout w:type="fixed"/>
          <w:tblCellMar>
            <w:top w:w="0" w:type="dxa"/>
            <w:left w:w="0" w:type="dxa"/>
            <w:bottom w:w="0" w:type="dxa"/>
            <w:right w:w="0" w:type="dxa"/>
          </w:tblCellMar>
          <w:tblLook w:val="01E0"/>
        </w:tblPrEx>
        <w:trPr>
          <w:trHeight w:val="780"/>
          <w:jc w:val="left"/>
        </w:trPr>
        <w:tc>
          <w:tcPr>
            <w:tcW w:w="1741" w:type="dxa"/>
            <w:vMerge/>
            <w:tcBorders>
              <w:top w:val="nil"/>
            </w:tcBorders>
          </w:tcPr>
          <w:p>
            <w:pPr>
              <w:rPr>
                <w:sz w:val="2"/>
                <w:szCs w:val="2"/>
              </w:rPr>
            </w:pPr>
          </w:p>
        </w:tc>
        <w:tc>
          <w:tcPr>
            <w:tcW w:w="2835" w:type="dxa"/>
          </w:tcPr>
          <w:p>
            <w:pPr>
              <w:pStyle w:val="TableParagraph"/>
              <w:spacing w:before="92"/>
              <w:ind w:left="275" w:right="267"/>
              <w:jc w:val="center"/>
              <w:rPr>
                <w:sz w:val="16"/>
              </w:rPr>
            </w:pPr>
            <w:r>
              <w:rPr>
                <w:sz w:val="16"/>
              </w:rPr>
              <w:t>五矿稀土集团</w:t>
            </w:r>
          </w:p>
          <w:p>
            <w:pPr>
              <w:pStyle w:val="TableParagraph"/>
              <w:spacing w:before="7"/>
              <w:rPr>
                <w:b/>
                <w:i/>
                <w:sz w:val="14"/>
              </w:rPr>
            </w:pPr>
          </w:p>
          <w:p>
            <w:pPr>
              <w:pStyle w:val="TableParagraph"/>
              <w:ind w:left="277" w:right="267"/>
              <w:jc w:val="center"/>
              <w:rPr>
                <w:sz w:val="16"/>
              </w:rPr>
            </w:pPr>
            <w:r>
              <w:rPr>
                <w:sz w:val="16"/>
              </w:rPr>
              <w:t>（中国五矿集团）</w:t>
            </w:r>
          </w:p>
        </w:tc>
        <w:tc>
          <w:tcPr>
            <w:tcW w:w="708" w:type="dxa"/>
            <w:tcBorders>
              <w:right w:val="single" w:sz="6" w:space="0" w:color="000000"/>
            </w:tcBorders>
          </w:tcPr>
          <w:p>
            <w:pPr>
              <w:pStyle w:val="TableParagraph"/>
              <w:spacing w:before="7"/>
              <w:rPr>
                <w:b/>
                <w:i/>
                <w:sz w:val="22"/>
              </w:rPr>
            </w:pPr>
          </w:p>
          <w:p>
            <w:pPr>
              <w:pStyle w:val="TableParagraph"/>
              <w:ind w:right="139"/>
              <w:jc w:val="right"/>
              <w:rPr>
                <w:sz w:val="16"/>
              </w:rPr>
            </w:pPr>
            <w:r>
              <w:rPr>
                <w:sz w:val="16"/>
              </w:rPr>
              <w:t>2,010</w:t>
            </w:r>
          </w:p>
        </w:tc>
        <w:tc>
          <w:tcPr>
            <w:tcW w:w="711" w:type="dxa"/>
            <w:vMerge/>
            <w:tcBorders>
              <w:top w:val="nil"/>
              <w:left w:val="single" w:sz="6" w:space="0" w:color="000000"/>
            </w:tcBorders>
          </w:tcPr>
          <w:p>
            <w:pPr>
              <w:rPr>
                <w:sz w:val="2"/>
                <w:szCs w:val="2"/>
              </w:rPr>
            </w:pPr>
          </w:p>
        </w:tc>
        <w:tc>
          <w:tcPr>
            <w:tcW w:w="708" w:type="dxa"/>
            <w:vMerge/>
            <w:tcBorders>
              <w:top w:val="nil"/>
            </w:tcBorders>
          </w:tcPr>
          <w:p>
            <w:pPr>
              <w:rPr>
                <w:sz w:val="2"/>
                <w:szCs w:val="2"/>
              </w:rPr>
            </w:pPr>
          </w:p>
        </w:tc>
        <w:tc>
          <w:tcPr>
            <w:tcW w:w="739" w:type="dxa"/>
            <w:vMerge/>
            <w:tcBorders>
              <w:top w:val="nil"/>
            </w:tcBorders>
          </w:tcPr>
          <w:p>
            <w:pPr>
              <w:rPr>
                <w:sz w:val="2"/>
                <w:szCs w:val="2"/>
              </w:rPr>
            </w:pP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1741" w:type="dxa"/>
            <w:vMerge/>
            <w:tcBorders>
              <w:top w:val="nil"/>
            </w:tcBorders>
          </w:tcPr>
          <w:p>
            <w:pPr>
              <w:rPr>
                <w:sz w:val="2"/>
                <w:szCs w:val="2"/>
              </w:rPr>
            </w:pPr>
          </w:p>
        </w:tc>
        <w:tc>
          <w:tcPr>
            <w:tcW w:w="2835" w:type="dxa"/>
          </w:tcPr>
          <w:p>
            <w:pPr>
              <w:pStyle w:val="TableParagraph"/>
              <w:spacing w:before="94"/>
              <w:ind w:left="277" w:right="267"/>
              <w:jc w:val="center"/>
              <w:rPr>
                <w:sz w:val="16"/>
              </w:rPr>
            </w:pPr>
            <w:r>
              <w:rPr>
                <w:sz w:val="16"/>
              </w:rPr>
              <w:t>中国南方稀土集团</w:t>
            </w:r>
          </w:p>
        </w:tc>
        <w:tc>
          <w:tcPr>
            <w:tcW w:w="708" w:type="dxa"/>
            <w:tcBorders>
              <w:right w:val="single" w:sz="6" w:space="0" w:color="000000"/>
            </w:tcBorders>
          </w:tcPr>
          <w:p>
            <w:pPr>
              <w:pStyle w:val="TableParagraph"/>
              <w:spacing w:before="94"/>
              <w:ind w:right="139"/>
              <w:jc w:val="right"/>
              <w:rPr>
                <w:sz w:val="16"/>
              </w:rPr>
            </w:pPr>
            <w:r>
              <w:rPr>
                <w:sz w:val="16"/>
              </w:rPr>
              <w:t>8,500</w:t>
            </w:r>
          </w:p>
        </w:tc>
        <w:tc>
          <w:tcPr>
            <w:tcW w:w="711" w:type="dxa"/>
            <w:vMerge/>
            <w:tcBorders>
              <w:top w:val="nil"/>
              <w:left w:val="single" w:sz="6" w:space="0" w:color="000000"/>
            </w:tcBorders>
          </w:tcPr>
          <w:p>
            <w:pPr>
              <w:rPr>
                <w:sz w:val="2"/>
                <w:szCs w:val="2"/>
              </w:rPr>
            </w:pPr>
          </w:p>
        </w:tc>
        <w:tc>
          <w:tcPr>
            <w:tcW w:w="708" w:type="dxa"/>
            <w:vMerge/>
            <w:tcBorders>
              <w:top w:val="nil"/>
            </w:tcBorders>
          </w:tcPr>
          <w:p>
            <w:pPr>
              <w:rPr>
                <w:sz w:val="2"/>
                <w:szCs w:val="2"/>
              </w:rPr>
            </w:pPr>
          </w:p>
        </w:tc>
        <w:tc>
          <w:tcPr>
            <w:tcW w:w="739" w:type="dxa"/>
            <w:vMerge/>
            <w:tcBorders>
              <w:top w:val="nil"/>
            </w:tcBorders>
          </w:tcPr>
          <w:p>
            <w:pPr>
              <w:rPr>
                <w:sz w:val="2"/>
                <w:szCs w:val="2"/>
              </w:rPr>
            </w:pP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1741" w:type="dxa"/>
            <w:vMerge/>
            <w:tcBorders>
              <w:top w:val="nil"/>
            </w:tcBorders>
          </w:tcPr>
          <w:p>
            <w:pPr>
              <w:rPr>
                <w:sz w:val="2"/>
                <w:szCs w:val="2"/>
              </w:rPr>
            </w:pPr>
          </w:p>
        </w:tc>
        <w:tc>
          <w:tcPr>
            <w:tcW w:w="2835" w:type="dxa"/>
          </w:tcPr>
          <w:p>
            <w:pPr>
              <w:pStyle w:val="TableParagraph"/>
              <w:spacing w:before="91"/>
              <w:ind w:left="277" w:right="267"/>
              <w:jc w:val="center"/>
              <w:rPr>
                <w:sz w:val="16"/>
              </w:rPr>
            </w:pPr>
            <w:r>
              <w:rPr>
                <w:sz w:val="16"/>
              </w:rPr>
              <w:t>其中：四川江铜稀土参控股企业</w:t>
            </w:r>
          </w:p>
        </w:tc>
        <w:tc>
          <w:tcPr>
            <w:tcW w:w="708" w:type="dxa"/>
            <w:tcBorders>
              <w:right w:val="single" w:sz="6" w:space="0" w:color="000000"/>
            </w:tcBorders>
          </w:tcPr>
          <w:p>
            <w:pPr>
              <w:pStyle w:val="TableParagraph"/>
              <w:spacing w:before="91"/>
              <w:ind w:left="12"/>
              <w:jc w:val="center"/>
              <w:rPr>
                <w:sz w:val="16"/>
              </w:rPr>
            </w:pPr>
            <w:r>
              <w:rPr>
                <w:w w:val="100"/>
                <w:sz w:val="16"/>
              </w:rPr>
              <w:t>0</w:t>
            </w:r>
          </w:p>
        </w:tc>
        <w:tc>
          <w:tcPr>
            <w:tcW w:w="711" w:type="dxa"/>
            <w:vMerge/>
            <w:tcBorders>
              <w:top w:val="nil"/>
              <w:left w:val="single" w:sz="6" w:space="0" w:color="000000"/>
            </w:tcBorders>
          </w:tcPr>
          <w:p>
            <w:pPr>
              <w:rPr>
                <w:sz w:val="2"/>
                <w:szCs w:val="2"/>
              </w:rPr>
            </w:pPr>
          </w:p>
        </w:tc>
        <w:tc>
          <w:tcPr>
            <w:tcW w:w="708" w:type="dxa"/>
            <w:vMerge/>
            <w:tcBorders>
              <w:top w:val="nil"/>
            </w:tcBorders>
          </w:tcPr>
          <w:p>
            <w:pPr>
              <w:rPr>
                <w:sz w:val="2"/>
                <w:szCs w:val="2"/>
              </w:rPr>
            </w:pPr>
          </w:p>
        </w:tc>
        <w:tc>
          <w:tcPr>
            <w:tcW w:w="739" w:type="dxa"/>
            <w:vMerge/>
            <w:tcBorders>
              <w:top w:val="nil"/>
            </w:tcBorders>
          </w:tcPr>
          <w:p>
            <w:pPr>
              <w:rPr>
                <w:sz w:val="2"/>
                <w:szCs w:val="2"/>
              </w:rPr>
            </w:pPr>
          </w:p>
        </w:tc>
      </w:tr>
      <w:tr>
        <w:tblPrEx>
          <w:tblW w:w="0" w:type="auto"/>
          <w:jc w:val="left"/>
          <w:tblInd w:w="2854" w:type="dxa"/>
          <w:tblLayout w:type="fixed"/>
          <w:tblCellMar>
            <w:top w:w="0" w:type="dxa"/>
            <w:left w:w="0" w:type="dxa"/>
            <w:bottom w:w="0" w:type="dxa"/>
            <w:right w:w="0" w:type="dxa"/>
          </w:tblCellMar>
          <w:tblLook w:val="01E0"/>
        </w:tblPrEx>
        <w:trPr>
          <w:trHeight w:val="388"/>
          <w:jc w:val="left"/>
        </w:trPr>
        <w:tc>
          <w:tcPr>
            <w:tcW w:w="1741" w:type="dxa"/>
          </w:tcPr>
          <w:p>
            <w:pPr>
              <w:pStyle w:val="TableParagraph"/>
              <w:spacing w:before="91"/>
              <w:ind w:left="129" w:right="117"/>
              <w:jc w:val="center"/>
              <w:rPr>
                <w:sz w:val="16"/>
              </w:rPr>
            </w:pPr>
            <w:r>
              <w:rPr>
                <w:sz w:val="16"/>
              </w:rPr>
              <w:t>北方稀土</w:t>
            </w:r>
          </w:p>
        </w:tc>
        <w:tc>
          <w:tcPr>
            <w:tcW w:w="2835" w:type="dxa"/>
          </w:tcPr>
          <w:p>
            <w:pPr>
              <w:pStyle w:val="TableParagraph"/>
              <w:spacing w:before="91"/>
              <w:ind w:left="277" w:right="266"/>
              <w:jc w:val="center"/>
              <w:rPr>
                <w:sz w:val="16"/>
              </w:rPr>
            </w:pPr>
            <w:r>
              <w:rPr>
                <w:sz w:val="16"/>
              </w:rPr>
              <w:t>北方稀土</w:t>
            </w:r>
          </w:p>
        </w:tc>
        <w:tc>
          <w:tcPr>
            <w:tcW w:w="708" w:type="dxa"/>
            <w:tcBorders>
              <w:right w:val="single" w:sz="6" w:space="0" w:color="000000"/>
            </w:tcBorders>
          </w:tcPr>
          <w:p>
            <w:pPr>
              <w:pStyle w:val="TableParagraph"/>
              <w:spacing w:before="91"/>
              <w:ind w:left="12"/>
              <w:jc w:val="center"/>
              <w:rPr>
                <w:sz w:val="16"/>
              </w:rPr>
            </w:pPr>
            <w:r>
              <w:rPr>
                <w:w w:val="100"/>
                <w:sz w:val="16"/>
              </w:rPr>
              <w:t>0</w:t>
            </w:r>
          </w:p>
        </w:tc>
        <w:tc>
          <w:tcPr>
            <w:tcW w:w="711" w:type="dxa"/>
            <w:tcBorders>
              <w:left w:val="single" w:sz="6" w:space="0" w:color="000000"/>
            </w:tcBorders>
          </w:tcPr>
          <w:p>
            <w:pPr>
              <w:pStyle w:val="TableParagraph"/>
              <w:spacing w:before="91"/>
              <w:ind w:left="5"/>
              <w:jc w:val="center"/>
              <w:rPr>
                <w:sz w:val="16"/>
              </w:rPr>
            </w:pPr>
            <w:r>
              <w:rPr>
                <w:w w:val="100"/>
                <w:sz w:val="16"/>
              </w:rPr>
              <w:t>0</w:t>
            </w:r>
          </w:p>
        </w:tc>
        <w:tc>
          <w:tcPr>
            <w:tcW w:w="708" w:type="dxa"/>
          </w:tcPr>
          <w:p>
            <w:pPr>
              <w:pStyle w:val="TableParagraph"/>
              <w:spacing w:before="91"/>
              <w:ind w:left="9"/>
              <w:jc w:val="center"/>
              <w:rPr>
                <w:sz w:val="16"/>
              </w:rPr>
            </w:pPr>
            <w:r>
              <w:rPr>
                <w:w w:val="100"/>
                <w:sz w:val="16"/>
              </w:rPr>
              <w:t>0</w:t>
            </w:r>
          </w:p>
        </w:tc>
        <w:tc>
          <w:tcPr>
            <w:tcW w:w="739" w:type="dxa"/>
          </w:tcPr>
          <w:p>
            <w:pPr>
              <w:pStyle w:val="TableParagraph"/>
              <w:spacing w:before="91"/>
              <w:ind w:left="7"/>
              <w:jc w:val="center"/>
              <w:rPr>
                <w:sz w:val="16"/>
              </w:rPr>
            </w:pPr>
            <w:r>
              <w:rPr>
                <w:w w:val="100"/>
                <w:sz w:val="16"/>
              </w:rPr>
              <w:t>0</w:t>
            </w: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1741" w:type="dxa"/>
          </w:tcPr>
          <w:p>
            <w:pPr>
              <w:pStyle w:val="TableParagraph"/>
              <w:spacing w:before="94"/>
              <w:ind w:left="129" w:right="117"/>
              <w:jc w:val="center"/>
              <w:rPr>
                <w:sz w:val="16"/>
              </w:rPr>
            </w:pPr>
            <w:r>
              <w:rPr>
                <w:sz w:val="16"/>
              </w:rPr>
              <w:t>厦门钨业</w:t>
            </w:r>
          </w:p>
        </w:tc>
        <w:tc>
          <w:tcPr>
            <w:tcW w:w="2835" w:type="dxa"/>
          </w:tcPr>
          <w:p>
            <w:pPr>
              <w:pStyle w:val="TableParagraph"/>
              <w:spacing w:before="94"/>
              <w:ind w:left="277" w:right="266"/>
              <w:jc w:val="center"/>
              <w:rPr>
                <w:sz w:val="16"/>
              </w:rPr>
            </w:pPr>
            <w:r>
              <w:rPr>
                <w:sz w:val="16"/>
              </w:rPr>
              <w:t>厦门钨业</w:t>
            </w:r>
          </w:p>
        </w:tc>
        <w:tc>
          <w:tcPr>
            <w:tcW w:w="708" w:type="dxa"/>
            <w:tcBorders>
              <w:right w:val="single" w:sz="6" w:space="0" w:color="000000"/>
            </w:tcBorders>
          </w:tcPr>
          <w:p>
            <w:pPr>
              <w:pStyle w:val="TableParagraph"/>
              <w:spacing w:before="94"/>
              <w:ind w:right="139"/>
              <w:jc w:val="right"/>
              <w:rPr>
                <w:sz w:val="16"/>
              </w:rPr>
            </w:pPr>
            <w:r>
              <w:rPr>
                <w:sz w:val="16"/>
              </w:rPr>
              <w:t>3,440</w:t>
            </w:r>
          </w:p>
        </w:tc>
        <w:tc>
          <w:tcPr>
            <w:tcW w:w="711" w:type="dxa"/>
            <w:tcBorders>
              <w:left w:val="single" w:sz="6" w:space="0" w:color="000000"/>
            </w:tcBorders>
          </w:tcPr>
          <w:p>
            <w:pPr>
              <w:pStyle w:val="TableParagraph"/>
              <w:spacing w:before="94"/>
              <w:ind w:right="143"/>
              <w:jc w:val="right"/>
              <w:rPr>
                <w:sz w:val="16"/>
              </w:rPr>
            </w:pPr>
            <w:r>
              <w:rPr>
                <w:sz w:val="16"/>
              </w:rPr>
              <w:t>3,440</w:t>
            </w:r>
          </w:p>
        </w:tc>
        <w:tc>
          <w:tcPr>
            <w:tcW w:w="708" w:type="dxa"/>
          </w:tcPr>
          <w:p>
            <w:pPr>
              <w:pStyle w:val="TableParagraph"/>
              <w:spacing w:before="94"/>
              <w:ind w:right="141"/>
              <w:jc w:val="right"/>
              <w:rPr>
                <w:sz w:val="16"/>
              </w:rPr>
            </w:pPr>
            <w:r>
              <w:rPr>
                <w:sz w:val="16"/>
              </w:rPr>
              <w:t>3,440</w:t>
            </w:r>
          </w:p>
        </w:tc>
        <w:tc>
          <w:tcPr>
            <w:tcW w:w="739" w:type="dxa"/>
          </w:tcPr>
          <w:p>
            <w:pPr>
              <w:pStyle w:val="TableParagraph"/>
              <w:spacing w:before="94"/>
              <w:ind w:right="158"/>
              <w:jc w:val="right"/>
              <w:rPr>
                <w:sz w:val="16"/>
              </w:rPr>
            </w:pPr>
            <w:r>
              <w:rPr>
                <w:sz w:val="16"/>
              </w:rPr>
              <w:t>3,440</w:t>
            </w: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1741" w:type="dxa"/>
          </w:tcPr>
          <w:p>
            <w:pPr>
              <w:pStyle w:val="TableParagraph"/>
              <w:spacing w:before="91"/>
              <w:ind w:left="129" w:right="121"/>
              <w:jc w:val="center"/>
              <w:rPr>
                <w:sz w:val="16"/>
              </w:rPr>
            </w:pPr>
            <w:r>
              <w:rPr>
                <w:sz w:val="16"/>
              </w:rPr>
              <w:t>广东省稀土产业集团</w:t>
            </w:r>
          </w:p>
        </w:tc>
        <w:tc>
          <w:tcPr>
            <w:tcW w:w="2835" w:type="dxa"/>
          </w:tcPr>
          <w:p>
            <w:pPr>
              <w:pStyle w:val="TableParagraph"/>
              <w:spacing w:before="91"/>
              <w:ind w:left="277" w:right="267"/>
              <w:jc w:val="center"/>
              <w:rPr>
                <w:sz w:val="16"/>
              </w:rPr>
            </w:pPr>
            <w:r>
              <w:rPr>
                <w:sz w:val="16"/>
              </w:rPr>
              <w:t>广东稀土产业集团</w:t>
            </w:r>
          </w:p>
        </w:tc>
        <w:tc>
          <w:tcPr>
            <w:tcW w:w="708" w:type="dxa"/>
            <w:tcBorders>
              <w:right w:val="single" w:sz="6" w:space="0" w:color="000000"/>
            </w:tcBorders>
          </w:tcPr>
          <w:p>
            <w:pPr>
              <w:pStyle w:val="TableParagraph"/>
              <w:spacing w:before="91"/>
              <w:ind w:right="139"/>
              <w:jc w:val="right"/>
              <w:rPr>
                <w:sz w:val="16"/>
              </w:rPr>
            </w:pPr>
            <w:r>
              <w:rPr>
                <w:sz w:val="16"/>
              </w:rPr>
              <w:t>2,700</w:t>
            </w:r>
          </w:p>
        </w:tc>
        <w:tc>
          <w:tcPr>
            <w:tcW w:w="711" w:type="dxa"/>
            <w:tcBorders>
              <w:left w:val="single" w:sz="6" w:space="0" w:color="000000"/>
            </w:tcBorders>
          </w:tcPr>
          <w:p>
            <w:pPr>
              <w:pStyle w:val="TableParagraph"/>
              <w:spacing w:before="91"/>
              <w:ind w:right="143"/>
              <w:jc w:val="right"/>
              <w:rPr>
                <w:sz w:val="16"/>
              </w:rPr>
            </w:pPr>
            <w:r>
              <w:rPr>
                <w:sz w:val="16"/>
              </w:rPr>
              <w:t>2,700</w:t>
            </w:r>
          </w:p>
        </w:tc>
        <w:tc>
          <w:tcPr>
            <w:tcW w:w="708" w:type="dxa"/>
          </w:tcPr>
          <w:p>
            <w:pPr>
              <w:pStyle w:val="TableParagraph"/>
              <w:spacing w:before="91"/>
              <w:ind w:right="141"/>
              <w:jc w:val="right"/>
              <w:rPr>
                <w:sz w:val="16"/>
              </w:rPr>
            </w:pPr>
            <w:r>
              <w:rPr>
                <w:sz w:val="16"/>
              </w:rPr>
              <w:t>2,700</w:t>
            </w:r>
          </w:p>
        </w:tc>
        <w:tc>
          <w:tcPr>
            <w:tcW w:w="739" w:type="dxa"/>
          </w:tcPr>
          <w:p>
            <w:pPr>
              <w:pStyle w:val="TableParagraph"/>
              <w:spacing w:before="91"/>
              <w:ind w:right="158"/>
              <w:jc w:val="right"/>
              <w:rPr>
                <w:sz w:val="16"/>
              </w:rPr>
            </w:pPr>
            <w:r>
              <w:rPr>
                <w:sz w:val="16"/>
              </w:rPr>
              <w:t>2,700</w:t>
            </w:r>
          </w:p>
        </w:tc>
      </w:tr>
      <w:tr>
        <w:tblPrEx>
          <w:tblW w:w="0" w:type="auto"/>
          <w:jc w:val="left"/>
          <w:tblInd w:w="2854" w:type="dxa"/>
          <w:tblLayout w:type="fixed"/>
          <w:tblCellMar>
            <w:top w:w="0" w:type="dxa"/>
            <w:left w:w="0" w:type="dxa"/>
            <w:bottom w:w="0" w:type="dxa"/>
            <w:right w:w="0" w:type="dxa"/>
          </w:tblCellMar>
          <w:tblLook w:val="01E0"/>
        </w:tblPrEx>
        <w:trPr>
          <w:trHeight w:val="395"/>
          <w:jc w:val="left"/>
        </w:trPr>
        <w:tc>
          <w:tcPr>
            <w:tcW w:w="4576" w:type="dxa"/>
            <w:gridSpan w:val="2"/>
            <w:tcBorders>
              <w:bottom w:val="single" w:sz="4" w:space="0" w:color="013E96"/>
            </w:tcBorders>
            <w:shd w:val="clear" w:color="auto" w:fill="E7E6E6"/>
          </w:tcPr>
          <w:p>
            <w:pPr>
              <w:pStyle w:val="TableParagraph"/>
              <w:spacing w:before="91"/>
              <w:ind w:left="1947" w:right="1938"/>
              <w:jc w:val="center"/>
              <w:rPr>
                <w:sz w:val="16"/>
              </w:rPr>
            </w:pPr>
            <w:r>
              <w:rPr>
                <w:sz w:val="16"/>
              </w:rPr>
              <w:t>全国合计</w:t>
            </w:r>
          </w:p>
        </w:tc>
        <w:tc>
          <w:tcPr>
            <w:tcW w:w="708" w:type="dxa"/>
            <w:tcBorders>
              <w:bottom w:val="single" w:sz="4" w:space="0" w:color="013E96"/>
              <w:right w:val="single" w:sz="6" w:space="0" w:color="000000"/>
            </w:tcBorders>
            <w:shd w:val="clear" w:color="auto" w:fill="E7E6E6"/>
          </w:tcPr>
          <w:p>
            <w:pPr>
              <w:pStyle w:val="TableParagraph"/>
              <w:spacing w:before="91"/>
              <w:ind w:right="100"/>
              <w:jc w:val="right"/>
              <w:rPr>
                <w:sz w:val="16"/>
              </w:rPr>
            </w:pPr>
            <w:r>
              <w:rPr>
                <w:sz w:val="16"/>
              </w:rPr>
              <w:t>19,150</w:t>
            </w:r>
          </w:p>
        </w:tc>
        <w:tc>
          <w:tcPr>
            <w:tcW w:w="711" w:type="dxa"/>
            <w:tcBorders>
              <w:left w:val="single" w:sz="6" w:space="0" w:color="000000"/>
              <w:bottom w:val="single" w:sz="4" w:space="0" w:color="013E96"/>
            </w:tcBorders>
            <w:shd w:val="clear" w:color="auto" w:fill="E7E6E6"/>
          </w:tcPr>
          <w:p>
            <w:pPr>
              <w:pStyle w:val="TableParagraph"/>
              <w:spacing w:before="91"/>
              <w:ind w:right="105"/>
              <w:jc w:val="right"/>
              <w:rPr>
                <w:sz w:val="16"/>
              </w:rPr>
            </w:pPr>
            <w:r>
              <w:rPr>
                <w:sz w:val="16"/>
              </w:rPr>
              <w:t>19,150</w:t>
            </w:r>
          </w:p>
        </w:tc>
        <w:tc>
          <w:tcPr>
            <w:tcW w:w="708" w:type="dxa"/>
            <w:tcBorders>
              <w:bottom w:val="single" w:sz="4" w:space="0" w:color="013E96"/>
            </w:tcBorders>
            <w:shd w:val="clear" w:color="auto" w:fill="E7E6E6"/>
          </w:tcPr>
          <w:p>
            <w:pPr>
              <w:pStyle w:val="TableParagraph"/>
              <w:spacing w:before="91"/>
              <w:ind w:right="103"/>
              <w:jc w:val="right"/>
              <w:rPr>
                <w:sz w:val="16"/>
              </w:rPr>
            </w:pPr>
            <w:r>
              <w:rPr>
                <w:sz w:val="16"/>
              </w:rPr>
              <w:t>19,150</w:t>
            </w:r>
          </w:p>
        </w:tc>
        <w:tc>
          <w:tcPr>
            <w:tcW w:w="739" w:type="dxa"/>
            <w:tcBorders>
              <w:bottom w:val="single" w:sz="4" w:space="0" w:color="013E96"/>
            </w:tcBorders>
            <w:shd w:val="clear" w:color="auto" w:fill="E7E6E6"/>
          </w:tcPr>
          <w:p>
            <w:pPr>
              <w:pStyle w:val="TableParagraph"/>
              <w:spacing w:before="91"/>
              <w:ind w:right="117"/>
              <w:jc w:val="right"/>
              <w:rPr>
                <w:sz w:val="16"/>
              </w:rPr>
            </w:pPr>
            <w:r>
              <w:rPr>
                <w:sz w:val="16"/>
              </w:rPr>
              <w:t>19,150</w:t>
            </w:r>
          </w:p>
        </w:tc>
      </w:tr>
    </w:tbl>
    <w:p>
      <w:pPr>
        <w:pStyle w:val="BodyText"/>
        <w:spacing w:line="20" w:lineRule="exact"/>
        <w:ind w:left="2733"/>
        <w:rPr>
          <w:sz w:val="2"/>
        </w:rPr>
      </w:pPr>
      <w:r>
        <w:rPr>
          <w:sz w:val="2"/>
        </w:rPr>
        <w:pict>
          <v:group id="_x0000_i1319" style="width:383pt;height:0.5pt;mso-position-horizontal-relative:char;mso-position-vertical-relative:line" coordorigin="0,0" coordsize="7660,10">
            <v:line id="_x0000_s1320" style="position:absolute" from="0,5" to="7660,5" stroked="t" strokecolor="#013e96" strokeweight="0.48pt">
              <v:stroke dashstyle="solid"/>
            </v:line>
            <w10:wrap type="none"/>
          </v:group>
        </w:pict>
      </w:r>
    </w:p>
    <w:p>
      <w:pPr>
        <w:spacing w:before="84"/>
        <w:ind w:left="2846" w:right="0" w:firstLine="0"/>
        <w:jc w:val="left"/>
        <w:rPr>
          <w:sz w:val="15"/>
        </w:rPr>
      </w:pPr>
      <w:r>
        <w:t xml:space="preserve">数据来源：自然资源部官网， </w:t>
      </w:r>
    </w:p>
    <w:p>
      <w:pPr>
        <w:pStyle w:val="BodyText"/>
        <w:spacing w:before="6"/>
        <w:rPr>
          <w:sz w:val="19"/>
        </w:rPr>
      </w:pPr>
    </w:p>
    <w:p>
      <w:pPr>
        <w:pStyle w:val="BodyText"/>
        <w:spacing w:before="72" w:line="348" w:lineRule="auto"/>
        <w:ind w:left="2712" w:right="322" w:firstLine="423"/>
        <w:jc w:val="both"/>
      </w:pPr>
      <w:r>
        <w:rPr>
          <w:b/>
          <w:spacing w:val="-10"/>
        </w:rPr>
        <w:t>冶炼分离指标：新的指标增量仅分配给中国稀土集团和北方稀土。</w:t>
      </w:r>
      <w:r>
        <w:rPr>
          <w:spacing w:val="-5"/>
        </w:rPr>
        <w:t>从冶炼分离指</w:t>
      </w:r>
      <w:r>
        <w:t>标看，</w:t>
      </w:r>
      <w:r>
        <w:rPr>
          <w:rFonts w:ascii="Arial" w:eastAsia="Arial"/>
        </w:rPr>
        <w:t>2023</w:t>
      </w:r>
      <w:r>
        <w:rPr>
          <w:rFonts w:ascii="Arial" w:eastAsia="Arial"/>
          <w:spacing w:val="2"/>
        </w:rPr>
        <w:t xml:space="preserve"> </w:t>
      </w:r>
      <w:r>
        <w:rPr>
          <w:spacing w:val="-7"/>
        </w:rPr>
        <w:t xml:space="preserve">年冶炼分离总量指标为 </w:t>
      </w:r>
      <w:r>
        <w:rPr>
          <w:rFonts w:ascii="Arial" w:eastAsia="Arial"/>
        </w:rPr>
        <w:t>24.4</w:t>
      </w:r>
      <w:r>
        <w:rPr>
          <w:rFonts w:ascii="Arial" w:eastAsia="Arial"/>
          <w:spacing w:val="3"/>
        </w:rPr>
        <w:t xml:space="preserve"> </w:t>
      </w:r>
      <w:r>
        <w:rPr>
          <w:spacing w:val="-15"/>
        </w:rPr>
        <w:t xml:space="preserve">万吨 </w:t>
      </w:r>
      <w:r>
        <w:rPr>
          <w:rFonts w:ascii="Arial" w:eastAsia="Arial"/>
        </w:rPr>
        <w:t>REO</w:t>
      </w:r>
      <w:r>
        <w:rPr>
          <w:spacing w:val="-9"/>
        </w:rPr>
        <w:t xml:space="preserve">，同比增长 </w:t>
      </w:r>
      <w:r>
        <w:rPr>
          <w:rFonts w:ascii="Arial" w:eastAsia="Arial"/>
        </w:rPr>
        <w:t>20.7%</w:t>
      </w:r>
      <w:r>
        <w:rPr>
          <w:spacing w:val="-3"/>
        </w:rPr>
        <w:t xml:space="preserve">。分公司看， </w:t>
      </w:r>
      <w:r>
        <w:rPr>
          <w:spacing w:val="-16"/>
        </w:rPr>
        <w:t xml:space="preserve">冶炼分离指标主要分配给中国稀土集团、北方稀土、厦门钨业、广东稀土集团，其中， </w:t>
      </w:r>
      <w:r>
        <w:rPr>
          <w:spacing w:val="-10"/>
        </w:rPr>
        <w:t xml:space="preserve">中国稀土集团获得冶炼分离指标 </w:t>
      </w:r>
      <w:r>
        <w:rPr>
          <w:rFonts w:ascii="Arial" w:eastAsia="Arial"/>
        </w:rPr>
        <w:t>6.6</w:t>
      </w:r>
      <w:r>
        <w:rPr>
          <w:rFonts w:ascii="Arial" w:eastAsia="Arial"/>
          <w:spacing w:val="10"/>
        </w:rPr>
        <w:t xml:space="preserve"> </w:t>
      </w:r>
      <w:r>
        <w:rPr>
          <w:spacing w:val="-13"/>
        </w:rPr>
        <w:t xml:space="preserve">万吨 </w:t>
      </w:r>
      <w:r>
        <w:rPr>
          <w:rFonts w:ascii="Arial" w:eastAsia="Arial"/>
        </w:rPr>
        <w:t>REO</w:t>
      </w:r>
      <w:r>
        <w:rPr>
          <w:spacing w:val="-9"/>
        </w:rPr>
        <w:t xml:space="preserve">，同比增长 </w:t>
      </w:r>
      <w:r>
        <w:rPr>
          <w:rFonts w:ascii="Arial" w:eastAsia="Arial"/>
        </w:rPr>
        <w:t>12.9%</w:t>
      </w:r>
      <w:r>
        <w:rPr>
          <w:spacing w:val="-3"/>
        </w:rPr>
        <w:t>；北方稀土获得冶</w:t>
      </w:r>
      <w:r>
        <w:rPr>
          <w:spacing w:val="-11"/>
        </w:rPr>
        <w:t xml:space="preserve">炼分离指标 </w:t>
      </w:r>
      <w:r>
        <w:rPr>
          <w:rFonts w:ascii="Arial" w:eastAsia="Arial"/>
        </w:rPr>
        <w:t>16.3</w:t>
      </w:r>
      <w:r>
        <w:rPr>
          <w:rFonts w:ascii="Arial" w:eastAsia="Arial"/>
          <w:spacing w:val="-2"/>
        </w:rPr>
        <w:t xml:space="preserve"> </w:t>
      </w:r>
      <w:r>
        <w:rPr>
          <w:spacing w:val="-18"/>
        </w:rPr>
        <w:t xml:space="preserve">万吨 </w:t>
      </w:r>
      <w:r>
        <w:rPr>
          <w:rFonts w:ascii="Arial" w:eastAsia="Arial"/>
          <w:spacing w:val="-4"/>
        </w:rPr>
        <w:t>REO</w:t>
      </w:r>
      <w:r>
        <w:rPr>
          <w:spacing w:val="-11"/>
        </w:rPr>
        <w:t xml:space="preserve">，同比增长 </w:t>
      </w:r>
      <w:r>
        <w:rPr>
          <w:rFonts w:ascii="Arial" w:eastAsia="Arial"/>
          <w:spacing w:val="-4"/>
        </w:rPr>
        <w:t>26.6%</w:t>
      </w:r>
      <w:r>
        <w:rPr>
          <w:spacing w:val="-7"/>
        </w:rPr>
        <w:t xml:space="preserve">；厦门钨业和广东稀土获得 </w:t>
      </w:r>
      <w:r>
        <w:rPr>
          <w:rFonts w:ascii="Arial" w:eastAsia="Arial"/>
        </w:rPr>
        <w:t>3963</w:t>
      </w:r>
      <w:r>
        <w:rPr>
          <w:rFonts w:ascii="Arial" w:eastAsia="Arial"/>
          <w:spacing w:val="-1"/>
        </w:rPr>
        <w:t xml:space="preserve"> </w:t>
      </w:r>
      <w:r>
        <w:rPr>
          <w:spacing w:val="-3"/>
        </w:rPr>
        <w:t>吨和</w:t>
      </w:r>
      <w:r>
        <w:rPr>
          <w:rFonts w:ascii="Arial" w:eastAsia="Arial"/>
        </w:rPr>
        <w:t>10604</w:t>
      </w:r>
      <w:r>
        <w:rPr>
          <w:rFonts w:ascii="Arial" w:eastAsia="Arial"/>
          <w:spacing w:val="-5"/>
        </w:rPr>
        <w:t xml:space="preserve"> </w:t>
      </w:r>
      <w:r>
        <w:rPr>
          <w:spacing w:val="50"/>
        </w:rPr>
        <w:t>吨</w:t>
      </w:r>
      <w:r>
        <w:rPr>
          <w:rFonts w:ascii="Arial" w:eastAsia="Arial"/>
        </w:rPr>
        <w:t>REO</w:t>
      </w:r>
      <w:r>
        <w:rPr>
          <w:spacing w:val="-2"/>
        </w:rPr>
        <w:t>，环比持平。</w:t>
      </w:r>
    </w:p>
    <w:p>
      <w:pPr>
        <w:spacing w:before="148"/>
        <w:ind w:left="2846" w:right="0" w:firstLine="0"/>
        <w:jc w:val="left"/>
        <w:rPr>
          <w:b/>
          <w:i/>
          <w:sz w:val="22"/>
        </w:rPr>
      </w:pPr>
      <w:r>
        <w:pict>
          <v:shape id="_x0000_s1321" style="width:383.25pt;height:0.1pt;margin-top:26.56pt;margin-left:169.22pt;mso-position-horizontal-relative:page;mso-wrap-distance-left:0;mso-wrap-distance-right:0;position:absolute;z-index:-251566080" coordorigin="3384,531" coordsize="7665,0" path="m3384,531l11049,531e" filled="f" stroked="t" strokecolor="#013e96" strokeweight="0.48pt">
            <v:stroke dashstyle="solid"/>
            <v:path arrowok="t"/>
            <w10:wrap type="topAndBottom"/>
          </v:shape>
        </w:pict>
      </w:r>
      <w:r>
        <w:rPr>
          <w:b/>
          <w:i/>
          <w:sz w:val="22"/>
        </w:rPr>
        <w:t xml:space="preserve">图表 </w:t>
      </w:r>
      <w:r>
        <w:rPr>
          <w:rFonts w:ascii="Arial" w:eastAsia="Arial"/>
          <w:b/>
          <w:i/>
          <w:sz w:val="21"/>
        </w:rPr>
        <w:t>21</w:t>
      </w:r>
      <w:r>
        <w:rPr>
          <w:b/>
          <w:i/>
          <w:sz w:val="22"/>
        </w:rPr>
        <w:t>：</w:t>
      </w:r>
      <w:r>
        <w:rPr>
          <w:rFonts w:ascii="Arial" w:eastAsia="Arial"/>
          <w:b/>
          <w:i/>
          <w:sz w:val="21"/>
        </w:rPr>
        <w:t xml:space="preserve">2023 </w:t>
      </w:r>
      <w:r>
        <w:rPr>
          <w:b/>
          <w:i/>
          <w:sz w:val="22"/>
        </w:rPr>
        <w:t>年新的冶炼分离指标增量仅分配给中国稀土集团和北方稀土</w:t>
      </w:r>
    </w:p>
    <w:p>
      <w:pPr>
        <w:spacing w:after="0"/>
        <w:jc w:val="left"/>
        <w:rPr>
          <w:sz w:val="22"/>
        </w:rPr>
        <w:sectPr>
          <w:headerReference w:type="default" r:id="rId77"/>
          <w:footerReference w:type="default" r:id="rId78"/>
          <w:pgSz w:w="11910" w:h="16840"/>
          <w:pgMar w:top="1360" w:right="520" w:bottom="660" w:left="660" w:header="708" w:footer="708"/>
          <w:pgNumType w:start="31"/>
          <w:cols w:space="708"/>
        </w:sectPr>
      </w:pPr>
    </w:p>
    <w:p>
      <w:pPr>
        <w:pStyle w:val="BodyText"/>
        <w:spacing w:before="5"/>
        <w:rPr>
          <w:b/>
          <w:i/>
          <w:sz w:val="3"/>
        </w:rPr>
      </w:pPr>
      <w:r>
        <w:pict>
          <v:shape id="_x0000_s1322" type="#_x0000_t202" style="width:60pt;height:12pt;margin-top:36.85pt;margin-left:488.98pt;mso-position-horizontal-relative:page;mso-position-vertical-relative:page;position:absolute;z-index:-251564032" filled="f" stroked="f">
            <v:textbox inset="0,0,0,0">
              <w:txbxContent>
                <w:p>
                  <w:pPr>
                    <w:spacing w:before="0" w:line="240" w:lineRule="exact"/>
                    <w:ind w:left="0" w:right="0" w:firstLine="0"/>
                    <w:jc w:val="left"/>
                    <w:rPr>
                      <w:sz w:val="24"/>
                    </w:rPr>
                  </w:pPr>
                  <w:r>
                    <w:rPr>
                      <w:sz w:val="24"/>
                    </w:rPr>
                    <w:t>丨公司名称</w:t>
                  </w:r>
                </w:p>
              </w:txbxContent>
            </v:textbox>
          </v:shape>
        </w:pict>
      </w:r>
      <w:r>
        <w:drawing>
          <wp:anchor distT="0" distB="0" distL="0" distR="0" simplePos="0" relativeHeight="251753472" behindDoc="1" locked="0" layoutInCell="1" allowOverlap="1">
            <wp:simplePos x="0" y="0"/>
            <wp:positionH relativeFrom="page">
              <wp:posOffset>5025312</wp:posOffset>
            </wp:positionH>
            <wp:positionV relativeFrom="page">
              <wp:posOffset>3263963</wp:posOffset>
            </wp:positionV>
            <wp:extent cx="71558" cy="70103"/>
            <wp:effectExtent l="0" t="0" r="0" b="0"/>
            <wp:wrapNone/>
            <wp:docPr id="11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13.png"/>
                    <pic:cNvPicPr/>
                  </pic:nvPicPr>
                  <pic:blipFill>
                    <a:blip xmlns:r="http://schemas.openxmlformats.org/officeDocument/2006/relationships" r:embed="rId74" cstate="print"/>
                    <a:stretch>
                      <a:fillRect/>
                    </a:stretch>
                  </pic:blipFill>
                  <pic:spPr>
                    <a:xfrm>
                      <a:off x="0" y="0"/>
                      <a:ext cx="71558" cy="70103"/>
                    </a:xfrm>
                    <a:prstGeom prst="rect">
                      <a:avLst/>
                    </a:prstGeom>
                  </pic:spPr>
                </pic:pic>
              </a:graphicData>
            </a:graphic>
          </wp:anchor>
        </w:drawing>
      </w:r>
      <w:r>
        <w:drawing>
          <wp:anchor distT="0" distB="0" distL="0" distR="0" simplePos="0" relativeHeight="251754496" behindDoc="1" locked="0" layoutInCell="1" allowOverlap="1">
            <wp:simplePos x="0" y="0"/>
            <wp:positionH relativeFrom="page">
              <wp:posOffset>5569530</wp:posOffset>
            </wp:positionH>
            <wp:positionV relativeFrom="page">
              <wp:posOffset>3263963</wp:posOffset>
            </wp:positionV>
            <wp:extent cx="71558" cy="70103"/>
            <wp:effectExtent l="0" t="0" r="0" b="0"/>
            <wp:wrapNone/>
            <wp:docPr id="11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13.png"/>
                    <pic:cNvPicPr/>
                  </pic:nvPicPr>
                  <pic:blipFill>
                    <a:blip xmlns:r="http://schemas.openxmlformats.org/officeDocument/2006/relationships" r:embed="rId74" cstate="print"/>
                    <a:stretch>
                      <a:fillRect/>
                    </a:stretch>
                  </pic:blipFill>
                  <pic:spPr>
                    <a:xfrm>
                      <a:off x="0" y="0"/>
                      <a:ext cx="71558" cy="70103"/>
                    </a:xfrm>
                    <a:prstGeom prst="rect">
                      <a:avLst/>
                    </a:prstGeom>
                  </pic:spPr>
                </pic:pic>
              </a:graphicData>
            </a:graphic>
          </wp:anchor>
        </w:drawing>
      </w:r>
      <w:r>
        <w:drawing>
          <wp:anchor distT="0" distB="0" distL="0" distR="0" simplePos="0" relativeHeight="251755520" behindDoc="1" locked="0" layoutInCell="1" allowOverlap="1">
            <wp:simplePos x="0" y="0"/>
            <wp:positionH relativeFrom="page">
              <wp:posOffset>6141411</wp:posOffset>
            </wp:positionH>
            <wp:positionV relativeFrom="page">
              <wp:posOffset>3263963</wp:posOffset>
            </wp:positionV>
            <wp:extent cx="71558" cy="70103"/>
            <wp:effectExtent l="0" t="0" r="0" b="0"/>
            <wp:wrapNone/>
            <wp:docPr id="11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13.png"/>
                    <pic:cNvPicPr/>
                  </pic:nvPicPr>
                  <pic:blipFill>
                    <a:blip xmlns:r="http://schemas.openxmlformats.org/officeDocument/2006/relationships" r:embed="rId74" cstate="print"/>
                    <a:stretch>
                      <a:fillRect/>
                    </a:stretch>
                  </pic:blipFill>
                  <pic:spPr>
                    <a:xfrm>
                      <a:off x="0" y="0"/>
                      <a:ext cx="71558" cy="70103"/>
                    </a:xfrm>
                    <a:prstGeom prst="rect">
                      <a:avLst/>
                    </a:prstGeom>
                  </pic:spPr>
                </pic:pic>
              </a:graphicData>
            </a:graphic>
          </wp:anchor>
        </w:drawing>
      </w:r>
      <w:r>
        <w:drawing>
          <wp:anchor distT="0" distB="0" distL="0" distR="0" simplePos="0" relativeHeight="251756544" behindDoc="1" locked="0" layoutInCell="1" allowOverlap="1">
            <wp:simplePos x="0" y="0"/>
            <wp:positionH relativeFrom="page">
              <wp:posOffset>6738873</wp:posOffset>
            </wp:positionH>
            <wp:positionV relativeFrom="page">
              <wp:posOffset>3263963</wp:posOffset>
            </wp:positionV>
            <wp:extent cx="71558" cy="70103"/>
            <wp:effectExtent l="0" t="0" r="0" b="0"/>
            <wp:wrapNone/>
            <wp:docPr id="1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13.png"/>
                    <pic:cNvPicPr/>
                  </pic:nvPicPr>
                  <pic:blipFill>
                    <a:blip xmlns:r="http://schemas.openxmlformats.org/officeDocument/2006/relationships" r:embed="rId74" cstate="print"/>
                    <a:stretch>
                      <a:fillRect/>
                    </a:stretch>
                  </pic:blipFill>
                  <pic:spPr>
                    <a:xfrm>
                      <a:off x="0" y="0"/>
                      <a:ext cx="71558" cy="70103"/>
                    </a:xfrm>
                    <a:prstGeom prst="rect">
                      <a:avLst/>
                    </a:prstGeom>
                  </pic:spPr>
                </pic:pic>
              </a:graphicData>
            </a:graphic>
          </wp:anchor>
        </w:drawing>
      </w:r>
      <w:r>
        <w:drawing>
          <wp:anchor distT="0" distB="0" distL="0" distR="0" simplePos="0" relativeHeight="251757568" behindDoc="1" locked="0" layoutInCell="1" allowOverlap="1">
            <wp:simplePos x="0" y="0"/>
            <wp:positionH relativeFrom="page">
              <wp:posOffset>4999554</wp:posOffset>
            </wp:positionH>
            <wp:positionV relativeFrom="page">
              <wp:posOffset>3773360</wp:posOffset>
            </wp:positionV>
            <wp:extent cx="71558" cy="70103"/>
            <wp:effectExtent l="0" t="0" r="0" b="0"/>
            <wp:wrapNone/>
            <wp:docPr id="12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13.png"/>
                    <pic:cNvPicPr/>
                  </pic:nvPicPr>
                  <pic:blipFill>
                    <a:blip xmlns:r="http://schemas.openxmlformats.org/officeDocument/2006/relationships" r:embed="rId74" cstate="print"/>
                    <a:stretch>
                      <a:fillRect/>
                    </a:stretch>
                  </pic:blipFill>
                  <pic:spPr>
                    <a:xfrm>
                      <a:off x="0" y="0"/>
                      <a:ext cx="71558" cy="70103"/>
                    </a:xfrm>
                    <a:prstGeom prst="rect">
                      <a:avLst/>
                    </a:prstGeom>
                  </pic:spPr>
                </pic:pic>
              </a:graphicData>
            </a:graphic>
          </wp:anchor>
        </w:drawing>
      </w:r>
      <w:r>
        <w:drawing>
          <wp:anchor distT="0" distB="0" distL="0" distR="0" simplePos="0" relativeHeight="251758592" behindDoc="1" locked="0" layoutInCell="1" allowOverlap="1">
            <wp:simplePos x="0" y="0"/>
            <wp:positionH relativeFrom="page">
              <wp:posOffset>5595288</wp:posOffset>
            </wp:positionH>
            <wp:positionV relativeFrom="page">
              <wp:posOffset>3773360</wp:posOffset>
            </wp:positionV>
            <wp:extent cx="71558" cy="70103"/>
            <wp:effectExtent l="0" t="0" r="0" b="0"/>
            <wp:wrapNone/>
            <wp:docPr id="1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13.png"/>
                    <pic:cNvPicPr/>
                  </pic:nvPicPr>
                  <pic:blipFill>
                    <a:blip xmlns:r="http://schemas.openxmlformats.org/officeDocument/2006/relationships" r:embed="rId74" cstate="print"/>
                    <a:stretch>
                      <a:fillRect/>
                    </a:stretch>
                  </pic:blipFill>
                  <pic:spPr>
                    <a:xfrm>
                      <a:off x="0" y="0"/>
                      <a:ext cx="71558" cy="70103"/>
                    </a:xfrm>
                    <a:prstGeom prst="rect">
                      <a:avLst/>
                    </a:prstGeom>
                  </pic:spPr>
                </pic:pic>
              </a:graphicData>
            </a:graphic>
          </wp:anchor>
        </w:drawing>
      </w:r>
      <w:r>
        <w:drawing>
          <wp:anchor distT="0" distB="0" distL="0" distR="0" simplePos="0" relativeHeight="251759616" behindDoc="1" locked="0" layoutInCell="1" allowOverlap="1">
            <wp:simplePos x="0" y="0"/>
            <wp:positionH relativeFrom="page">
              <wp:posOffset>6167169</wp:posOffset>
            </wp:positionH>
            <wp:positionV relativeFrom="page">
              <wp:posOffset>3773360</wp:posOffset>
            </wp:positionV>
            <wp:extent cx="71558" cy="70103"/>
            <wp:effectExtent l="0" t="0" r="0" b="0"/>
            <wp:wrapNone/>
            <wp:docPr id="1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13.png"/>
                    <pic:cNvPicPr/>
                  </pic:nvPicPr>
                  <pic:blipFill>
                    <a:blip xmlns:r="http://schemas.openxmlformats.org/officeDocument/2006/relationships" r:embed="rId74" cstate="print"/>
                    <a:stretch>
                      <a:fillRect/>
                    </a:stretch>
                  </pic:blipFill>
                  <pic:spPr>
                    <a:xfrm>
                      <a:off x="0" y="0"/>
                      <a:ext cx="71558" cy="70103"/>
                    </a:xfrm>
                    <a:prstGeom prst="rect">
                      <a:avLst/>
                    </a:prstGeom>
                  </pic:spPr>
                </pic:pic>
              </a:graphicData>
            </a:graphic>
          </wp:anchor>
        </w:drawing>
      </w:r>
      <w:r>
        <w:drawing>
          <wp:anchor distT="0" distB="0" distL="0" distR="0" simplePos="0" relativeHeight="251760640" behindDoc="1" locked="0" layoutInCell="1" allowOverlap="1">
            <wp:simplePos x="0" y="0"/>
            <wp:positionH relativeFrom="page">
              <wp:posOffset>6738873</wp:posOffset>
            </wp:positionH>
            <wp:positionV relativeFrom="page">
              <wp:posOffset>3773360</wp:posOffset>
            </wp:positionV>
            <wp:extent cx="71558" cy="70103"/>
            <wp:effectExtent l="0" t="0" r="0" b="0"/>
            <wp:wrapNone/>
            <wp:docPr id="1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13.png"/>
                    <pic:cNvPicPr/>
                  </pic:nvPicPr>
                  <pic:blipFill>
                    <a:blip xmlns:r="http://schemas.openxmlformats.org/officeDocument/2006/relationships" r:embed="rId74" cstate="print"/>
                    <a:stretch>
                      <a:fillRect/>
                    </a:stretch>
                  </pic:blipFill>
                  <pic:spPr>
                    <a:xfrm>
                      <a:off x="0" y="0"/>
                      <a:ext cx="71558" cy="70103"/>
                    </a:xfrm>
                    <a:prstGeom prst="rect">
                      <a:avLst/>
                    </a:prstGeom>
                  </pic:spPr>
                </pic:pic>
              </a:graphicData>
            </a:graphic>
          </wp:anchor>
        </w:drawing>
      </w:r>
      <w:r>
        <w:pict>
          <v:line id="_x0000_s1323" style="mso-position-horizontal-relative:page;mso-position-vertical-relative:page;position:absolute;z-index:251763712" from="169.95pt,71.15pt" to="552.45pt,71.15pt" stroked="t" strokecolor="#013e96" strokeweight="0.48pt">
            <v:stroke dashstyle="solid"/>
          </v:line>
        </w:pict>
      </w:r>
    </w:p>
    <w:tbl>
      <w:tblPr>
        <w:tblStyle w:val="TableNormal7"/>
        <w:tblW w:w="0" w:type="auto"/>
        <w:jc w:val="left"/>
        <w:tblInd w:w="2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41"/>
        <w:gridCol w:w="2096"/>
        <w:gridCol w:w="900"/>
        <w:gridCol w:w="898"/>
        <w:gridCol w:w="900"/>
        <w:gridCol w:w="898"/>
      </w:tblGrid>
      <w:tr>
        <w:tblPrEx>
          <w:tblW w:w="0" w:type="auto"/>
          <w:jc w:val="left"/>
          <w:tblInd w:w="2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93"/>
          <w:jc w:val="left"/>
        </w:trPr>
        <w:tc>
          <w:tcPr>
            <w:tcW w:w="1741" w:type="dxa"/>
            <w:tcBorders>
              <w:top w:val="nil"/>
              <w:left w:val="nil"/>
              <w:right w:val="nil"/>
            </w:tcBorders>
            <w:shd w:val="clear" w:color="auto" w:fill="4774CA"/>
          </w:tcPr>
          <w:p>
            <w:pPr>
              <w:pStyle w:val="TableParagraph"/>
              <w:spacing w:before="97"/>
              <w:ind w:left="536" w:right="524"/>
              <w:jc w:val="center"/>
              <w:rPr>
                <w:sz w:val="16"/>
              </w:rPr>
            </w:pPr>
            <w:r>
              <w:rPr>
                <w:color w:val="FFFFFF"/>
                <w:sz w:val="16"/>
              </w:rPr>
              <w:t>稀土集团</w:t>
            </w:r>
          </w:p>
        </w:tc>
        <w:tc>
          <w:tcPr>
            <w:tcW w:w="2096" w:type="dxa"/>
            <w:tcBorders>
              <w:top w:val="nil"/>
              <w:left w:val="nil"/>
              <w:right w:val="nil"/>
            </w:tcBorders>
            <w:shd w:val="clear" w:color="auto" w:fill="4774CA"/>
          </w:tcPr>
          <w:p>
            <w:pPr>
              <w:pStyle w:val="TableParagraph"/>
              <w:spacing w:before="97"/>
              <w:ind w:left="311" w:right="304"/>
              <w:jc w:val="center"/>
              <w:rPr>
                <w:sz w:val="16"/>
              </w:rPr>
            </w:pPr>
            <w:r>
              <w:rPr>
                <w:color w:val="FFFFFF"/>
                <w:sz w:val="16"/>
              </w:rPr>
              <w:t>省（区）或中央企业</w:t>
            </w:r>
          </w:p>
        </w:tc>
        <w:tc>
          <w:tcPr>
            <w:tcW w:w="900" w:type="dxa"/>
            <w:tcBorders>
              <w:top w:val="nil"/>
              <w:left w:val="nil"/>
              <w:right w:val="nil"/>
            </w:tcBorders>
            <w:shd w:val="clear" w:color="auto" w:fill="4774CA"/>
          </w:tcPr>
          <w:p>
            <w:pPr>
              <w:pStyle w:val="TableParagraph"/>
              <w:spacing w:before="97"/>
              <w:ind w:left="294"/>
              <w:rPr>
                <w:sz w:val="16"/>
              </w:rPr>
            </w:pPr>
            <w:r>
              <w:rPr>
                <w:color w:val="FFFFFF"/>
                <w:sz w:val="16"/>
              </w:rPr>
              <w:t>2020</w:t>
            </w:r>
          </w:p>
        </w:tc>
        <w:tc>
          <w:tcPr>
            <w:tcW w:w="898" w:type="dxa"/>
            <w:tcBorders>
              <w:top w:val="nil"/>
              <w:left w:val="nil"/>
              <w:right w:val="nil"/>
            </w:tcBorders>
            <w:shd w:val="clear" w:color="auto" w:fill="4774CA"/>
          </w:tcPr>
          <w:p>
            <w:pPr>
              <w:pStyle w:val="TableParagraph"/>
              <w:spacing w:before="97"/>
              <w:ind w:left="272" w:right="266"/>
              <w:jc w:val="center"/>
              <w:rPr>
                <w:sz w:val="16"/>
              </w:rPr>
            </w:pPr>
            <w:r>
              <w:rPr>
                <w:color w:val="FFFFFF"/>
                <w:sz w:val="16"/>
              </w:rPr>
              <w:t>2021</w:t>
            </w:r>
          </w:p>
        </w:tc>
        <w:tc>
          <w:tcPr>
            <w:tcW w:w="900" w:type="dxa"/>
            <w:tcBorders>
              <w:top w:val="nil"/>
              <w:left w:val="nil"/>
              <w:right w:val="nil"/>
            </w:tcBorders>
            <w:shd w:val="clear" w:color="auto" w:fill="4774CA"/>
          </w:tcPr>
          <w:p>
            <w:pPr>
              <w:pStyle w:val="TableParagraph"/>
              <w:spacing w:before="97"/>
              <w:ind w:left="294"/>
              <w:rPr>
                <w:sz w:val="16"/>
              </w:rPr>
            </w:pPr>
            <w:r>
              <w:rPr>
                <w:color w:val="FFFFFF"/>
                <w:sz w:val="16"/>
              </w:rPr>
              <w:t>2022</w:t>
            </w:r>
          </w:p>
        </w:tc>
        <w:tc>
          <w:tcPr>
            <w:tcW w:w="898" w:type="dxa"/>
            <w:tcBorders>
              <w:top w:val="nil"/>
              <w:left w:val="nil"/>
              <w:right w:val="nil"/>
            </w:tcBorders>
            <w:shd w:val="clear" w:color="auto" w:fill="4774CA"/>
          </w:tcPr>
          <w:p>
            <w:pPr>
              <w:pStyle w:val="TableParagraph"/>
              <w:spacing w:before="97"/>
              <w:ind w:left="294"/>
              <w:rPr>
                <w:sz w:val="16"/>
              </w:rPr>
            </w:pPr>
            <w:r>
              <w:rPr>
                <w:color w:val="FFFFFF"/>
                <w:sz w:val="16"/>
              </w:rPr>
              <w:t>2023</w:t>
            </w:r>
          </w:p>
        </w:tc>
      </w:tr>
      <w:tr>
        <w:tblPrEx>
          <w:tblW w:w="0" w:type="auto"/>
          <w:jc w:val="left"/>
          <w:tblInd w:w="2854" w:type="dxa"/>
          <w:tblLayout w:type="fixed"/>
          <w:tblCellMar>
            <w:top w:w="0" w:type="dxa"/>
            <w:left w:w="0" w:type="dxa"/>
            <w:bottom w:w="0" w:type="dxa"/>
            <w:right w:w="0" w:type="dxa"/>
          </w:tblCellMar>
          <w:tblLook w:val="01E0"/>
        </w:tblPrEx>
        <w:trPr>
          <w:trHeight w:val="782"/>
          <w:jc w:val="left"/>
        </w:trPr>
        <w:tc>
          <w:tcPr>
            <w:tcW w:w="1741" w:type="dxa"/>
            <w:vMerge w:val="restart"/>
          </w:tcPr>
          <w:p>
            <w:pPr>
              <w:pStyle w:val="TableParagraph"/>
              <w:rPr>
                <w:b/>
                <w:i/>
                <w:sz w:val="16"/>
              </w:rPr>
            </w:pPr>
          </w:p>
          <w:p>
            <w:pPr>
              <w:pStyle w:val="TableParagraph"/>
              <w:rPr>
                <w:b/>
                <w:i/>
                <w:sz w:val="16"/>
              </w:rPr>
            </w:pPr>
          </w:p>
          <w:p>
            <w:pPr>
              <w:pStyle w:val="TableParagraph"/>
              <w:rPr>
                <w:b/>
                <w:i/>
                <w:sz w:val="16"/>
              </w:rPr>
            </w:pPr>
          </w:p>
          <w:p>
            <w:pPr>
              <w:pStyle w:val="TableParagraph"/>
              <w:rPr>
                <w:b/>
                <w:i/>
                <w:sz w:val="16"/>
              </w:rPr>
            </w:pPr>
          </w:p>
          <w:p>
            <w:pPr>
              <w:pStyle w:val="TableParagraph"/>
              <w:rPr>
                <w:b/>
                <w:i/>
                <w:sz w:val="16"/>
              </w:rPr>
            </w:pPr>
          </w:p>
          <w:p>
            <w:pPr>
              <w:pStyle w:val="TableParagraph"/>
              <w:rPr>
                <w:b/>
                <w:i/>
                <w:sz w:val="16"/>
              </w:rPr>
            </w:pPr>
          </w:p>
          <w:p>
            <w:pPr>
              <w:pStyle w:val="TableParagraph"/>
              <w:spacing w:before="5"/>
              <w:rPr>
                <w:b/>
                <w:i/>
                <w:sz w:val="19"/>
              </w:rPr>
            </w:pPr>
          </w:p>
          <w:p>
            <w:pPr>
              <w:pStyle w:val="TableParagraph"/>
              <w:ind w:left="389"/>
              <w:rPr>
                <w:sz w:val="16"/>
              </w:rPr>
            </w:pPr>
            <w:r>
              <w:rPr>
                <w:sz w:val="16"/>
              </w:rPr>
              <w:t>中国稀土集团</w:t>
            </w:r>
          </w:p>
        </w:tc>
        <w:tc>
          <w:tcPr>
            <w:tcW w:w="2096" w:type="dxa"/>
          </w:tcPr>
          <w:p>
            <w:pPr>
              <w:pStyle w:val="TableParagraph"/>
              <w:spacing w:before="94"/>
              <w:ind w:left="145" w:right="138"/>
              <w:jc w:val="center"/>
              <w:rPr>
                <w:sz w:val="16"/>
              </w:rPr>
            </w:pPr>
            <w:r>
              <w:rPr>
                <w:sz w:val="16"/>
              </w:rPr>
              <w:t>中国稀有稀土</w:t>
            </w:r>
          </w:p>
          <w:p>
            <w:pPr>
              <w:pStyle w:val="TableParagraph"/>
              <w:spacing w:before="4"/>
              <w:rPr>
                <w:b/>
                <w:i/>
                <w:sz w:val="14"/>
              </w:rPr>
            </w:pPr>
          </w:p>
          <w:p>
            <w:pPr>
              <w:pStyle w:val="TableParagraph"/>
              <w:ind w:left="148" w:right="138"/>
              <w:jc w:val="center"/>
              <w:rPr>
                <w:sz w:val="16"/>
              </w:rPr>
            </w:pPr>
            <w:r>
              <w:rPr>
                <w:sz w:val="16"/>
              </w:rPr>
              <w:t>（中国铝业公司）</w:t>
            </w:r>
          </w:p>
        </w:tc>
        <w:tc>
          <w:tcPr>
            <w:tcW w:w="900" w:type="dxa"/>
          </w:tcPr>
          <w:p>
            <w:pPr>
              <w:pStyle w:val="TableParagraph"/>
              <w:spacing w:before="6"/>
              <w:rPr>
                <w:b/>
                <w:i/>
                <w:sz w:val="22"/>
              </w:rPr>
            </w:pPr>
          </w:p>
          <w:p>
            <w:pPr>
              <w:pStyle w:val="TableParagraph"/>
              <w:ind w:left="207"/>
              <w:rPr>
                <w:sz w:val="16"/>
              </w:rPr>
            </w:pPr>
            <w:r>
              <w:rPr>
                <w:sz w:val="16"/>
              </w:rPr>
              <w:t>23,879</w:t>
            </w:r>
          </w:p>
        </w:tc>
        <w:tc>
          <w:tcPr>
            <w:tcW w:w="898" w:type="dxa"/>
            <w:vMerge w:val="restart"/>
          </w:tcPr>
          <w:p>
            <w:pPr>
              <w:pStyle w:val="TableParagraph"/>
              <w:rPr>
                <w:b/>
                <w:i/>
                <w:sz w:val="16"/>
              </w:rPr>
            </w:pPr>
          </w:p>
          <w:p>
            <w:pPr>
              <w:pStyle w:val="TableParagraph"/>
              <w:rPr>
                <w:b/>
                <w:i/>
                <w:sz w:val="16"/>
              </w:rPr>
            </w:pPr>
          </w:p>
          <w:p>
            <w:pPr>
              <w:pStyle w:val="TableParagraph"/>
              <w:rPr>
                <w:b/>
                <w:i/>
                <w:sz w:val="16"/>
              </w:rPr>
            </w:pPr>
          </w:p>
          <w:p>
            <w:pPr>
              <w:pStyle w:val="TableParagraph"/>
              <w:rPr>
                <w:b/>
                <w:i/>
                <w:sz w:val="16"/>
              </w:rPr>
            </w:pPr>
          </w:p>
          <w:p>
            <w:pPr>
              <w:pStyle w:val="TableParagraph"/>
              <w:rPr>
                <w:b/>
                <w:i/>
                <w:sz w:val="16"/>
              </w:rPr>
            </w:pPr>
          </w:p>
          <w:p>
            <w:pPr>
              <w:pStyle w:val="TableParagraph"/>
              <w:rPr>
                <w:b/>
                <w:i/>
                <w:sz w:val="16"/>
              </w:rPr>
            </w:pPr>
          </w:p>
          <w:p>
            <w:pPr>
              <w:pStyle w:val="TableParagraph"/>
              <w:spacing w:before="5"/>
              <w:rPr>
                <w:b/>
                <w:i/>
                <w:sz w:val="19"/>
              </w:rPr>
            </w:pPr>
          </w:p>
          <w:p>
            <w:pPr>
              <w:pStyle w:val="TableParagraph"/>
              <w:ind w:left="205"/>
              <w:rPr>
                <w:sz w:val="16"/>
              </w:rPr>
            </w:pPr>
            <w:r>
              <w:rPr>
                <w:sz w:val="16"/>
              </w:rPr>
              <w:t>57,799</w:t>
            </w:r>
          </w:p>
        </w:tc>
        <w:tc>
          <w:tcPr>
            <w:tcW w:w="900" w:type="dxa"/>
            <w:vMerge w:val="restart"/>
          </w:tcPr>
          <w:p>
            <w:pPr>
              <w:pStyle w:val="TableParagraph"/>
              <w:rPr>
                <w:b/>
                <w:i/>
                <w:sz w:val="16"/>
              </w:rPr>
            </w:pPr>
          </w:p>
          <w:p>
            <w:pPr>
              <w:pStyle w:val="TableParagraph"/>
              <w:rPr>
                <w:b/>
                <w:i/>
                <w:sz w:val="16"/>
              </w:rPr>
            </w:pPr>
          </w:p>
          <w:p>
            <w:pPr>
              <w:pStyle w:val="TableParagraph"/>
              <w:rPr>
                <w:b/>
                <w:i/>
                <w:sz w:val="16"/>
              </w:rPr>
            </w:pPr>
          </w:p>
          <w:p>
            <w:pPr>
              <w:pStyle w:val="TableParagraph"/>
              <w:rPr>
                <w:b/>
                <w:i/>
                <w:sz w:val="16"/>
              </w:rPr>
            </w:pPr>
          </w:p>
          <w:p>
            <w:pPr>
              <w:pStyle w:val="TableParagraph"/>
              <w:rPr>
                <w:b/>
                <w:i/>
                <w:sz w:val="16"/>
              </w:rPr>
            </w:pPr>
          </w:p>
          <w:p>
            <w:pPr>
              <w:pStyle w:val="TableParagraph"/>
              <w:rPr>
                <w:b/>
                <w:i/>
                <w:sz w:val="16"/>
              </w:rPr>
            </w:pPr>
          </w:p>
          <w:p>
            <w:pPr>
              <w:pStyle w:val="TableParagraph"/>
              <w:spacing w:before="5"/>
              <w:rPr>
                <w:b/>
                <w:i/>
                <w:sz w:val="19"/>
              </w:rPr>
            </w:pPr>
          </w:p>
          <w:p>
            <w:pPr>
              <w:pStyle w:val="TableParagraph"/>
              <w:ind w:left="208"/>
              <w:rPr>
                <w:sz w:val="16"/>
              </w:rPr>
            </w:pPr>
            <w:r>
              <w:rPr>
                <w:sz w:val="16"/>
              </w:rPr>
              <w:t>58,499</w:t>
            </w:r>
          </w:p>
        </w:tc>
        <w:tc>
          <w:tcPr>
            <w:tcW w:w="898" w:type="dxa"/>
            <w:vMerge w:val="restart"/>
          </w:tcPr>
          <w:p>
            <w:pPr>
              <w:pStyle w:val="TableParagraph"/>
              <w:rPr>
                <w:b/>
                <w:i/>
                <w:sz w:val="16"/>
              </w:rPr>
            </w:pPr>
          </w:p>
          <w:p>
            <w:pPr>
              <w:pStyle w:val="TableParagraph"/>
              <w:rPr>
                <w:b/>
                <w:i/>
                <w:sz w:val="16"/>
              </w:rPr>
            </w:pPr>
          </w:p>
          <w:p>
            <w:pPr>
              <w:pStyle w:val="TableParagraph"/>
              <w:rPr>
                <w:b/>
                <w:i/>
                <w:sz w:val="16"/>
              </w:rPr>
            </w:pPr>
          </w:p>
          <w:p>
            <w:pPr>
              <w:pStyle w:val="TableParagraph"/>
              <w:rPr>
                <w:b/>
                <w:i/>
                <w:sz w:val="16"/>
              </w:rPr>
            </w:pPr>
          </w:p>
          <w:p>
            <w:pPr>
              <w:pStyle w:val="TableParagraph"/>
              <w:rPr>
                <w:b/>
                <w:i/>
                <w:sz w:val="16"/>
              </w:rPr>
            </w:pPr>
          </w:p>
          <w:p>
            <w:pPr>
              <w:pStyle w:val="TableParagraph"/>
              <w:rPr>
                <w:b/>
                <w:i/>
                <w:sz w:val="16"/>
              </w:rPr>
            </w:pPr>
          </w:p>
          <w:p>
            <w:pPr>
              <w:pStyle w:val="TableParagraph"/>
              <w:spacing w:before="5"/>
              <w:rPr>
                <w:b/>
                <w:i/>
                <w:sz w:val="19"/>
              </w:rPr>
            </w:pPr>
          </w:p>
          <w:p>
            <w:pPr>
              <w:pStyle w:val="TableParagraph"/>
              <w:ind w:left="208"/>
              <w:rPr>
                <w:sz w:val="16"/>
              </w:rPr>
            </w:pPr>
            <w:r>
              <w:rPr>
                <w:sz w:val="16"/>
              </w:rPr>
              <w:t>66,049</w:t>
            </w:r>
          </w:p>
        </w:tc>
      </w:tr>
      <w:tr>
        <w:tblPrEx>
          <w:tblW w:w="0" w:type="auto"/>
          <w:jc w:val="left"/>
          <w:tblInd w:w="2854" w:type="dxa"/>
          <w:tblLayout w:type="fixed"/>
          <w:tblCellMar>
            <w:top w:w="0" w:type="dxa"/>
            <w:left w:w="0" w:type="dxa"/>
            <w:bottom w:w="0" w:type="dxa"/>
            <w:right w:w="0" w:type="dxa"/>
          </w:tblCellMar>
          <w:tblLook w:val="01E0"/>
        </w:tblPrEx>
        <w:trPr>
          <w:trHeight w:val="388"/>
          <w:jc w:val="left"/>
        </w:trPr>
        <w:tc>
          <w:tcPr>
            <w:tcW w:w="1741" w:type="dxa"/>
            <w:vMerge/>
            <w:tcBorders>
              <w:top w:val="nil"/>
            </w:tcBorders>
          </w:tcPr>
          <w:p>
            <w:pPr>
              <w:rPr>
                <w:sz w:val="2"/>
                <w:szCs w:val="2"/>
              </w:rPr>
            </w:pPr>
          </w:p>
        </w:tc>
        <w:tc>
          <w:tcPr>
            <w:tcW w:w="2096" w:type="dxa"/>
          </w:tcPr>
          <w:p>
            <w:pPr>
              <w:pStyle w:val="TableParagraph"/>
              <w:spacing w:before="91"/>
              <w:ind w:left="145" w:right="138"/>
              <w:jc w:val="center"/>
              <w:rPr>
                <w:sz w:val="16"/>
              </w:rPr>
            </w:pPr>
            <w:r>
              <w:rPr>
                <w:sz w:val="16"/>
              </w:rPr>
              <w:t>其中:中国钢研科技集团</w:t>
            </w:r>
          </w:p>
        </w:tc>
        <w:tc>
          <w:tcPr>
            <w:tcW w:w="900" w:type="dxa"/>
          </w:tcPr>
          <w:p>
            <w:pPr>
              <w:pStyle w:val="TableParagraph"/>
              <w:spacing w:before="91"/>
              <w:ind w:left="248"/>
              <w:rPr>
                <w:sz w:val="16"/>
              </w:rPr>
            </w:pPr>
            <w:r>
              <w:rPr>
                <w:sz w:val="16"/>
              </w:rPr>
              <w:t>1,700</w:t>
            </w:r>
          </w:p>
        </w:tc>
        <w:tc>
          <w:tcPr>
            <w:tcW w:w="898" w:type="dxa"/>
            <w:vMerge/>
            <w:tcBorders>
              <w:top w:val="nil"/>
            </w:tcBorders>
          </w:tcPr>
          <w:p>
            <w:pPr>
              <w:rPr>
                <w:sz w:val="2"/>
                <w:szCs w:val="2"/>
              </w:rPr>
            </w:pPr>
          </w:p>
        </w:tc>
        <w:tc>
          <w:tcPr>
            <w:tcW w:w="900" w:type="dxa"/>
            <w:vMerge/>
            <w:tcBorders>
              <w:top w:val="nil"/>
            </w:tcBorders>
          </w:tcPr>
          <w:p>
            <w:pPr>
              <w:rPr>
                <w:sz w:val="2"/>
                <w:szCs w:val="2"/>
              </w:rPr>
            </w:pPr>
          </w:p>
        </w:tc>
        <w:tc>
          <w:tcPr>
            <w:tcW w:w="898" w:type="dxa"/>
            <w:vMerge/>
            <w:tcBorders>
              <w:top w:val="nil"/>
            </w:tcBorders>
          </w:tcPr>
          <w:p>
            <w:pPr>
              <w:rPr>
                <w:sz w:val="2"/>
                <w:szCs w:val="2"/>
              </w:rPr>
            </w:pPr>
          </w:p>
        </w:tc>
      </w:tr>
      <w:tr>
        <w:tblPrEx>
          <w:tblW w:w="0" w:type="auto"/>
          <w:jc w:val="left"/>
          <w:tblInd w:w="2854" w:type="dxa"/>
          <w:tblLayout w:type="fixed"/>
          <w:tblCellMar>
            <w:top w:w="0" w:type="dxa"/>
            <w:left w:w="0" w:type="dxa"/>
            <w:bottom w:w="0" w:type="dxa"/>
            <w:right w:w="0" w:type="dxa"/>
          </w:tblCellMar>
          <w:tblLook w:val="01E0"/>
        </w:tblPrEx>
        <w:trPr>
          <w:trHeight w:val="779"/>
          <w:jc w:val="left"/>
        </w:trPr>
        <w:tc>
          <w:tcPr>
            <w:tcW w:w="1741" w:type="dxa"/>
            <w:vMerge/>
            <w:tcBorders>
              <w:top w:val="nil"/>
            </w:tcBorders>
          </w:tcPr>
          <w:p>
            <w:pPr>
              <w:rPr>
                <w:sz w:val="2"/>
                <w:szCs w:val="2"/>
              </w:rPr>
            </w:pPr>
          </w:p>
        </w:tc>
        <w:tc>
          <w:tcPr>
            <w:tcW w:w="2096" w:type="dxa"/>
          </w:tcPr>
          <w:p>
            <w:pPr>
              <w:pStyle w:val="TableParagraph"/>
              <w:spacing w:before="91"/>
              <w:ind w:left="145" w:right="138"/>
              <w:jc w:val="center"/>
              <w:rPr>
                <w:sz w:val="16"/>
              </w:rPr>
            </w:pPr>
            <w:r>
              <w:rPr>
                <w:sz w:val="16"/>
              </w:rPr>
              <w:t>五矿稀土集团</w:t>
            </w:r>
          </w:p>
          <w:p>
            <w:pPr>
              <w:pStyle w:val="TableParagraph"/>
              <w:spacing w:before="7"/>
              <w:rPr>
                <w:b/>
                <w:i/>
                <w:sz w:val="14"/>
              </w:rPr>
            </w:pPr>
          </w:p>
          <w:p>
            <w:pPr>
              <w:pStyle w:val="TableParagraph"/>
              <w:ind w:left="148" w:right="138"/>
              <w:jc w:val="center"/>
              <w:rPr>
                <w:sz w:val="16"/>
              </w:rPr>
            </w:pPr>
            <w:r>
              <w:rPr>
                <w:sz w:val="16"/>
              </w:rPr>
              <w:t>（中国五矿集团）</w:t>
            </w:r>
          </w:p>
        </w:tc>
        <w:tc>
          <w:tcPr>
            <w:tcW w:w="900" w:type="dxa"/>
          </w:tcPr>
          <w:p>
            <w:pPr>
              <w:pStyle w:val="TableParagraph"/>
              <w:spacing w:before="6"/>
              <w:rPr>
                <w:b/>
                <w:i/>
                <w:sz w:val="22"/>
              </w:rPr>
            </w:pPr>
          </w:p>
          <w:p>
            <w:pPr>
              <w:pStyle w:val="TableParagraph"/>
              <w:ind w:left="248"/>
              <w:rPr>
                <w:sz w:val="16"/>
              </w:rPr>
            </w:pPr>
            <w:r>
              <w:rPr>
                <w:sz w:val="16"/>
              </w:rPr>
              <w:t>5,658</w:t>
            </w:r>
          </w:p>
        </w:tc>
        <w:tc>
          <w:tcPr>
            <w:tcW w:w="898" w:type="dxa"/>
            <w:vMerge/>
            <w:tcBorders>
              <w:top w:val="nil"/>
            </w:tcBorders>
          </w:tcPr>
          <w:p>
            <w:pPr>
              <w:rPr>
                <w:sz w:val="2"/>
                <w:szCs w:val="2"/>
              </w:rPr>
            </w:pPr>
          </w:p>
        </w:tc>
        <w:tc>
          <w:tcPr>
            <w:tcW w:w="900" w:type="dxa"/>
            <w:vMerge/>
            <w:tcBorders>
              <w:top w:val="nil"/>
            </w:tcBorders>
          </w:tcPr>
          <w:p>
            <w:pPr>
              <w:rPr>
                <w:sz w:val="2"/>
                <w:szCs w:val="2"/>
              </w:rPr>
            </w:pPr>
          </w:p>
        </w:tc>
        <w:tc>
          <w:tcPr>
            <w:tcW w:w="898" w:type="dxa"/>
            <w:vMerge/>
            <w:tcBorders>
              <w:top w:val="nil"/>
            </w:tcBorders>
          </w:tcPr>
          <w:p>
            <w:pPr>
              <w:rPr>
                <w:sz w:val="2"/>
                <w:szCs w:val="2"/>
              </w:rPr>
            </w:pP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1741" w:type="dxa"/>
            <w:vMerge/>
            <w:tcBorders>
              <w:top w:val="nil"/>
            </w:tcBorders>
          </w:tcPr>
          <w:p>
            <w:pPr>
              <w:rPr>
                <w:sz w:val="2"/>
                <w:szCs w:val="2"/>
              </w:rPr>
            </w:pPr>
          </w:p>
        </w:tc>
        <w:tc>
          <w:tcPr>
            <w:tcW w:w="2096" w:type="dxa"/>
          </w:tcPr>
          <w:p>
            <w:pPr>
              <w:pStyle w:val="TableParagraph"/>
              <w:spacing w:before="94"/>
              <w:ind w:left="148" w:right="138"/>
              <w:jc w:val="center"/>
              <w:rPr>
                <w:sz w:val="16"/>
              </w:rPr>
            </w:pPr>
            <w:r>
              <w:rPr>
                <w:sz w:val="16"/>
              </w:rPr>
              <w:t>中国南方稀土集团</w:t>
            </w:r>
          </w:p>
        </w:tc>
        <w:tc>
          <w:tcPr>
            <w:tcW w:w="900" w:type="dxa"/>
          </w:tcPr>
          <w:p>
            <w:pPr>
              <w:pStyle w:val="TableParagraph"/>
              <w:spacing w:before="94"/>
              <w:ind w:left="207"/>
              <w:rPr>
                <w:sz w:val="16"/>
              </w:rPr>
            </w:pPr>
            <w:r>
              <w:rPr>
                <w:sz w:val="16"/>
              </w:rPr>
              <w:t>27,112</w:t>
            </w:r>
          </w:p>
        </w:tc>
        <w:tc>
          <w:tcPr>
            <w:tcW w:w="898" w:type="dxa"/>
            <w:vMerge/>
            <w:tcBorders>
              <w:top w:val="nil"/>
            </w:tcBorders>
          </w:tcPr>
          <w:p>
            <w:pPr>
              <w:rPr>
                <w:sz w:val="2"/>
                <w:szCs w:val="2"/>
              </w:rPr>
            </w:pPr>
          </w:p>
        </w:tc>
        <w:tc>
          <w:tcPr>
            <w:tcW w:w="900" w:type="dxa"/>
            <w:vMerge/>
            <w:tcBorders>
              <w:top w:val="nil"/>
            </w:tcBorders>
          </w:tcPr>
          <w:p>
            <w:pPr>
              <w:rPr>
                <w:sz w:val="2"/>
                <w:szCs w:val="2"/>
              </w:rPr>
            </w:pPr>
          </w:p>
        </w:tc>
        <w:tc>
          <w:tcPr>
            <w:tcW w:w="898" w:type="dxa"/>
            <w:vMerge/>
            <w:tcBorders>
              <w:top w:val="nil"/>
            </w:tcBorders>
          </w:tcPr>
          <w:p>
            <w:pPr>
              <w:rPr>
                <w:sz w:val="2"/>
                <w:szCs w:val="2"/>
              </w:rPr>
            </w:pPr>
          </w:p>
        </w:tc>
      </w:tr>
      <w:tr>
        <w:tblPrEx>
          <w:tblW w:w="0" w:type="auto"/>
          <w:jc w:val="left"/>
          <w:tblInd w:w="2854" w:type="dxa"/>
          <w:tblLayout w:type="fixed"/>
          <w:tblCellMar>
            <w:top w:w="0" w:type="dxa"/>
            <w:left w:w="0" w:type="dxa"/>
            <w:bottom w:w="0" w:type="dxa"/>
            <w:right w:w="0" w:type="dxa"/>
          </w:tblCellMar>
          <w:tblLook w:val="01E0"/>
        </w:tblPrEx>
        <w:trPr>
          <w:trHeight w:val="779"/>
          <w:jc w:val="left"/>
        </w:trPr>
        <w:tc>
          <w:tcPr>
            <w:tcW w:w="1741" w:type="dxa"/>
            <w:vMerge/>
            <w:tcBorders>
              <w:top w:val="nil"/>
            </w:tcBorders>
          </w:tcPr>
          <w:p>
            <w:pPr>
              <w:rPr>
                <w:sz w:val="2"/>
                <w:szCs w:val="2"/>
              </w:rPr>
            </w:pPr>
          </w:p>
        </w:tc>
        <w:tc>
          <w:tcPr>
            <w:tcW w:w="2096" w:type="dxa"/>
          </w:tcPr>
          <w:p>
            <w:pPr>
              <w:pStyle w:val="TableParagraph"/>
              <w:spacing w:before="91"/>
              <w:ind w:left="148" w:right="138"/>
              <w:jc w:val="center"/>
              <w:rPr>
                <w:sz w:val="16"/>
              </w:rPr>
            </w:pPr>
            <w:r>
              <w:rPr>
                <w:sz w:val="16"/>
              </w:rPr>
              <w:t>其中：四川江铜稀土参控</w:t>
            </w:r>
          </w:p>
          <w:p>
            <w:pPr>
              <w:pStyle w:val="TableParagraph"/>
              <w:spacing w:before="7"/>
              <w:rPr>
                <w:b/>
                <w:i/>
                <w:sz w:val="14"/>
              </w:rPr>
            </w:pPr>
          </w:p>
          <w:p>
            <w:pPr>
              <w:pStyle w:val="TableParagraph"/>
              <w:ind w:left="146" w:right="138"/>
              <w:jc w:val="center"/>
              <w:rPr>
                <w:sz w:val="16"/>
              </w:rPr>
            </w:pPr>
            <w:r>
              <w:rPr>
                <w:sz w:val="16"/>
              </w:rPr>
              <w:t>股企业</w:t>
            </w:r>
          </w:p>
        </w:tc>
        <w:tc>
          <w:tcPr>
            <w:tcW w:w="900" w:type="dxa"/>
          </w:tcPr>
          <w:p>
            <w:pPr>
              <w:pStyle w:val="TableParagraph"/>
              <w:spacing w:before="6"/>
              <w:rPr>
                <w:b/>
                <w:i/>
                <w:sz w:val="22"/>
              </w:rPr>
            </w:pPr>
          </w:p>
          <w:p>
            <w:pPr>
              <w:pStyle w:val="TableParagraph"/>
              <w:ind w:left="207"/>
              <w:rPr>
                <w:sz w:val="16"/>
              </w:rPr>
            </w:pPr>
            <w:r>
              <w:rPr>
                <w:sz w:val="16"/>
              </w:rPr>
              <w:t>19,520</w:t>
            </w:r>
          </w:p>
        </w:tc>
        <w:tc>
          <w:tcPr>
            <w:tcW w:w="898" w:type="dxa"/>
            <w:vMerge/>
            <w:tcBorders>
              <w:top w:val="nil"/>
            </w:tcBorders>
          </w:tcPr>
          <w:p>
            <w:pPr>
              <w:rPr>
                <w:sz w:val="2"/>
                <w:szCs w:val="2"/>
              </w:rPr>
            </w:pPr>
          </w:p>
        </w:tc>
        <w:tc>
          <w:tcPr>
            <w:tcW w:w="900" w:type="dxa"/>
            <w:vMerge/>
            <w:tcBorders>
              <w:top w:val="nil"/>
            </w:tcBorders>
          </w:tcPr>
          <w:p>
            <w:pPr>
              <w:rPr>
                <w:sz w:val="2"/>
                <w:szCs w:val="2"/>
              </w:rPr>
            </w:pPr>
          </w:p>
        </w:tc>
        <w:tc>
          <w:tcPr>
            <w:tcW w:w="898" w:type="dxa"/>
            <w:vMerge/>
            <w:tcBorders>
              <w:top w:val="nil"/>
            </w:tcBorders>
          </w:tcPr>
          <w:p>
            <w:pPr>
              <w:rPr>
                <w:sz w:val="2"/>
                <w:szCs w:val="2"/>
              </w:rPr>
            </w:pP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3837" w:type="dxa"/>
            <w:gridSpan w:val="2"/>
          </w:tcPr>
          <w:p>
            <w:pPr>
              <w:pStyle w:val="TableParagraph"/>
              <w:spacing w:before="81"/>
              <w:ind w:left="1848"/>
              <w:rPr>
                <w:i/>
                <w:sz w:val="17"/>
              </w:rPr>
            </w:pPr>
            <w:r>
              <w:rPr>
                <w:i/>
                <w:w w:val="95"/>
                <w:sz w:val="17"/>
              </w:rPr>
              <w:t>中国稀土集团冶炼分离 yoy</w:t>
            </w:r>
          </w:p>
        </w:tc>
        <w:tc>
          <w:tcPr>
            <w:tcW w:w="900" w:type="dxa"/>
          </w:tcPr>
          <w:p>
            <w:pPr>
              <w:pStyle w:val="TableParagraph"/>
              <w:spacing w:before="81"/>
              <w:ind w:left="248"/>
              <w:rPr>
                <w:i/>
                <w:sz w:val="17"/>
              </w:rPr>
            </w:pPr>
            <w:r>
              <w:rPr>
                <w:i/>
                <w:sz w:val="17"/>
              </w:rPr>
              <w:t>10.1</w:t>
            </w:r>
          </w:p>
        </w:tc>
        <w:tc>
          <w:tcPr>
            <w:tcW w:w="898" w:type="dxa"/>
          </w:tcPr>
          <w:p>
            <w:pPr>
              <w:pStyle w:val="TableParagraph"/>
              <w:spacing w:before="81"/>
              <w:ind w:left="71" w:right="141"/>
              <w:jc w:val="center"/>
              <w:rPr>
                <w:i/>
                <w:sz w:val="17"/>
              </w:rPr>
            </w:pPr>
            <w:r>
              <w:rPr>
                <w:i/>
                <w:sz w:val="17"/>
              </w:rPr>
              <w:t>2.0</w:t>
            </w:r>
          </w:p>
        </w:tc>
        <w:tc>
          <w:tcPr>
            <w:tcW w:w="900" w:type="dxa"/>
          </w:tcPr>
          <w:p>
            <w:pPr>
              <w:pStyle w:val="TableParagraph"/>
              <w:spacing w:before="81"/>
              <w:ind w:left="289"/>
              <w:rPr>
                <w:i/>
                <w:sz w:val="17"/>
              </w:rPr>
            </w:pPr>
            <w:r>
              <w:rPr>
                <w:i/>
                <w:sz w:val="17"/>
              </w:rPr>
              <w:t>1.2</w:t>
            </w:r>
          </w:p>
        </w:tc>
        <w:tc>
          <w:tcPr>
            <w:tcW w:w="898" w:type="dxa"/>
          </w:tcPr>
          <w:p>
            <w:pPr>
              <w:pStyle w:val="TableParagraph"/>
              <w:spacing w:before="81"/>
              <w:ind w:left="248"/>
              <w:rPr>
                <w:i/>
                <w:sz w:val="17"/>
              </w:rPr>
            </w:pPr>
            <w:r>
              <w:rPr>
                <w:i/>
                <w:sz w:val="17"/>
              </w:rPr>
              <w:t>12.9</w:t>
            </w:r>
          </w:p>
        </w:tc>
      </w:tr>
      <w:tr>
        <w:tblPrEx>
          <w:tblW w:w="0" w:type="auto"/>
          <w:jc w:val="left"/>
          <w:tblInd w:w="2854" w:type="dxa"/>
          <w:tblLayout w:type="fixed"/>
          <w:tblCellMar>
            <w:top w:w="0" w:type="dxa"/>
            <w:left w:w="0" w:type="dxa"/>
            <w:bottom w:w="0" w:type="dxa"/>
            <w:right w:w="0" w:type="dxa"/>
          </w:tblCellMar>
          <w:tblLook w:val="01E0"/>
        </w:tblPrEx>
        <w:trPr>
          <w:trHeight w:val="391"/>
          <w:jc w:val="left"/>
        </w:trPr>
        <w:tc>
          <w:tcPr>
            <w:tcW w:w="1741" w:type="dxa"/>
          </w:tcPr>
          <w:p>
            <w:pPr>
              <w:pStyle w:val="TableParagraph"/>
              <w:spacing w:before="92"/>
              <w:ind w:left="129" w:right="117"/>
              <w:jc w:val="center"/>
              <w:rPr>
                <w:sz w:val="16"/>
              </w:rPr>
            </w:pPr>
            <w:r>
              <w:rPr>
                <w:sz w:val="16"/>
              </w:rPr>
              <w:t>北方稀土</w:t>
            </w:r>
          </w:p>
        </w:tc>
        <w:tc>
          <w:tcPr>
            <w:tcW w:w="2096" w:type="dxa"/>
          </w:tcPr>
          <w:p>
            <w:pPr>
              <w:pStyle w:val="TableParagraph"/>
              <w:spacing w:before="92"/>
              <w:ind w:left="148" w:right="138"/>
              <w:jc w:val="center"/>
              <w:rPr>
                <w:sz w:val="16"/>
              </w:rPr>
            </w:pPr>
            <w:r>
              <w:rPr>
                <w:sz w:val="16"/>
              </w:rPr>
              <w:t>北方稀土</w:t>
            </w:r>
          </w:p>
        </w:tc>
        <w:tc>
          <w:tcPr>
            <w:tcW w:w="900" w:type="dxa"/>
          </w:tcPr>
          <w:p>
            <w:pPr>
              <w:pStyle w:val="TableParagraph"/>
              <w:spacing w:before="92"/>
              <w:ind w:left="207"/>
              <w:rPr>
                <w:sz w:val="16"/>
              </w:rPr>
            </w:pPr>
            <w:r>
              <w:rPr>
                <w:sz w:val="16"/>
              </w:rPr>
              <w:t>63,784</w:t>
            </w:r>
          </w:p>
        </w:tc>
        <w:tc>
          <w:tcPr>
            <w:tcW w:w="898" w:type="dxa"/>
          </w:tcPr>
          <w:p>
            <w:pPr>
              <w:pStyle w:val="TableParagraph"/>
              <w:spacing w:before="92"/>
              <w:ind w:left="144" w:right="141"/>
              <w:jc w:val="center"/>
              <w:rPr>
                <w:sz w:val="16"/>
              </w:rPr>
            </w:pPr>
            <w:r>
              <w:rPr>
                <w:sz w:val="16"/>
              </w:rPr>
              <w:t>89,634</w:t>
            </w:r>
          </w:p>
        </w:tc>
        <w:tc>
          <w:tcPr>
            <w:tcW w:w="900" w:type="dxa"/>
          </w:tcPr>
          <w:p>
            <w:pPr>
              <w:pStyle w:val="TableParagraph"/>
              <w:spacing w:before="92"/>
              <w:ind w:right="158"/>
              <w:jc w:val="right"/>
              <w:rPr>
                <w:sz w:val="16"/>
              </w:rPr>
            </w:pPr>
            <w:r>
              <w:rPr>
                <w:sz w:val="16"/>
              </w:rPr>
              <w:t>128,934</w:t>
            </w:r>
          </w:p>
        </w:tc>
        <w:tc>
          <w:tcPr>
            <w:tcW w:w="898" w:type="dxa"/>
          </w:tcPr>
          <w:p>
            <w:pPr>
              <w:pStyle w:val="TableParagraph"/>
              <w:spacing w:before="92"/>
              <w:ind w:right="156"/>
              <w:jc w:val="right"/>
              <w:rPr>
                <w:sz w:val="16"/>
              </w:rPr>
            </w:pPr>
            <w:r>
              <w:rPr>
                <w:sz w:val="16"/>
              </w:rPr>
              <w:t>163,234</w:t>
            </w:r>
          </w:p>
        </w:tc>
      </w:tr>
      <w:tr>
        <w:tblPrEx>
          <w:tblW w:w="0" w:type="auto"/>
          <w:jc w:val="left"/>
          <w:tblInd w:w="2854" w:type="dxa"/>
          <w:tblLayout w:type="fixed"/>
          <w:tblCellMar>
            <w:top w:w="0" w:type="dxa"/>
            <w:left w:w="0" w:type="dxa"/>
            <w:bottom w:w="0" w:type="dxa"/>
            <w:right w:w="0" w:type="dxa"/>
          </w:tblCellMar>
          <w:tblLook w:val="01E0"/>
        </w:tblPrEx>
        <w:trPr>
          <w:trHeight w:val="388"/>
          <w:jc w:val="left"/>
        </w:trPr>
        <w:tc>
          <w:tcPr>
            <w:tcW w:w="3837" w:type="dxa"/>
            <w:gridSpan w:val="2"/>
          </w:tcPr>
          <w:p>
            <w:pPr>
              <w:pStyle w:val="TableParagraph"/>
              <w:spacing w:before="82"/>
              <w:ind w:left="1848"/>
              <w:rPr>
                <w:i/>
                <w:sz w:val="17"/>
              </w:rPr>
            </w:pPr>
            <w:r>
              <w:rPr>
                <w:i/>
                <w:w w:val="95"/>
                <w:sz w:val="17"/>
              </w:rPr>
              <w:t>北方稀土冶炼分离指标 yoy</w:t>
            </w:r>
          </w:p>
        </w:tc>
        <w:tc>
          <w:tcPr>
            <w:tcW w:w="900" w:type="dxa"/>
          </w:tcPr>
          <w:p>
            <w:pPr>
              <w:pStyle w:val="TableParagraph"/>
              <w:spacing w:before="82"/>
              <w:ind w:left="289"/>
              <w:rPr>
                <w:i/>
                <w:sz w:val="17"/>
              </w:rPr>
            </w:pPr>
            <w:r>
              <w:rPr>
                <w:i/>
                <w:sz w:val="17"/>
              </w:rPr>
              <w:t>4.6</w:t>
            </w:r>
          </w:p>
        </w:tc>
        <w:tc>
          <w:tcPr>
            <w:tcW w:w="898" w:type="dxa"/>
          </w:tcPr>
          <w:p>
            <w:pPr>
              <w:pStyle w:val="TableParagraph"/>
              <w:spacing w:before="82"/>
              <w:ind w:left="68" w:right="141"/>
              <w:jc w:val="center"/>
              <w:rPr>
                <w:i/>
                <w:sz w:val="17"/>
              </w:rPr>
            </w:pPr>
            <w:r>
              <w:rPr>
                <w:i/>
                <w:sz w:val="17"/>
              </w:rPr>
              <w:t>40.5</w:t>
            </w:r>
          </w:p>
        </w:tc>
        <w:tc>
          <w:tcPr>
            <w:tcW w:w="900" w:type="dxa"/>
          </w:tcPr>
          <w:p>
            <w:pPr>
              <w:pStyle w:val="TableParagraph"/>
              <w:spacing w:before="82"/>
              <w:ind w:left="248"/>
              <w:rPr>
                <w:i/>
                <w:sz w:val="17"/>
              </w:rPr>
            </w:pPr>
            <w:r>
              <w:rPr>
                <w:i/>
                <w:sz w:val="17"/>
              </w:rPr>
              <w:t>43.8</w:t>
            </w:r>
          </w:p>
        </w:tc>
        <w:tc>
          <w:tcPr>
            <w:tcW w:w="898" w:type="dxa"/>
          </w:tcPr>
          <w:p>
            <w:pPr>
              <w:pStyle w:val="TableParagraph"/>
              <w:spacing w:before="82"/>
              <w:ind w:left="248"/>
              <w:rPr>
                <w:i/>
                <w:sz w:val="17"/>
              </w:rPr>
            </w:pPr>
            <w:r>
              <w:rPr>
                <w:i/>
                <w:sz w:val="17"/>
              </w:rPr>
              <w:t>26.6</w:t>
            </w: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1741" w:type="dxa"/>
          </w:tcPr>
          <w:p>
            <w:pPr>
              <w:pStyle w:val="TableParagraph"/>
              <w:spacing w:before="92"/>
              <w:ind w:left="129" w:right="117"/>
              <w:jc w:val="center"/>
              <w:rPr>
                <w:sz w:val="16"/>
              </w:rPr>
            </w:pPr>
            <w:r>
              <w:rPr>
                <w:sz w:val="16"/>
              </w:rPr>
              <w:t>厦门钨业</w:t>
            </w:r>
          </w:p>
        </w:tc>
        <w:tc>
          <w:tcPr>
            <w:tcW w:w="2096" w:type="dxa"/>
          </w:tcPr>
          <w:p>
            <w:pPr>
              <w:pStyle w:val="TableParagraph"/>
              <w:spacing w:before="92"/>
              <w:ind w:left="148" w:right="138"/>
              <w:jc w:val="center"/>
              <w:rPr>
                <w:sz w:val="16"/>
              </w:rPr>
            </w:pPr>
            <w:r>
              <w:rPr>
                <w:sz w:val="16"/>
              </w:rPr>
              <w:t>厦门钨业</w:t>
            </w:r>
          </w:p>
        </w:tc>
        <w:tc>
          <w:tcPr>
            <w:tcW w:w="900" w:type="dxa"/>
          </w:tcPr>
          <w:p>
            <w:pPr>
              <w:pStyle w:val="TableParagraph"/>
              <w:spacing w:before="92"/>
              <w:ind w:left="248"/>
              <w:rPr>
                <w:sz w:val="16"/>
              </w:rPr>
            </w:pPr>
            <w:r>
              <w:rPr>
                <w:sz w:val="16"/>
              </w:rPr>
              <w:t>3,963</w:t>
            </w:r>
          </w:p>
        </w:tc>
        <w:tc>
          <w:tcPr>
            <w:tcW w:w="898" w:type="dxa"/>
          </w:tcPr>
          <w:p>
            <w:pPr>
              <w:pStyle w:val="TableParagraph"/>
              <w:spacing w:before="92"/>
              <w:ind w:left="147" w:right="141"/>
              <w:jc w:val="center"/>
              <w:rPr>
                <w:sz w:val="16"/>
              </w:rPr>
            </w:pPr>
            <w:r>
              <w:rPr>
                <w:sz w:val="16"/>
              </w:rPr>
              <w:t>3,963</w:t>
            </w:r>
          </w:p>
        </w:tc>
        <w:tc>
          <w:tcPr>
            <w:tcW w:w="900" w:type="dxa"/>
          </w:tcPr>
          <w:p>
            <w:pPr>
              <w:pStyle w:val="TableParagraph"/>
              <w:spacing w:before="92"/>
              <w:ind w:left="248"/>
              <w:rPr>
                <w:sz w:val="16"/>
              </w:rPr>
            </w:pPr>
            <w:r>
              <w:rPr>
                <w:sz w:val="16"/>
              </w:rPr>
              <w:t>3,963</w:t>
            </w:r>
          </w:p>
        </w:tc>
        <w:tc>
          <w:tcPr>
            <w:tcW w:w="898" w:type="dxa"/>
          </w:tcPr>
          <w:p>
            <w:pPr>
              <w:pStyle w:val="TableParagraph"/>
              <w:spacing w:before="92"/>
              <w:ind w:right="235"/>
              <w:jc w:val="right"/>
              <w:rPr>
                <w:sz w:val="16"/>
              </w:rPr>
            </w:pPr>
            <w:r>
              <w:rPr>
                <w:sz w:val="16"/>
              </w:rPr>
              <w:t>3,963</w:t>
            </w: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1741" w:type="dxa"/>
          </w:tcPr>
          <w:p>
            <w:pPr>
              <w:pStyle w:val="TableParagraph"/>
              <w:spacing w:before="91"/>
              <w:ind w:left="129" w:right="121"/>
              <w:jc w:val="center"/>
              <w:rPr>
                <w:sz w:val="16"/>
              </w:rPr>
            </w:pPr>
            <w:r>
              <w:rPr>
                <w:sz w:val="16"/>
              </w:rPr>
              <w:t>广东省稀土产业集团</w:t>
            </w:r>
          </w:p>
        </w:tc>
        <w:tc>
          <w:tcPr>
            <w:tcW w:w="2096" w:type="dxa"/>
          </w:tcPr>
          <w:p>
            <w:pPr>
              <w:pStyle w:val="TableParagraph"/>
              <w:spacing w:before="91"/>
              <w:ind w:left="148" w:right="138"/>
              <w:jc w:val="center"/>
              <w:rPr>
                <w:sz w:val="16"/>
              </w:rPr>
            </w:pPr>
            <w:r>
              <w:rPr>
                <w:sz w:val="16"/>
              </w:rPr>
              <w:t>广东稀土产业集团</w:t>
            </w:r>
          </w:p>
        </w:tc>
        <w:tc>
          <w:tcPr>
            <w:tcW w:w="900" w:type="dxa"/>
          </w:tcPr>
          <w:p>
            <w:pPr>
              <w:pStyle w:val="TableParagraph"/>
              <w:spacing w:before="91"/>
              <w:ind w:left="207"/>
              <w:rPr>
                <w:sz w:val="16"/>
              </w:rPr>
            </w:pPr>
            <w:r>
              <w:rPr>
                <w:sz w:val="16"/>
              </w:rPr>
              <w:t>10,604</w:t>
            </w:r>
          </w:p>
        </w:tc>
        <w:tc>
          <w:tcPr>
            <w:tcW w:w="898" w:type="dxa"/>
          </w:tcPr>
          <w:p>
            <w:pPr>
              <w:pStyle w:val="TableParagraph"/>
              <w:spacing w:before="91"/>
              <w:ind w:left="144" w:right="141"/>
              <w:jc w:val="center"/>
              <w:rPr>
                <w:sz w:val="16"/>
              </w:rPr>
            </w:pPr>
            <w:r>
              <w:rPr>
                <w:sz w:val="16"/>
              </w:rPr>
              <w:t>10,604</w:t>
            </w:r>
          </w:p>
        </w:tc>
        <w:tc>
          <w:tcPr>
            <w:tcW w:w="900" w:type="dxa"/>
          </w:tcPr>
          <w:p>
            <w:pPr>
              <w:pStyle w:val="TableParagraph"/>
              <w:spacing w:before="91"/>
              <w:ind w:right="199"/>
              <w:jc w:val="right"/>
              <w:rPr>
                <w:sz w:val="16"/>
              </w:rPr>
            </w:pPr>
            <w:r>
              <w:rPr>
                <w:sz w:val="16"/>
              </w:rPr>
              <w:t>10,604</w:t>
            </w:r>
          </w:p>
        </w:tc>
        <w:tc>
          <w:tcPr>
            <w:tcW w:w="898" w:type="dxa"/>
          </w:tcPr>
          <w:p>
            <w:pPr>
              <w:pStyle w:val="TableParagraph"/>
              <w:spacing w:before="91"/>
              <w:ind w:right="197"/>
              <w:jc w:val="right"/>
              <w:rPr>
                <w:sz w:val="16"/>
              </w:rPr>
            </w:pPr>
            <w:r>
              <w:rPr>
                <w:sz w:val="16"/>
              </w:rPr>
              <w:t>10,604</w:t>
            </w:r>
          </w:p>
        </w:tc>
      </w:tr>
      <w:tr>
        <w:tblPrEx>
          <w:tblW w:w="0" w:type="auto"/>
          <w:jc w:val="left"/>
          <w:tblInd w:w="2854" w:type="dxa"/>
          <w:tblLayout w:type="fixed"/>
          <w:tblCellMar>
            <w:top w:w="0" w:type="dxa"/>
            <w:left w:w="0" w:type="dxa"/>
            <w:bottom w:w="0" w:type="dxa"/>
            <w:right w:w="0" w:type="dxa"/>
          </w:tblCellMar>
          <w:tblLook w:val="01E0"/>
        </w:tblPrEx>
        <w:trPr>
          <w:trHeight w:val="388"/>
          <w:jc w:val="left"/>
        </w:trPr>
        <w:tc>
          <w:tcPr>
            <w:tcW w:w="1741" w:type="dxa"/>
          </w:tcPr>
          <w:p>
            <w:pPr>
              <w:pStyle w:val="TableParagraph"/>
              <w:spacing w:before="91"/>
              <w:ind w:left="129" w:right="121"/>
              <w:jc w:val="center"/>
              <w:rPr>
                <w:sz w:val="16"/>
              </w:rPr>
            </w:pPr>
            <w:r>
              <w:rPr>
                <w:sz w:val="16"/>
              </w:rPr>
              <w:t>其中：中国有色建设</w:t>
            </w:r>
          </w:p>
        </w:tc>
        <w:tc>
          <w:tcPr>
            <w:tcW w:w="2096" w:type="dxa"/>
          </w:tcPr>
          <w:p>
            <w:pPr>
              <w:pStyle w:val="TableParagraph"/>
              <w:spacing w:before="91"/>
              <w:ind w:left="145" w:right="138"/>
              <w:jc w:val="center"/>
              <w:rPr>
                <w:sz w:val="16"/>
              </w:rPr>
            </w:pPr>
            <w:r>
              <w:rPr>
                <w:sz w:val="16"/>
              </w:rPr>
              <w:t>其中：中国有色建设</w:t>
            </w:r>
          </w:p>
        </w:tc>
        <w:tc>
          <w:tcPr>
            <w:tcW w:w="900" w:type="dxa"/>
          </w:tcPr>
          <w:p>
            <w:pPr>
              <w:pStyle w:val="TableParagraph"/>
              <w:spacing w:before="91"/>
              <w:ind w:left="248"/>
              <w:rPr>
                <w:sz w:val="16"/>
              </w:rPr>
            </w:pPr>
            <w:r>
              <w:rPr>
                <w:sz w:val="16"/>
              </w:rPr>
              <w:t>3,610</w:t>
            </w:r>
          </w:p>
        </w:tc>
        <w:tc>
          <w:tcPr>
            <w:tcW w:w="898" w:type="dxa"/>
          </w:tcPr>
          <w:p>
            <w:pPr>
              <w:pStyle w:val="TableParagraph"/>
              <w:spacing w:before="91"/>
              <w:ind w:left="147" w:right="141"/>
              <w:jc w:val="center"/>
              <w:rPr>
                <w:sz w:val="16"/>
              </w:rPr>
            </w:pPr>
            <w:r>
              <w:rPr>
                <w:sz w:val="16"/>
              </w:rPr>
              <w:t>3,610</w:t>
            </w:r>
          </w:p>
        </w:tc>
        <w:tc>
          <w:tcPr>
            <w:tcW w:w="900" w:type="dxa"/>
          </w:tcPr>
          <w:p>
            <w:pPr>
              <w:pStyle w:val="TableParagraph"/>
              <w:spacing w:before="91"/>
              <w:ind w:left="248"/>
              <w:rPr>
                <w:sz w:val="16"/>
              </w:rPr>
            </w:pPr>
            <w:r>
              <w:rPr>
                <w:sz w:val="16"/>
              </w:rPr>
              <w:t>3,610</w:t>
            </w:r>
          </w:p>
        </w:tc>
        <w:tc>
          <w:tcPr>
            <w:tcW w:w="898" w:type="dxa"/>
          </w:tcPr>
          <w:p>
            <w:pPr>
              <w:pStyle w:val="TableParagraph"/>
              <w:spacing w:before="91"/>
              <w:ind w:right="235"/>
              <w:jc w:val="right"/>
              <w:rPr>
                <w:sz w:val="16"/>
              </w:rPr>
            </w:pPr>
            <w:r>
              <w:rPr>
                <w:sz w:val="16"/>
              </w:rPr>
              <w:t>3,610</w:t>
            </w:r>
          </w:p>
        </w:tc>
      </w:tr>
      <w:tr>
        <w:tblPrEx>
          <w:tblW w:w="0" w:type="auto"/>
          <w:jc w:val="left"/>
          <w:tblInd w:w="2854" w:type="dxa"/>
          <w:tblLayout w:type="fixed"/>
          <w:tblCellMar>
            <w:top w:w="0" w:type="dxa"/>
            <w:left w:w="0" w:type="dxa"/>
            <w:bottom w:w="0" w:type="dxa"/>
            <w:right w:w="0" w:type="dxa"/>
          </w:tblCellMar>
          <w:tblLook w:val="01E0"/>
        </w:tblPrEx>
        <w:trPr>
          <w:trHeight w:val="390"/>
          <w:jc w:val="left"/>
        </w:trPr>
        <w:tc>
          <w:tcPr>
            <w:tcW w:w="3837" w:type="dxa"/>
            <w:gridSpan w:val="2"/>
            <w:shd w:val="clear" w:color="auto" w:fill="E7E6E6"/>
          </w:tcPr>
          <w:p>
            <w:pPr>
              <w:pStyle w:val="TableParagraph"/>
              <w:spacing w:before="92"/>
              <w:ind w:left="1578" w:right="1569"/>
              <w:jc w:val="center"/>
              <w:rPr>
                <w:sz w:val="16"/>
              </w:rPr>
            </w:pPr>
            <w:r>
              <w:rPr>
                <w:sz w:val="16"/>
              </w:rPr>
              <w:t>全国合计</w:t>
            </w:r>
          </w:p>
        </w:tc>
        <w:tc>
          <w:tcPr>
            <w:tcW w:w="900" w:type="dxa"/>
            <w:shd w:val="clear" w:color="auto" w:fill="E7E6E6"/>
          </w:tcPr>
          <w:p>
            <w:pPr>
              <w:pStyle w:val="TableParagraph"/>
              <w:spacing w:before="92"/>
              <w:ind w:left="169"/>
              <w:rPr>
                <w:sz w:val="16"/>
              </w:rPr>
            </w:pPr>
            <w:r>
              <w:rPr>
                <w:sz w:val="16"/>
              </w:rPr>
              <w:t>135,000</w:t>
            </w:r>
          </w:p>
        </w:tc>
        <w:tc>
          <w:tcPr>
            <w:tcW w:w="898" w:type="dxa"/>
            <w:shd w:val="clear" w:color="auto" w:fill="E7E6E6"/>
          </w:tcPr>
          <w:p>
            <w:pPr>
              <w:pStyle w:val="TableParagraph"/>
              <w:spacing w:before="92"/>
              <w:ind w:left="147" w:right="141"/>
              <w:jc w:val="center"/>
              <w:rPr>
                <w:sz w:val="16"/>
              </w:rPr>
            </w:pPr>
            <w:r>
              <w:rPr>
                <w:sz w:val="16"/>
              </w:rPr>
              <w:t>162,000</w:t>
            </w:r>
          </w:p>
        </w:tc>
        <w:tc>
          <w:tcPr>
            <w:tcW w:w="900" w:type="dxa"/>
            <w:shd w:val="clear" w:color="auto" w:fill="E7E6E6"/>
          </w:tcPr>
          <w:p>
            <w:pPr>
              <w:pStyle w:val="TableParagraph"/>
              <w:spacing w:before="92"/>
              <w:ind w:right="158"/>
              <w:jc w:val="right"/>
              <w:rPr>
                <w:sz w:val="16"/>
              </w:rPr>
            </w:pPr>
            <w:r>
              <w:rPr>
                <w:sz w:val="16"/>
              </w:rPr>
              <w:t>202,000</w:t>
            </w:r>
          </w:p>
        </w:tc>
        <w:tc>
          <w:tcPr>
            <w:tcW w:w="898" w:type="dxa"/>
            <w:shd w:val="clear" w:color="auto" w:fill="E7E6E6"/>
          </w:tcPr>
          <w:p>
            <w:pPr>
              <w:pStyle w:val="TableParagraph"/>
              <w:spacing w:before="92"/>
              <w:ind w:right="157"/>
              <w:jc w:val="right"/>
              <w:rPr>
                <w:sz w:val="16"/>
              </w:rPr>
            </w:pPr>
            <w:r>
              <w:rPr>
                <w:sz w:val="16"/>
              </w:rPr>
              <w:t>243,850</w:t>
            </w:r>
          </w:p>
        </w:tc>
      </w:tr>
      <w:tr>
        <w:tblPrEx>
          <w:tblW w:w="0" w:type="auto"/>
          <w:jc w:val="left"/>
          <w:tblInd w:w="2854" w:type="dxa"/>
          <w:tblLayout w:type="fixed"/>
          <w:tblCellMar>
            <w:top w:w="0" w:type="dxa"/>
            <w:left w:w="0" w:type="dxa"/>
            <w:bottom w:w="0" w:type="dxa"/>
            <w:right w:w="0" w:type="dxa"/>
          </w:tblCellMar>
          <w:tblLook w:val="01E0"/>
        </w:tblPrEx>
        <w:trPr>
          <w:trHeight w:val="395"/>
          <w:jc w:val="left"/>
        </w:trPr>
        <w:tc>
          <w:tcPr>
            <w:tcW w:w="3837" w:type="dxa"/>
            <w:gridSpan w:val="2"/>
            <w:tcBorders>
              <w:bottom w:val="single" w:sz="4" w:space="0" w:color="013E96"/>
            </w:tcBorders>
            <w:shd w:val="clear" w:color="auto" w:fill="E7E6E6"/>
          </w:tcPr>
          <w:p>
            <w:pPr>
              <w:pStyle w:val="TableParagraph"/>
              <w:spacing w:before="81"/>
              <w:ind w:right="95"/>
              <w:jc w:val="right"/>
              <w:rPr>
                <w:i/>
                <w:sz w:val="17"/>
              </w:rPr>
            </w:pPr>
            <w:r>
              <w:rPr>
                <w:i/>
                <w:w w:val="90"/>
                <w:sz w:val="17"/>
              </w:rPr>
              <w:t>yoy</w:t>
            </w:r>
          </w:p>
        </w:tc>
        <w:tc>
          <w:tcPr>
            <w:tcW w:w="900" w:type="dxa"/>
            <w:tcBorders>
              <w:bottom w:val="single" w:sz="4" w:space="0" w:color="013E96"/>
            </w:tcBorders>
          </w:tcPr>
          <w:p>
            <w:pPr>
              <w:pStyle w:val="TableParagraph"/>
              <w:spacing w:before="81"/>
              <w:ind w:left="289"/>
              <w:rPr>
                <w:i/>
                <w:sz w:val="17"/>
              </w:rPr>
            </w:pPr>
            <w:r>
              <w:rPr>
                <w:i/>
                <w:sz w:val="17"/>
              </w:rPr>
              <w:t>6.3</w:t>
            </w:r>
          </w:p>
        </w:tc>
        <w:tc>
          <w:tcPr>
            <w:tcW w:w="898" w:type="dxa"/>
            <w:tcBorders>
              <w:bottom w:val="single" w:sz="4" w:space="0" w:color="013E96"/>
            </w:tcBorders>
          </w:tcPr>
          <w:p>
            <w:pPr>
              <w:pStyle w:val="TableParagraph"/>
              <w:spacing w:before="81"/>
              <w:ind w:left="68" w:right="141"/>
              <w:jc w:val="center"/>
              <w:rPr>
                <w:i/>
                <w:sz w:val="17"/>
              </w:rPr>
            </w:pPr>
            <w:r>
              <w:rPr>
                <w:i/>
                <w:sz w:val="17"/>
              </w:rPr>
              <w:t>20.0</w:t>
            </w:r>
          </w:p>
        </w:tc>
        <w:tc>
          <w:tcPr>
            <w:tcW w:w="900" w:type="dxa"/>
            <w:tcBorders>
              <w:bottom w:val="single" w:sz="4" w:space="0" w:color="013E96"/>
            </w:tcBorders>
          </w:tcPr>
          <w:p>
            <w:pPr>
              <w:pStyle w:val="TableParagraph"/>
              <w:spacing w:before="81"/>
              <w:ind w:left="248"/>
              <w:rPr>
                <w:i/>
                <w:sz w:val="17"/>
              </w:rPr>
            </w:pPr>
            <w:r>
              <w:rPr>
                <w:i/>
                <w:sz w:val="17"/>
              </w:rPr>
              <w:t>24.7</w:t>
            </w:r>
          </w:p>
        </w:tc>
        <w:tc>
          <w:tcPr>
            <w:tcW w:w="898" w:type="dxa"/>
            <w:tcBorders>
              <w:bottom w:val="single" w:sz="4" w:space="0" w:color="013E96"/>
            </w:tcBorders>
          </w:tcPr>
          <w:p>
            <w:pPr>
              <w:pStyle w:val="TableParagraph"/>
              <w:spacing w:before="81"/>
              <w:ind w:left="248"/>
              <w:rPr>
                <w:i/>
                <w:sz w:val="17"/>
              </w:rPr>
            </w:pPr>
            <w:r>
              <w:rPr>
                <w:i/>
                <w:sz w:val="17"/>
              </w:rPr>
              <w:t>20.7</w:t>
            </w:r>
          </w:p>
        </w:tc>
      </w:tr>
    </w:tbl>
    <w:p>
      <w:pPr>
        <w:spacing w:before="104"/>
        <w:ind w:left="2846" w:right="0" w:firstLine="0"/>
        <w:jc w:val="left"/>
        <w:rPr>
          <w:sz w:val="15"/>
        </w:rPr>
      </w:pPr>
      <w:r>
        <w:t xml:space="preserve">数据来源：自然资源部官网， </w:t>
      </w:r>
    </w:p>
    <w:p>
      <w:pPr>
        <w:pStyle w:val="BodyText"/>
        <w:spacing w:before="10"/>
        <w:rPr>
          <w:sz w:val="15"/>
        </w:rPr>
      </w:pPr>
    </w:p>
    <w:p>
      <w:pPr>
        <w:pStyle w:val="ListParagraph"/>
        <w:numPr>
          <w:ilvl w:val="2"/>
          <w:numId w:val="2"/>
        </w:numPr>
        <w:tabs>
          <w:tab w:val="left" w:pos="3596"/>
          <w:tab w:val="left" w:pos="3597"/>
        </w:tabs>
        <w:spacing w:before="81" w:after="0" w:line="240" w:lineRule="auto"/>
        <w:ind w:left="3596" w:right="0" w:hanging="854"/>
        <w:jc w:val="left"/>
        <w:rPr>
          <w:b/>
          <w:sz w:val="21"/>
        </w:rPr>
      </w:pPr>
      <w:bookmarkStart w:id="5" w:name="_TOC_250019"/>
      <w:bookmarkEnd w:id="5"/>
      <w:r>
        <w:rPr>
          <w:b/>
          <w:spacing w:val="-3"/>
          <w:sz w:val="21"/>
        </w:rPr>
        <w:t>技术和环境壁垒仍存，但海外分离产能发展不可小觑</w:t>
      </w:r>
    </w:p>
    <w:p>
      <w:pPr>
        <w:pStyle w:val="BodyText"/>
        <w:spacing w:before="7"/>
        <w:rPr>
          <w:b/>
          <w:sz w:val="18"/>
        </w:rPr>
      </w:pPr>
    </w:p>
    <w:p>
      <w:pPr>
        <w:spacing w:before="0"/>
        <w:ind w:left="3135" w:right="0" w:firstLine="0"/>
        <w:jc w:val="both"/>
        <w:rPr>
          <w:sz w:val="21"/>
        </w:rPr>
      </w:pPr>
      <w:r>
        <w:rPr>
          <w:b/>
          <w:sz w:val="21"/>
        </w:rPr>
        <w:t>海外稀土资源禀赋优秀，但开发程度较低。</w:t>
      </w:r>
      <w:r>
        <w:rPr>
          <w:sz w:val="21"/>
        </w:rPr>
        <w:t xml:space="preserve">分国家看，除中国外 </w:t>
      </w:r>
      <w:r>
        <w:rPr>
          <w:rFonts w:ascii="Arial" w:eastAsia="Arial"/>
          <w:sz w:val="21"/>
        </w:rPr>
        <w:t xml:space="preserve">2022 </w:t>
      </w:r>
      <w:r>
        <w:rPr>
          <w:sz w:val="21"/>
        </w:rPr>
        <w:t>年海外稀</w:t>
      </w:r>
    </w:p>
    <w:p>
      <w:pPr>
        <w:pStyle w:val="BodyText"/>
        <w:spacing w:before="122" w:line="348" w:lineRule="auto"/>
        <w:ind w:left="2712" w:right="320"/>
        <w:jc w:val="both"/>
      </w:pPr>
      <w:r>
        <w:rPr>
          <w:spacing w:val="-7"/>
        </w:rPr>
        <w:t xml:space="preserve">土储量合计为 </w:t>
      </w:r>
      <w:r>
        <w:rPr>
          <w:rFonts w:ascii="Arial" w:eastAsia="Arial"/>
        </w:rPr>
        <w:t xml:space="preserve">8600 </w:t>
      </w:r>
      <w:r>
        <w:rPr>
          <w:spacing w:val="-5"/>
        </w:rPr>
        <w:t xml:space="preserve">万吨，主要为轻稀土矿。越南、巴西、俄罗斯分别拥有 </w:t>
      </w:r>
      <w:r>
        <w:rPr>
          <w:rFonts w:ascii="Arial" w:eastAsia="Arial"/>
        </w:rPr>
        <w:t xml:space="preserve">2200 </w:t>
      </w:r>
      <w:r>
        <w:t>万</w:t>
      </w:r>
      <w:r>
        <w:rPr>
          <w:spacing w:val="-17"/>
        </w:rPr>
        <w:t>吨、</w:t>
      </w:r>
      <w:r>
        <w:rPr>
          <w:rFonts w:ascii="Arial" w:eastAsia="Arial"/>
        </w:rPr>
        <w:t xml:space="preserve">2100 </w:t>
      </w:r>
      <w:r>
        <w:rPr>
          <w:spacing w:val="-13"/>
        </w:rPr>
        <w:t xml:space="preserve">万吨和 </w:t>
      </w:r>
      <w:r>
        <w:rPr>
          <w:rFonts w:ascii="Arial" w:eastAsia="Arial"/>
        </w:rPr>
        <w:t xml:space="preserve">2100 </w:t>
      </w:r>
      <w:r>
        <w:rPr>
          <w:spacing w:val="-12"/>
        </w:rPr>
        <w:t>万吨稀土储量，美国、澳大利亚、印度等地蕴含着丰富的稀土资源，缅甸和马达加斯加由于政治局势和资源禀赋复杂无法统计。从稀土矿产量方面看，</w:t>
      </w:r>
      <w:r>
        <w:rPr>
          <w:rFonts w:ascii="Arial" w:eastAsia="Arial"/>
          <w:spacing w:val="-12"/>
        </w:rPr>
        <w:t>2022</w:t>
      </w:r>
      <w:r>
        <w:rPr>
          <w:rFonts w:ascii="Arial" w:eastAsia="Arial"/>
          <w:spacing w:val="48"/>
        </w:rPr>
        <w:t xml:space="preserve"> </w:t>
      </w:r>
      <w:r>
        <w:rPr>
          <w:spacing w:val="-3"/>
        </w:rPr>
        <w:t>年受到疫情影响全球部分地区的稀土矿产量出现了下滑，美国和澳大利亚</w:t>
      </w:r>
      <w:r>
        <w:rPr>
          <w:spacing w:val="-8"/>
        </w:rPr>
        <w:t xml:space="preserve">稀土矿产量位列第一和第二，分别为 </w:t>
      </w:r>
      <w:r>
        <w:rPr>
          <w:rFonts w:ascii="Arial" w:eastAsia="Arial"/>
        </w:rPr>
        <w:t xml:space="preserve">4.3 </w:t>
      </w:r>
      <w:r>
        <w:rPr>
          <w:spacing w:val="25"/>
        </w:rPr>
        <w:t>万吨</w:t>
      </w:r>
      <w:r>
        <w:rPr>
          <w:rFonts w:ascii="Arial" w:eastAsia="Arial"/>
        </w:rPr>
        <w:t xml:space="preserve">REO </w:t>
      </w:r>
      <w:r>
        <w:rPr>
          <w:spacing w:val="-23"/>
        </w:rPr>
        <w:t xml:space="preserve">和 </w:t>
      </w:r>
      <w:r>
        <w:rPr>
          <w:rFonts w:ascii="Arial" w:eastAsia="Arial"/>
        </w:rPr>
        <w:t xml:space="preserve">1.8 </w:t>
      </w:r>
      <w:r>
        <w:rPr>
          <w:spacing w:val="25"/>
        </w:rPr>
        <w:t>万吨</w:t>
      </w:r>
      <w:r>
        <w:rPr>
          <w:rFonts w:ascii="Arial" w:eastAsia="Arial"/>
          <w:spacing w:val="-9"/>
        </w:rPr>
        <w:t>REO</w:t>
      </w:r>
      <w:r>
        <w:rPr>
          <w:spacing w:val="-4"/>
        </w:rPr>
        <w:t xml:space="preserve">，而缅甸由于中国封关影响产量有所降低，但实际产出应该比 </w:t>
      </w:r>
      <w:r>
        <w:rPr>
          <w:rFonts w:ascii="Arial" w:eastAsia="Arial"/>
        </w:rPr>
        <w:t xml:space="preserve">USGS </w:t>
      </w:r>
      <w:r>
        <w:rPr>
          <w:spacing w:val="-3"/>
        </w:rPr>
        <w:t>统计数据较高，只是重稀土矿</w:t>
      </w:r>
      <w:r>
        <w:rPr>
          <w:spacing w:val="-9"/>
        </w:rPr>
        <w:t>产品无法出口而堆积在仓库中。从储量和产量数据可以看出，稀土矿由于其开采工艺</w:t>
      </w:r>
      <w:r>
        <w:rPr>
          <w:spacing w:val="-8"/>
        </w:rPr>
        <w:t>的复杂性以及资源本身的特殊性导致海外部分地区虽然资源禀赋优秀，但开发程度较低。</w:t>
      </w:r>
    </w:p>
    <w:p>
      <w:pPr>
        <w:tabs>
          <w:tab w:val="left" w:pos="5535"/>
        </w:tabs>
        <w:spacing w:before="147"/>
        <w:ind w:left="290" w:right="0" w:firstLine="0"/>
        <w:jc w:val="both"/>
        <w:rPr>
          <w:b/>
          <w:i/>
          <w:sz w:val="22"/>
        </w:rPr>
      </w:pPr>
      <w:r>
        <w:pict>
          <v:shape id="_x0000_s1324" style="width:248.85pt;height:0.1pt;margin-top:24.83pt;margin-left:41.4pt;mso-position-horizontal-relative:page;mso-wrap-distance-left:0;mso-wrap-distance-right:0;position:absolute;z-index:-251554816" coordorigin="828,497" coordsize="4977,0" path="m828,497l5804,497e" filled="f" stroked="t" strokecolor="#013e96" strokeweight="0.48pt">
            <v:stroke dashstyle="solid"/>
            <v:path arrowok="t"/>
            <w10:wrap type="topAndBottom"/>
          </v:shape>
        </w:pict>
      </w:r>
      <w:r>
        <w:pict>
          <v:shape id="_x0000_s1325" style="width:248.95pt;height:0.1pt;margin-top:24.83pt;margin-left:303.65pt;mso-position-horizontal-relative:page;mso-wrap-distance-left:0;mso-wrap-distance-right:0;position:absolute;z-index:-251553792" coordorigin="6073,497" coordsize="4979,0" path="m6073,497l11052,497e" filled="f" stroked="t" strokecolor="#013e96" strokeweight="0.48pt">
            <v:stroke dashstyle="solid"/>
            <v:path arrowok="t"/>
            <w10:wrap type="topAndBottom"/>
          </v:shape>
        </w:pict>
      </w:r>
      <w:r>
        <w:rPr>
          <w:b/>
          <w:i/>
          <w:sz w:val="22"/>
        </w:rPr>
        <w:t>图表</w:t>
      </w:r>
      <w:r>
        <w:rPr>
          <w:b/>
          <w:i/>
          <w:spacing w:val="-84"/>
          <w:sz w:val="22"/>
        </w:rPr>
        <w:t xml:space="preserve"> </w:t>
      </w:r>
      <w:r>
        <w:rPr>
          <w:rFonts w:ascii="Arial" w:eastAsia="Arial"/>
          <w:b/>
          <w:i/>
          <w:sz w:val="21"/>
        </w:rPr>
        <w:t>22</w:t>
      </w:r>
      <w:r>
        <w:rPr>
          <w:b/>
          <w:i/>
          <w:sz w:val="22"/>
        </w:rPr>
        <w:t>：</w:t>
      </w:r>
      <w:r>
        <w:rPr>
          <w:rFonts w:ascii="Arial" w:eastAsia="Arial"/>
          <w:b/>
          <w:i/>
          <w:sz w:val="21"/>
        </w:rPr>
        <w:t>2022</w:t>
      </w:r>
      <w:r>
        <w:rPr>
          <w:rFonts w:ascii="Arial" w:eastAsia="Arial"/>
          <w:b/>
          <w:i/>
          <w:spacing w:val="-32"/>
          <w:sz w:val="21"/>
        </w:rPr>
        <w:t xml:space="preserve"> </w:t>
      </w:r>
      <w:r>
        <w:rPr>
          <w:b/>
          <w:i/>
          <w:sz w:val="22"/>
        </w:rPr>
        <w:t>年海外稀土储量分布</w:t>
        <w:tab/>
        <w:t>图表</w:t>
      </w:r>
      <w:r>
        <w:rPr>
          <w:b/>
          <w:i/>
          <w:spacing w:val="-61"/>
          <w:sz w:val="22"/>
        </w:rPr>
        <w:t xml:space="preserve"> </w:t>
      </w:r>
      <w:r>
        <w:rPr>
          <w:rFonts w:ascii="Arial" w:eastAsia="Arial"/>
          <w:b/>
          <w:i/>
          <w:sz w:val="21"/>
        </w:rPr>
        <w:t>23</w:t>
      </w:r>
      <w:r>
        <w:rPr>
          <w:b/>
          <w:i/>
          <w:sz w:val="22"/>
        </w:rPr>
        <w:t>：</w:t>
      </w:r>
      <w:r>
        <w:rPr>
          <w:rFonts w:ascii="Arial" w:eastAsia="Arial"/>
          <w:b/>
          <w:i/>
          <w:sz w:val="21"/>
        </w:rPr>
        <w:t>2022</w:t>
      </w:r>
      <w:r>
        <w:rPr>
          <w:rFonts w:ascii="Arial" w:eastAsia="Arial"/>
          <w:b/>
          <w:i/>
          <w:spacing w:val="-11"/>
          <w:sz w:val="21"/>
        </w:rPr>
        <w:t xml:space="preserve"> </w:t>
      </w:r>
      <w:r>
        <w:rPr>
          <w:b/>
          <w:i/>
          <w:sz w:val="22"/>
        </w:rPr>
        <w:t>年海外稀土产量分布</w:t>
      </w:r>
    </w:p>
    <w:p>
      <w:pPr>
        <w:spacing w:after="0"/>
        <w:jc w:val="both"/>
        <w:rPr>
          <w:sz w:val="22"/>
        </w:rPr>
        <w:sectPr>
          <w:headerReference w:type="default" r:id="rId79"/>
          <w:footerReference w:type="default" r:id="rId80"/>
          <w:pgSz w:w="11910" w:h="16840"/>
          <w:pgMar w:top="1360" w:right="520" w:bottom="660" w:left="660" w:header="708" w:footer="708"/>
          <w:pgNumType w:start="32"/>
          <w:cols w:space="708"/>
        </w:sectPr>
      </w:pPr>
    </w:p>
    <w:p>
      <w:pPr>
        <w:pStyle w:val="BodyText"/>
        <w:spacing w:before="5"/>
        <w:rPr>
          <w:b/>
          <w:i/>
          <w:sz w:val="3"/>
        </w:rPr>
      </w:pPr>
      <w:r>
        <w:pict>
          <v:shape id="_x0000_s1326" type="#_x0000_t202" style="width:60pt;height:12pt;margin-top:36.85pt;margin-left:488.98pt;mso-position-horizontal-relative:page;mso-position-vertical-relative:page;position:absolute;z-index:-251551744" filled="f" stroked="f">
            <v:textbox inset="0,0,0,0">
              <w:txbxContent>
                <w:p>
                  <w:pPr>
                    <w:spacing w:before="0" w:line="240" w:lineRule="exact"/>
                    <w:ind w:left="0" w:right="0" w:firstLine="0"/>
                    <w:jc w:val="left"/>
                    <w:rPr>
                      <w:sz w:val="24"/>
                    </w:rPr>
                  </w:pPr>
                  <w:r>
                    <w:rPr>
                      <w:sz w:val="24"/>
                    </w:rPr>
                    <w:t>丨公司名称</w:t>
                  </w:r>
                </w:p>
              </w:txbxContent>
            </v:textbox>
          </v:shape>
        </w:pict>
      </w:r>
      <w:r>
        <w:drawing>
          <wp:anchor distT="0" distB="0" distL="0" distR="0" simplePos="0" relativeHeight="251765760" behindDoc="1" locked="0" layoutInCell="1" allowOverlap="1">
            <wp:simplePos x="0" y="0"/>
            <wp:positionH relativeFrom="page">
              <wp:posOffset>3226752</wp:posOffset>
            </wp:positionH>
            <wp:positionV relativeFrom="page">
              <wp:posOffset>1243583</wp:posOffset>
            </wp:positionV>
            <wp:extent cx="53435" cy="81724"/>
            <wp:effectExtent l="0" t="0" r="0" b="0"/>
            <wp:wrapNone/>
            <wp:docPr id="13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anchor>
        </w:drawing>
      </w:r>
      <w:r>
        <w:drawing>
          <wp:anchor distT="0" distB="0" distL="0" distR="0" simplePos="0" relativeHeight="251766784" behindDoc="1" locked="0" layoutInCell="1" allowOverlap="1">
            <wp:simplePos x="0" y="0"/>
            <wp:positionH relativeFrom="page">
              <wp:posOffset>3226752</wp:posOffset>
            </wp:positionH>
            <wp:positionV relativeFrom="page">
              <wp:posOffset>1496567</wp:posOffset>
            </wp:positionV>
            <wp:extent cx="53435" cy="81724"/>
            <wp:effectExtent l="0" t="0" r="0" b="0"/>
            <wp:wrapNone/>
            <wp:docPr id="13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anchor>
        </w:drawing>
      </w:r>
      <w:r>
        <w:drawing>
          <wp:anchor distT="0" distB="0" distL="0" distR="0" simplePos="0" relativeHeight="251767808" behindDoc="1" locked="0" layoutInCell="1" allowOverlap="1">
            <wp:simplePos x="0" y="0"/>
            <wp:positionH relativeFrom="page">
              <wp:posOffset>3226752</wp:posOffset>
            </wp:positionH>
            <wp:positionV relativeFrom="page">
              <wp:posOffset>2513075</wp:posOffset>
            </wp:positionV>
            <wp:extent cx="53435" cy="81724"/>
            <wp:effectExtent l="0" t="0" r="0" b="0"/>
            <wp:wrapNone/>
            <wp:docPr id="13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anchor>
        </w:drawing>
      </w:r>
      <w:r>
        <w:drawing>
          <wp:anchor distT="0" distB="0" distL="0" distR="0" simplePos="0" relativeHeight="251768832" behindDoc="1" locked="0" layoutInCell="1" allowOverlap="1">
            <wp:simplePos x="0" y="0"/>
            <wp:positionH relativeFrom="page">
              <wp:posOffset>6653339</wp:posOffset>
            </wp:positionH>
            <wp:positionV relativeFrom="page">
              <wp:posOffset>1490471</wp:posOffset>
            </wp:positionV>
            <wp:extent cx="53435" cy="81724"/>
            <wp:effectExtent l="0" t="0" r="0" b="0"/>
            <wp:wrapNone/>
            <wp:docPr id="13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anchor>
        </w:drawing>
      </w:r>
      <w:r>
        <w:drawing>
          <wp:anchor distT="0" distB="0" distL="0" distR="0" simplePos="0" relativeHeight="251769856" behindDoc="1" locked="0" layoutInCell="1" allowOverlap="1">
            <wp:simplePos x="0" y="0"/>
            <wp:positionH relativeFrom="page">
              <wp:posOffset>6711213</wp:posOffset>
            </wp:positionH>
            <wp:positionV relativeFrom="page">
              <wp:posOffset>1744979</wp:posOffset>
            </wp:positionV>
            <wp:extent cx="53435" cy="81724"/>
            <wp:effectExtent l="0" t="0" r="0" b="0"/>
            <wp:wrapNone/>
            <wp:docPr id="13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anchor>
        </w:drawing>
      </w:r>
      <w:r>
        <w:drawing>
          <wp:anchor distT="0" distB="0" distL="0" distR="0" simplePos="0" relativeHeight="251770880" behindDoc="1" locked="0" layoutInCell="1" allowOverlap="1">
            <wp:simplePos x="0" y="0"/>
            <wp:positionH relativeFrom="page">
              <wp:posOffset>6711213</wp:posOffset>
            </wp:positionH>
            <wp:positionV relativeFrom="page">
              <wp:posOffset>1997963</wp:posOffset>
            </wp:positionV>
            <wp:extent cx="53435" cy="81724"/>
            <wp:effectExtent l="0" t="0" r="0" b="0"/>
            <wp:wrapNone/>
            <wp:docPr id="14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anchor>
        </w:drawing>
      </w:r>
      <w:r>
        <w:drawing>
          <wp:anchor distT="0" distB="0" distL="0" distR="0" simplePos="0" relativeHeight="251771904" behindDoc="1" locked="0" layoutInCell="1" allowOverlap="1">
            <wp:simplePos x="0" y="0"/>
            <wp:positionH relativeFrom="page">
              <wp:posOffset>6711213</wp:posOffset>
            </wp:positionH>
            <wp:positionV relativeFrom="page">
              <wp:posOffset>2252471</wp:posOffset>
            </wp:positionV>
            <wp:extent cx="53435" cy="81724"/>
            <wp:effectExtent l="0" t="0" r="0" b="0"/>
            <wp:wrapNone/>
            <wp:docPr id="14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anchor>
        </w:drawing>
      </w:r>
      <w:r>
        <w:drawing>
          <wp:anchor distT="0" distB="0" distL="0" distR="0" simplePos="0" relativeHeight="251772928" behindDoc="1" locked="0" layoutInCell="1" allowOverlap="1">
            <wp:simplePos x="0" y="0"/>
            <wp:positionH relativeFrom="page">
              <wp:posOffset>6653339</wp:posOffset>
            </wp:positionH>
            <wp:positionV relativeFrom="page">
              <wp:posOffset>2759963</wp:posOffset>
            </wp:positionV>
            <wp:extent cx="53435" cy="81724"/>
            <wp:effectExtent l="0" t="0" r="0" b="0"/>
            <wp:wrapNone/>
            <wp:docPr id="14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anchor>
        </w:drawing>
      </w:r>
      <w:r>
        <w:pict>
          <v:line id="_x0000_s1327" style="mso-position-horizontal-relative:page;mso-position-vertical-relative:page;position:absolute;z-index:251774976" from="42.1pt,71.15pt" to="290.2pt,71.15pt" stroked="t" strokecolor="#013e96" strokeweight="0.48pt">
            <v:stroke dashstyle="solid"/>
          </v:line>
        </w:pict>
      </w:r>
      <w:r>
        <w:pict>
          <v:line id="_x0000_s1328" style="mso-position-horizontal-relative:page;mso-position-vertical-relative:page;position:absolute;z-index:251776000" from="304.35pt,71.15pt" to="552.6pt,71.15pt" stroked="t" strokecolor="#013e96" strokeweight="0.48pt">
            <v:stroke dashstyle="solid"/>
          </v:line>
        </w:pict>
      </w:r>
    </w:p>
    <w:p>
      <w:pPr>
        <w:tabs>
          <w:tab w:val="left" w:pos="5530"/>
        </w:tabs>
        <w:spacing w:line="240" w:lineRule="auto"/>
        <w:ind w:left="285" w:right="0" w:firstLine="0"/>
        <w:rPr>
          <w:sz w:val="20"/>
        </w:rPr>
      </w:pPr>
      <w:r>
        <w:rPr>
          <w:sz w:val="20"/>
        </w:rPr>
        <w:pict>
          <v:shape id="_x0000_i1329" type="#_x0000_t202" style="width:243.2pt;height:260.6pt;mso-position-horizontal-relative:char;mso-position-vertical-relative:line" filled="f" stroked="f">
            <v:textbox inset="0,0,0,0">
              <w:txbxContent>
                <w:tbl>
                  <w:tblPr>
                    <w:tblStyle w:val="TableNormal8"/>
                    <w:tblW w:w="0" w:type="auto"/>
                    <w:jc w:val="left"/>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16"/>
                    <w:gridCol w:w="1619"/>
                    <w:gridCol w:w="1616"/>
                  </w:tblGrid>
                  <w:tr>
                    <w:tblPrEx>
                      <w:tblW w:w="0" w:type="auto"/>
                      <w:jc w:val="left"/>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93"/>
                      <w:jc w:val="left"/>
                    </w:trPr>
                    <w:tc>
                      <w:tcPr>
                        <w:tcW w:w="4851" w:type="dxa"/>
                        <w:gridSpan w:val="3"/>
                        <w:tcBorders>
                          <w:top w:val="nil"/>
                          <w:left w:val="nil"/>
                          <w:right w:val="nil"/>
                        </w:tcBorders>
                        <w:shd w:val="clear" w:color="auto" w:fill="4774CA"/>
                      </w:tcPr>
                      <w:p>
                        <w:pPr>
                          <w:pStyle w:val="TableParagraph"/>
                          <w:tabs>
                            <w:tab w:val="left" w:pos="1730"/>
                            <w:tab w:val="left" w:pos="3864"/>
                          </w:tabs>
                          <w:spacing w:before="84"/>
                          <w:ind w:left="631"/>
                          <w:rPr>
                            <w:sz w:val="18"/>
                          </w:rPr>
                        </w:pPr>
                        <w:r>
                          <w:rPr>
                            <w:color w:val="FFFFFF"/>
                            <w:sz w:val="18"/>
                          </w:rPr>
                          <w:t>国家</w:t>
                          <w:tab/>
                          <w:t>储量（万吨</w:t>
                        </w:r>
                        <w:r>
                          <w:rPr>
                            <w:color w:val="FFFFFF"/>
                            <w:spacing w:val="-45"/>
                            <w:sz w:val="18"/>
                          </w:rPr>
                          <w:t xml:space="preserve"> </w:t>
                        </w:r>
                        <w:r>
                          <w:rPr>
                            <w:color w:val="FFFFFF"/>
                            <w:sz w:val="18"/>
                          </w:rPr>
                          <w:t>REO）</w:t>
                          <w:tab/>
                          <w:t>占比</w:t>
                        </w:r>
                      </w:p>
                    </w:tc>
                  </w:tr>
                  <w:tr>
                    <w:tblPrEx>
                      <w:tblW w:w="0" w:type="auto"/>
                      <w:jc w:val="left"/>
                      <w:tblInd w:w="7" w:type="dxa"/>
                      <w:tblLayout w:type="fixed"/>
                      <w:tblCellMar>
                        <w:top w:w="0" w:type="dxa"/>
                        <w:left w:w="0" w:type="dxa"/>
                        <w:bottom w:w="0" w:type="dxa"/>
                        <w:right w:w="0" w:type="dxa"/>
                      </w:tblCellMar>
                      <w:tblLook w:val="01E0"/>
                    </w:tblPrEx>
                    <w:trPr>
                      <w:trHeight w:val="390"/>
                      <w:jc w:val="left"/>
                    </w:trPr>
                    <w:tc>
                      <w:tcPr>
                        <w:tcW w:w="1616" w:type="dxa"/>
                      </w:tcPr>
                      <w:p>
                        <w:pPr>
                          <w:pStyle w:val="TableParagraph"/>
                          <w:spacing w:before="81"/>
                          <w:ind w:left="335" w:right="328"/>
                          <w:jc w:val="center"/>
                          <w:rPr>
                            <w:sz w:val="18"/>
                          </w:rPr>
                        </w:pPr>
                        <w:r>
                          <w:rPr>
                            <w:sz w:val="18"/>
                          </w:rPr>
                          <w:t>美国</w:t>
                        </w:r>
                      </w:p>
                    </w:tc>
                    <w:tc>
                      <w:tcPr>
                        <w:tcW w:w="1619" w:type="dxa"/>
                      </w:tcPr>
                      <w:p>
                        <w:pPr>
                          <w:pStyle w:val="TableParagraph"/>
                          <w:spacing w:before="81"/>
                          <w:ind w:left="561" w:right="554"/>
                          <w:jc w:val="center"/>
                          <w:rPr>
                            <w:sz w:val="18"/>
                          </w:rPr>
                        </w:pPr>
                        <w:r>
                          <w:rPr>
                            <w:sz w:val="18"/>
                          </w:rPr>
                          <w:t>230</w:t>
                        </w:r>
                      </w:p>
                    </w:tc>
                    <w:tc>
                      <w:tcPr>
                        <w:tcW w:w="1616" w:type="dxa"/>
                      </w:tcPr>
                      <w:p>
                        <w:pPr>
                          <w:pStyle w:val="TableParagraph"/>
                          <w:spacing w:before="81"/>
                          <w:ind w:left="247" w:right="328"/>
                          <w:jc w:val="center"/>
                          <w:rPr>
                            <w:sz w:val="18"/>
                          </w:rPr>
                        </w:pPr>
                        <w:r>
                          <w:rPr>
                            <w:sz w:val="18"/>
                          </w:rPr>
                          <w:t>2.7</w:t>
                        </w:r>
                      </w:p>
                    </w:tc>
                  </w:tr>
                  <w:tr>
                    <w:tblPrEx>
                      <w:tblW w:w="0" w:type="auto"/>
                      <w:jc w:val="left"/>
                      <w:tblInd w:w="7" w:type="dxa"/>
                      <w:tblLayout w:type="fixed"/>
                      <w:tblCellMar>
                        <w:top w:w="0" w:type="dxa"/>
                        <w:left w:w="0" w:type="dxa"/>
                        <w:bottom w:w="0" w:type="dxa"/>
                        <w:right w:w="0" w:type="dxa"/>
                      </w:tblCellMar>
                      <w:tblLook w:val="01E0"/>
                    </w:tblPrEx>
                    <w:trPr>
                      <w:trHeight w:val="390"/>
                      <w:jc w:val="left"/>
                    </w:trPr>
                    <w:tc>
                      <w:tcPr>
                        <w:tcW w:w="1616" w:type="dxa"/>
                      </w:tcPr>
                      <w:p>
                        <w:pPr>
                          <w:pStyle w:val="TableParagraph"/>
                          <w:spacing w:before="79"/>
                          <w:ind w:left="335" w:right="328"/>
                          <w:jc w:val="center"/>
                          <w:rPr>
                            <w:sz w:val="18"/>
                          </w:rPr>
                        </w:pPr>
                        <w:r>
                          <w:rPr>
                            <w:sz w:val="18"/>
                          </w:rPr>
                          <w:t>澳大利亚</w:t>
                        </w:r>
                      </w:p>
                    </w:tc>
                    <w:tc>
                      <w:tcPr>
                        <w:tcW w:w="1619" w:type="dxa"/>
                      </w:tcPr>
                      <w:p>
                        <w:pPr>
                          <w:pStyle w:val="TableParagraph"/>
                          <w:spacing w:before="79"/>
                          <w:ind w:left="561" w:right="554"/>
                          <w:jc w:val="center"/>
                          <w:rPr>
                            <w:sz w:val="18"/>
                          </w:rPr>
                        </w:pPr>
                        <w:r>
                          <w:rPr>
                            <w:sz w:val="18"/>
                          </w:rPr>
                          <w:t>420</w:t>
                        </w:r>
                      </w:p>
                    </w:tc>
                    <w:tc>
                      <w:tcPr>
                        <w:tcW w:w="1616" w:type="dxa"/>
                      </w:tcPr>
                      <w:p>
                        <w:pPr>
                          <w:pStyle w:val="TableParagraph"/>
                          <w:spacing w:before="79"/>
                          <w:ind w:left="247" w:right="328"/>
                          <w:jc w:val="center"/>
                          <w:rPr>
                            <w:sz w:val="18"/>
                          </w:rPr>
                        </w:pPr>
                        <w:r>
                          <w:rPr>
                            <w:sz w:val="18"/>
                          </w:rPr>
                          <w:t>4.9</w:t>
                        </w:r>
                      </w:p>
                    </w:tc>
                  </w:tr>
                  <w:tr>
                    <w:tblPrEx>
                      <w:tblW w:w="0" w:type="auto"/>
                      <w:jc w:val="left"/>
                      <w:tblInd w:w="7" w:type="dxa"/>
                      <w:tblLayout w:type="fixed"/>
                      <w:tblCellMar>
                        <w:top w:w="0" w:type="dxa"/>
                        <w:left w:w="0" w:type="dxa"/>
                        <w:bottom w:w="0" w:type="dxa"/>
                        <w:right w:w="0" w:type="dxa"/>
                      </w:tblCellMar>
                      <w:tblLook w:val="01E0"/>
                    </w:tblPrEx>
                    <w:trPr>
                      <w:trHeight w:val="388"/>
                      <w:jc w:val="left"/>
                    </w:trPr>
                    <w:tc>
                      <w:tcPr>
                        <w:tcW w:w="1616" w:type="dxa"/>
                      </w:tcPr>
                      <w:p>
                        <w:pPr>
                          <w:pStyle w:val="TableParagraph"/>
                          <w:spacing w:before="79"/>
                          <w:ind w:left="335" w:right="328"/>
                          <w:jc w:val="center"/>
                          <w:rPr>
                            <w:sz w:val="18"/>
                          </w:rPr>
                        </w:pPr>
                        <w:r>
                          <w:rPr>
                            <w:sz w:val="18"/>
                          </w:rPr>
                          <w:t>巴西</w:t>
                        </w:r>
                      </w:p>
                    </w:tc>
                    <w:tc>
                      <w:tcPr>
                        <w:tcW w:w="1619" w:type="dxa"/>
                      </w:tcPr>
                      <w:p>
                        <w:pPr>
                          <w:pStyle w:val="TableParagraph"/>
                          <w:spacing w:before="79"/>
                          <w:ind w:left="561" w:right="558"/>
                          <w:jc w:val="center"/>
                          <w:rPr>
                            <w:sz w:val="18"/>
                          </w:rPr>
                        </w:pPr>
                        <w:r>
                          <w:rPr>
                            <w:sz w:val="18"/>
                          </w:rPr>
                          <w:t>2,100</w:t>
                        </w:r>
                      </w:p>
                    </w:tc>
                    <w:tc>
                      <w:tcPr>
                        <w:tcW w:w="1616" w:type="dxa"/>
                      </w:tcPr>
                      <w:p>
                        <w:pPr>
                          <w:pStyle w:val="TableParagraph"/>
                          <w:spacing w:before="79"/>
                          <w:ind w:left="327" w:right="328"/>
                          <w:jc w:val="center"/>
                          <w:rPr>
                            <w:sz w:val="18"/>
                          </w:rPr>
                        </w:pPr>
                        <w:r>
                          <w:rPr>
                            <w:sz w:val="18"/>
                          </w:rPr>
                          <w:t xml:space="preserve">24.4 </w:t>
                        </w:r>
                        <w:r>
                          <w:rPr>
                            <w:spacing w:val="1"/>
                            <w:sz w:val="18"/>
                          </w:rPr>
                          <w:drawing>
                            <wp:inline distT="0" distB="0" distL="0" distR="0">
                              <wp:extent cx="53435" cy="81724"/>
                              <wp:effectExtent l="0" t="0" r="0" b="0"/>
                              <wp:docPr id="14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inline>
                          </w:drawing>
                        </w:r>
                      </w:p>
                    </w:tc>
                  </w:tr>
                  <w:tr>
                    <w:tblPrEx>
                      <w:tblW w:w="0" w:type="auto"/>
                      <w:jc w:val="left"/>
                      <w:tblInd w:w="7" w:type="dxa"/>
                      <w:tblLayout w:type="fixed"/>
                      <w:tblCellMar>
                        <w:top w:w="0" w:type="dxa"/>
                        <w:left w:w="0" w:type="dxa"/>
                        <w:bottom w:w="0" w:type="dxa"/>
                        <w:right w:w="0" w:type="dxa"/>
                      </w:tblCellMar>
                      <w:tblLook w:val="01E0"/>
                    </w:tblPrEx>
                    <w:trPr>
                      <w:trHeight w:val="390"/>
                      <w:jc w:val="left"/>
                    </w:trPr>
                    <w:tc>
                      <w:tcPr>
                        <w:tcW w:w="1616" w:type="dxa"/>
                      </w:tcPr>
                      <w:p>
                        <w:pPr>
                          <w:pStyle w:val="TableParagraph"/>
                          <w:spacing w:before="81"/>
                          <w:ind w:left="335" w:right="328"/>
                          <w:jc w:val="center"/>
                          <w:rPr>
                            <w:sz w:val="18"/>
                          </w:rPr>
                        </w:pPr>
                        <w:r>
                          <w:rPr>
                            <w:sz w:val="18"/>
                          </w:rPr>
                          <w:t>缅甸</w:t>
                        </w:r>
                      </w:p>
                    </w:tc>
                    <w:tc>
                      <w:tcPr>
                        <w:tcW w:w="1619" w:type="dxa"/>
                      </w:tcPr>
                      <w:p>
                        <w:pPr>
                          <w:pStyle w:val="TableParagraph"/>
                          <w:spacing w:before="81"/>
                          <w:ind w:left="561" w:right="554"/>
                          <w:jc w:val="center"/>
                          <w:rPr>
                            <w:sz w:val="18"/>
                          </w:rPr>
                        </w:pPr>
                        <w:r>
                          <w:rPr>
                            <w:sz w:val="18"/>
                          </w:rPr>
                          <w:t>NA</w:t>
                        </w:r>
                      </w:p>
                    </w:tc>
                    <w:tc>
                      <w:tcPr>
                        <w:tcW w:w="1616" w:type="dxa"/>
                      </w:tcPr>
                      <w:p>
                        <w:pPr>
                          <w:pStyle w:val="TableParagraph"/>
                          <w:spacing w:before="81"/>
                          <w:ind w:left="2"/>
                          <w:jc w:val="center"/>
                          <w:rPr>
                            <w:sz w:val="18"/>
                          </w:rPr>
                        </w:pPr>
                        <w:r>
                          <w:rPr>
                            <w:sz w:val="18"/>
                          </w:rPr>
                          <w:t>-</w:t>
                        </w:r>
                      </w:p>
                    </w:tc>
                  </w:tr>
                  <w:tr>
                    <w:tblPrEx>
                      <w:tblW w:w="0" w:type="auto"/>
                      <w:jc w:val="left"/>
                      <w:tblInd w:w="7" w:type="dxa"/>
                      <w:tblLayout w:type="fixed"/>
                      <w:tblCellMar>
                        <w:top w:w="0" w:type="dxa"/>
                        <w:left w:w="0" w:type="dxa"/>
                        <w:bottom w:w="0" w:type="dxa"/>
                        <w:right w:w="0" w:type="dxa"/>
                      </w:tblCellMar>
                      <w:tblLook w:val="01E0"/>
                    </w:tblPrEx>
                    <w:trPr>
                      <w:trHeight w:val="390"/>
                      <w:jc w:val="left"/>
                    </w:trPr>
                    <w:tc>
                      <w:tcPr>
                        <w:tcW w:w="1616" w:type="dxa"/>
                      </w:tcPr>
                      <w:p>
                        <w:pPr>
                          <w:pStyle w:val="TableParagraph"/>
                          <w:spacing w:before="79"/>
                          <w:ind w:left="337" w:right="328"/>
                          <w:jc w:val="center"/>
                          <w:rPr>
                            <w:sz w:val="18"/>
                          </w:rPr>
                        </w:pPr>
                        <w:r>
                          <w:rPr>
                            <w:sz w:val="18"/>
                          </w:rPr>
                          <w:t>布隆迪</w:t>
                        </w:r>
                      </w:p>
                    </w:tc>
                    <w:tc>
                      <w:tcPr>
                        <w:tcW w:w="1619" w:type="dxa"/>
                      </w:tcPr>
                      <w:p>
                        <w:pPr>
                          <w:pStyle w:val="TableParagraph"/>
                          <w:spacing w:before="79"/>
                          <w:ind w:left="561" w:right="554"/>
                          <w:jc w:val="center"/>
                          <w:rPr>
                            <w:sz w:val="18"/>
                          </w:rPr>
                        </w:pPr>
                        <w:r>
                          <w:rPr>
                            <w:sz w:val="18"/>
                          </w:rPr>
                          <w:t>NA</w:t>
                        </w:r>
                      </w:p>
                    </w:tc>
                    <w:tc>
                      <w:tcPr>
                        <w:tcW w:w="1616" w:type="dxa"/>
                      </w:tcPr>
                      <w:p>
                        <w:pPr>
                          <w:pStyle w:val="TableParagraph"/>
                          <w:spacing w:before="79"/>
                          <w:ind w:left="2"/>
                          <w:jc w:val="center"/>
                          <w:rPr>
                            <w:sz w:val="18"/>
                          </w:rPr>
                        </w:pPr>
                        <w:r>
                          <w:rPr>
                            <w:sz w:val="18"/>
                          </w:rPr>
                          <w:t>-</w:t>
                        </w:r>
                      </w:p>
                    </w:tc>
                  </w:tr>
                  <w:tr>
                    <w:tblPrEx>
                      <w:tblW w:w="0" w:type="auto"/>
                      <w:jc w:val="left"/>
                      <w:tblInd w:w="7" w:type="dxa"/>
                      <w:tblLayout w:type="fixed"/>
                      <w:tblCellMar>
                        <w:top w:w="0" w:type="dxa"/>
                        <w:left w:w="0" w:type="dxa"/>
                        <w:bottom w:w="0" w:type="dxa"/>
                        <w:right w:w="0" w:type="dxa"/>
                      </w:tblCellMar>
                      <w:tblLook w:val="01E0"/>
                    </w:tblPrEx>
                    <w:trPr>
                      <w:trHeight w:val="388"/>
                      <w:jc w:val="left"/>
                    </w:trPr>
                    <w:tc>
                      <w:tcPr>
                        <w:tcW w:w="1616" w:type="dxa"/>
                      </w:tcPr>
                      <w:p>
                        <w:pPr>
                          <w:pStyle w:val="TableParagraph"/>
                          <w:spacing w:before="79"/>
                          <w:ind w:left="335" w:right="328"/>
                          <w:jc w:val="center"/>
                          <w:rPr>
                            <w:sz w:val="18"/>
                          </w:rPr>
                        </w:pPr>
                        <w:r>
                          <w:rPr>
                            <w:sz w:val="18"/>
                          </w:rPr>
                          <w:t>印度</w:t>
                        </w:r>
                      </w:p>
                    </w:tc>
                    <w:tc>
                      <w:tcPr>
                        <w:tcW w:w="1619" w:type="dxa"/>
                      </w:tcPr>
                      <w:p>
                        <w:pPr>
                          <w:pStyle w:val="TableParagraph"/>
                          <w:spacing w:before="79"/>
                          <w:ind w:left="561" w:right="554"/>
                          <w:jc w:val="center"/>
                          <w:rPr>
                            <w:sz w:val="18"/>
                          </w:rPr>
                        </w:pPr>
                        <w:r>
                          <w:rPr>
                            <w:sz w:val="18"/>
                          </w:rPr>
                          <w:t>690</w:t>
                        </w:r>
                      </w:p>
                    </w:tc>
                    <w:tc>
                      <w:tcPr>
                        <w:tcW w:w="1616" w:type="dxa"/>
                      </w:tcPr>
                      <w:p>
                        <w:pPr>
                          <w:pStyle w:val="TableParagraph"/>
                          <w:spacing w:before="79"/>
                          <w:ind w:left="247" w:right="328"/>
                          <w:jc w:val="center"/>
                          <w:rPr>
                            <w:sz w:val="18"/>
                          </w:rPr>
                        </w:pPr>
                        <w:r>
                          <w:rPr>
                            <w:sz w:val="18"/>
                          </w:rPr>
                          <w:t>8.0</w:t>
                        </w:r>
                      </w:p>
                    </w:tc>
                  </w:tr>
                  <w:tr>
                    <w:tblPrEx>
                      <w:tblW w:w="0" w:type="auto"/>
                      <w:jc w:val="left"/>
                      <w:tblInd w:w="7" w:type="dxa"/>
                      <w:tblLayout w:type="fixed"/>
                      <w:tblCellMar>
                        <w:top w:w="0" w:type="dxa"/>
                        <w:left w:w="0" w:type="dxa"/>
                        <w:bottom w:w="0" w:type="dxa"/>
                        <w:right w:w="0" w:type="dxa"/>
                      </w:tblCellMar>
                      <w:tblLook w:val="01E0"/>
                    </w:tblPrEx>
                    <w:trPr>
                      <w:trHeight w:val="390"/>
                      <w:jc w:val="left"/>
                    </w:trPr>
                    <w:tc>
                      <w:tcPr>
                        <w:tcW w:w="1616" w:type="dxa"/>
                      </w:tcPr>
                      <w:p>
                        <w:pPr>
                          <w:pStyle w:val="TableParagraph"/>
                          <w:spacing w:before="81"/>
                          <w:ind w:left="337" w:right="328"/>
                          <w:jc w:val="center"/>
                          <w:rPr>
                            <w:sz w:val="18"/>
                          </w:rPr>
                        </w:pPr>
                        <w:r>
                          <w:rPr>
                            <w:sz w:val="18"/>
                          </w:rPr>
                          <w:t>马达加斯加</w:t>
                        </w:r>
                      </w:p>
                    </w:tc>
                    <w:tc>
                      <w:tcPr>
                        <w:tcW w:w="1619" w:type="dxa"/>
                      </w:tcPr>
                      <w:p>
                        <w:pPr>
                          <w:pStyle w:val="TableParagraph"/>
                          <w:spacing w:before="81"/>
                          <w:ind w:left="561" w:right="554"/>
                          <w:jc w:val="center"/>
                          <w:rPr>
                            <w:sz w:val="18"/>
                          </w:rPr>
                        </w:pPr>
                        <w:r>
                          <w:rPr>
                            <w:sz w:val="18"/>
                          </w:rPr>
                          <w:t>NA</w:t>
                        </w:r>
                      </w:p>
                    </w:tc>
                    <w:tc>
                      <w:tcPr>
                        <w:tcW w:w="1616" w:type="dxa"/>
                      </w:tcPr>
                      <w:p>
                        <w:pPr>
                          <w:pStyle w:val="TableParagraph"/>
                          <w:spacing w:before="81"/>
                          <w:ind w:left="2"/>
                          <w:jc w:val="center"/>
                          <w:rPr>
                            <w:sz w:val="18"/>
                          </w:rPr>
                        </w:pPr>
                        <w:r>
                          <w:rPr>
                            <w:sz w:val="18"/>
                          </w:rPr>
                          <w:t>-</w:t>
                        </w:r>
                      </w:p>
                    </w:tc>
                  </w:tr>
                  <w:tr>
                    <w:tblPrEx>
                      <w:tblW w:w="0" w:type="auto"/>
                      <w:jc w:val="left"/>
                      <w:tblInd w:w="7" w:type="dxa"/>
                      <w:tblLayout w:type="fixed"/>
                      <w:tblCellMar>
                        <w:top w:w="0" w:type="dxa"/>
                        <w:left w:w="0" w:type="dxa"/>
                        <w:bottom w:w="0" w:type="dxa"/>
                        <w:right w:w="0" w:type="dxa"/>
                      </w:tblCellMar>
                      <w:tblLook w:val="01E0"/>
                    </w:tblPrEx>
                    <w:trPr>
                      <w:trHeight w:val="390"/>
                      <w:jc w:val="left"/>
                    </w:trPr>
                    <w:tc>
                      <w:tcPr>
                        <w:tcW w:w="1616" w:type="dxa"/>
                      </w:tcPr>
                      <w:p>
                        <w:pPr>
                          <w:pStyle w:val="TableParagraph"/>
                          <w:spacing w:before="79"/>
                          <w:ind w:left="337" w:right="328"/>
                          <w:jc w:val="center"/>
                          <w:rPr>
                            <w:sz w:val="18"/>
                          </w:rPr>
                        </w:pPr>
                        <w:r>
                          <w:rPr>
                            <w:sz w:val="18"/>
                          </w:rPr>
                          <w:t>俄罗斯</w:t>
                        </w:r>
                      </w:p>
                    </w:tc>
                    <w:tc>
                      <w:tcPr>
                        <w:tcW w:w="1619" w:type="dxa"/>
                      </w:tcPr>
                      <w:p>
                        <w:pPr>
                          <w:pStyle w:val="TableParagraph"/>
                          <w:spacing w:before="79"/>
                          <w:ind w:left="561" w:right="558"/>
                          <w:jc w:val="center"/>
                          <w:rPr>
                            <w:sz w:val="18"/>
                          </w:rPr>
                        </w:pPr>
                        <w:r>
                          <w:rPr>
                            <w:sz w:val="18"/>
                          </w:rPr>
                          <w:t>2,100</w:t>
                        </w:r>
                      </w:p>
                    </w:tc>
                    <w:tc>
                      <w:tcPr>
                        <w:tcW w:w="1616" w:type="dxa"/>
                      </w:tcPr>
                      <w:p>
                        <w:pPr>
                          <w:pStyle w:val="TableParagraph"/>
                          <w:spacing w:before="79"/>
                          <w:ind w:left="327" w:right="328"/>
                          <w:jc w:val="center"/>
                          <w:rPr>
                            <w:sz w:val="18"/>
                          </w:rPr>
                        </w:pPr>
                        <w:r>
                          <w:rPr>
                            <w:sz w:val="18"/>
                          </w:rPr>
                          <w:t xml:space="preserve">24.4 </w:t>
                        </w:r>
                        <w:r>
                          <w:rPr>
                            <w:spacing w:val="1"/>
                            <w:sz w:val="18"/>
                          </w:rPr>
                          <w:drawing>
                            <wp:inline distT="0" distB="0" distL="0" distR="0">
                              <wp:extent cx="53435" cy="81724"/>
                              <wp:effectExtent l="0" t="0" r="0" b="0"/>
                              <wp:docPr id="14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inline>
                          </w:drawing>
                        </w:r>
                      </w:p>
                    </w:tc>
                  </w:tr>
                  <w:tr>
                    <w:tblPrEx>
                      <w:tblW w:w="0" w:type="auto"/>
                      <w:jc w:val="left"/>
                      <w:tblInd w:w="7" w:type="dxa"/>
                      <w:tblLayout w:type="fixed"/>
                      <w:tblCellMar>
                        <w:top w:w="0" w:type="dxa"/>
                        <w:left w:w="0" w:type="dxa"/>
                        <w:bottom w:w="0" w:type="dxa"/>
                        <w:right w:w="0" w:type="dxa"/>
                      </w:tblCellMar>
                      <w:tblLook w:val="01E0"/>
                    </w:tblPrEx>
                    <w:trPr>
                      <w:trHeight w:val="388"/>
                      <w:jc w:val="left"/>
                    </w:trPr>
                    <w:tc>
                      <w:tcPr>
                        <w:tcW w:w="1616" w:type="dxa"/>
                      </w:tcPr>
                      <w:p>
                        <w:pPr>
                          <w:pStyle w:val="TableParagraph"/>
                          <w:spacing w:before="79"/>
                          <w:ind w:left="335" w:right="328"/>
                          <w:jc w:val="center"/>
                          <w:rPr>
                            <w:sz w:val="18"/>
                          </w:rPr>
                        </w:pPr>
                        <w:r>
                          <w:rPr>
                            <w:sz w:val="18"/>
                          </w:rPr>
                          <w:t>泰国</w:t>
                        </w:r>
                      </w:p>
                    </w:tc>
                    <w:tc>
                      <w:tcPr>
                        <w:tcW w:w="1619" w:type="dxa"/>
                      </w:tcPr>
                      <w:p>
                        <w:pPr>
                          <w:pStyle w:val="TableParagraph"/>
                          <w:spacing w:before="79"/>
                          <w:ind w:left="561" w:right="554"/>
                          <w:jc w:val="center"/>
                          <w:rPr>
                            <w:sz w:val="18"/>
                          </w:rPr>
                        </w:pPr>
                        <w:r>
                          <w:rPr>
                            <w:sz w:val="18"/>
                          </w:rPr>
                          <w:t>NA</w:t>
                        </w:r>
                      </w:p>
                    </w:tc>
                    <w:tc>
                      <w:tcPr>
                        <w:tcW w:w="1616" w:type="dxa"/>
                      </w:tcPr>
                      <w:p>
                        <w:pPr>
                          <w:pStyle w:val="TableParagraph"/>
                          <w:spacing w:before="79"/>
                          <w:ind w:left="2"/>
                          <w:jc w:val="center"/>
                          <w:rPr>
                            <w:sz w:val="18"/>
                          </w:rPr>
                        </w:pPr>
                        <w:r>
                          <w:rPr>
                            <w:sz w:val="18"/>
                          </w:rPr>
                          <w:t>-</w:t>
                        </w:r>
                      </w:p>
                    </w:tc>
                  </w:tr>
                  <w:tr>
                    <w:tblPrEx>
                      <w:tblW w:w="0" w:type="auto"/>
                      <w:jc w:val="left"/>
                      <w:tblInd w:w="7" w:type="dxa"/>
                      <w:tblLayout w:type="fixed"/>
                      <w:tblCellMar>
                        <w:top w:w="0" w:type="dxa"/>
                        <w:left w:w="0" w:type="dxa"/>
                        <w:bottom w:w="0" w:type="dxa"/>
                        <w:right w:w="0" w:type="dxa"/>
                      </w:tblCellMar>
                      <w:tblLook w:val="01E0"/>
                    </w:tblPrEx>
                    <w:trPr>
                      <w:trHeight w:val="391"/>
                      <w:jc w:val="left"/>
                    </w:trPr>
                    <w:tc>
                      <w:tcPr>
                        <w:tcW w:w="1616" w:type="dxa"/>
                      </w:tcPr>
                      <w:p>
                        <w:pPr>
                          <w:pStyle w:val="TableParagraph"/>
                          <w:spacing w:before="82"/>
                          <w:ind w:left="335" w:right="328"/>
                          <w:jc w:val="center"/>
                          <w:rPr>
                            <w:sz w:val="18"/>
                          </w:rPr>
                        </w:pPr>
                        <w:r>
                          <w:rPr>
                            <w:sz w:val="18"/>
                          </w:rPr>
                          <w:t>越南</w:t>
                        </w:r>
                      </w:p>
                    </w:tc>
                    <w:tc>
                      <w:tcPr>
                        <w:tcW w:w="1619" w:type="dxa"/>
                      </w:tcPr>
                      <w:p>
                        <w:pPr>
                          <w:pStyle w:val="TableParagraph"/>
                          <w:spacing w:before="82"/>
                          <w:ind w:left="561" w:right="558"/>
                          <w:jc w:val="center"/>
                          <w:rPr>
                            <w:sz w:val="18"/>
                          </w:rPr>
                        </w:pPr>
                        <w:r>
                          <w:rPr>
                            <w:sz w:val="18"/>
                          </w:rPr>
                          <w:t>2,200</w:t>
                        </w:r>
                      </w:p>
                    </w:tc>
                    <w:tc>
                      <w:tcPr>
                        <w:tcW w:w="1616" w:type="dxa"/>
                      </w:tcPr>
                      <w:p>
                        <w:pPr>
                          <w:pStyle w:val="TableParagraph"/>
                          <w:spacing w:before="82"/>
                          <w:ind w:left="327" w:right="328"/>
                          <w:jc w:val="center"/>
                          <w:rPr>
                            <w:sz w:val="18"/>
                          </w:rPr>
                        </w:pPr>
                        <w:r>
                          <w:rPr>
                            <w:sz w:val="18"/>
                          </w:rPr>
                          <w:t xml:space="preserve">25.6 </w:t>
                        </w:r>
                        <w:r>
                          <w:rPr>
                            <w:spacing w:val="1"/>
                            <w:sz w:val="18"/>
                          </w:rPr>
                          <w:drawing>
                            <wp:inline distT="0" distB="0" distL="0" distR="0">
                              <wp:extent cx="53435" cy="81724"/>
                              <wp:effectExtent l="0" t="0" r="0" b="0"/>
                              <wp:docPr id="15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inline>
                          </w:drawing>
                        </w:r>
                      </w:p>
                    </w:tc>
                  </w:tr>
                  <w:tr>
                    <w:tblPrEx>
                      <w:tblW w:w="0" w:type="auto"/>
                      <w:jc w:val="left"/>
                      <w:tblInd w:w="7" w:type="dxa"/>
                      <w:tblLayout w:type="fixed"/>
                      <w:tblCellMar>
                        <w:top w:w="0" w:type="dxa"/>
                        <w:left w:w="0" w:type="dxa"/>
                        <w:bottom w:w="0" w:type="dxa"/>
                        <w:right w:w="0" w:type="dxa"/>
                      </w:tblCellMar>
                      <w:tblLook w:val="01E0"/>
                    </w:tblPrEx>
                    <w:trPr>
                      <w:trHeight w:val="390"/>
                      <w:jc w:val="left"/>
                    </w:trPr>
                    <w:tc>
                      <w:tcPr>
                        <w:tcW w:w="1616" w:type="dxa"/>
                      </w:tcPr>
                      <w:p>
                        <w:pPr>
                          <w:pStyle w:val="TableParagraph"/>
                          <w:spacing w:before="79"/>
                          <w:ind w:left="335" w:right="328"/>
                          <w:jc w:val="center"/>
                          <w:rPr>
                            <w:sz w:val="18"/>
                          </w:rPr>
                        </w:pPr>
                        <w:r>
                          <w:rPr>
                            <w:sz w:val="18"/>
                          </w:rPr>
                          <w:t>其他</w:t>
                        </w:r>
                      </w:p>
                    </w:tc>
                    <w:tc>
                      <w:tcPr>
                        <w:tcW w:w="1619" w:type="dxa"/>
                      </w:tcPr>
                      <w:p>
                        <w:pPr>
                          <w:pStyle w:val="TableParagraph"/>
                          <w:spacing w:before="79"/>
                          <w:ind w:left="561" w:right="554"/>
                          <w:jc w:val="center"/>
                          <w:rPr>
                            <w:sz w:val="18"/>
                          </w:rPr>
                        </w:pPr>
                        <w:r>
                          <w:rPr>
                            <w:sz w:val="18"/>
                          </w:rPr>
                          <w:t>860</w:t>
                        </w:r>
                      </w:p>
                    </w:tc>
                    <w:tc>
                      <w:tcPr>
                        <w:tcW w:w="1616" w:type="dxa"/>
                      </w:tcPr>
                      <w:p>
                        <w:pPr>
                          <w:pStyle w:val="TableParagraph"/>
                          <w:spacing w:before="79"/>
                          <w:ind w:left="327" w:right="328"/>
                          <w:jc w:val="center"/>
                          <w:rPr>
                            <w:sz w:val="18"/>
                          </w:rPr>
                        </w:pPr>
                        <w:r>
                          <w:rPr>
                            <w:sz w:val="18"/>
                          </w:rPr>
                          <w:t xml:space="preserve">10.0 </w:t>
                        </w:r>
                        <w:r>
                          <w:rPr>
                            <w:spacing w:val="1"/>
                            <w:sz w:val="18"/>
                          </w:rPr>
                          <w:drawing>
                            <wp:inline distT="0" distB="0" distL="0" distR="0">
                              <wp:extent cx="53435" cy="81724"/>
                              <wp:effectExtent l="0" t="0" r="0" b="0"/>
                              <wp:docPr id="15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9.png"/>
                                      <pic:cNvPicPr/>
                                    </pic:nvPicPr>
                                    <pic:blipFill>
                                      <a:blip xmlns:r="http://schemas.openxmlformats.org/officeDocument/2006/relationships" r:embed="rId60" cstate="print"/>
                                      <a:stretch>
                                        <a:fillRect/>
                                      </a:stretch>
                                    </pic:blipFill>
                                    <pic:spPr>
                                      <a:xfrm>
                                        <a:off x="0" y="0"/>
                                        <a:ext cx="53435" cy="81724"/>
                                      </a:xfrm>
                                      <a:prstGeom prst="rect">
                                        <a:avLst/>
                                      </a:prstGeom>
                                    </pic:spPr>
                                  </pic:pic>
                                </a:graphicData>
                              </a:graphic>
                            </wp:inline>
                          </w:drawing>
                        </w:r>
                      </w:p>
                    </w:tc>
                  </w:tr>
                  <w:tr>
                    <w:tblPrEx>
                      <w:tblW w:w="0" w:type="auto"/>
                      <w:jc w:val="left"/>
                      <w:tblInd w:w="7" w:type="dxa"/>
                      <w:tblLayout w:type="fixed"/>
                      <w:tblCellMar>
                        <w:top w:w="0" w:type="dxa"/>
                        <w:left w:w="0" w:type="dxa"/>
                        <w:bottom w:w="0" w:type="dxa"/>
                        <w:right w:w="0" w:type="dxa"/>
                      </w:tblCellMar>
                      <w:tblLook w:val="01E0"/>
                    </w:tblPrEx>
                    <w:trPr>
                      <w:trHeight w:val="395"/>
                      <w:jc w:val="left"/>
                    </w:trPr>
                    <w:tc>
                      <w:tcPr>
                        <w:tcW w:w="1616" w:type="dxa"/>
                        <w:tcBorders>
                          <w:bottom w:val="single" w:sz="4" w:space="0" w:color="013E96"/>
                        </w:tcBorders>
                        <w:shd w:val="clear" w:color="auto" w:fill="E7E6E6"/>
                      </w:tcPr>
                      <w:p>
                        <w:pPr>
                          <w:pStyle w:val="TableParagraph"/>
                          <w:spacing w:before="79"/>
                          <w:ind w:left="335" w:right="328"/>
                          <w:jc w:val="center"/>
                          <w:rPr>
                            <w:sz w:val="18"/>
                          </w:rPr>
                        </w:pPr>
                        <w:r>
                          <w:rPr>
                            <w:sz w:val="18"/>
                          </w:rPr>
                          <w:t>合计</w:t>
                        </w:r>
                      </w:p>
                    </w:tc>
                    <w:tc>
                      <w:tcPr>
                        <w:tcW w:w="1619" w:type="dxa"/>
                        <w:tcBorders>
                          <w:bottom w:val="single" w:sz="4" w:space="0" w:color="013E96"/>
                        </w:tcBorders>
                        <w:shd w:val="clear" w:color="auto" w:fill="E7E6E6"/>
                      </w:tcPr>
                      <w:p>
                        <w:pPr>
                          <w:pStyle w:val="TableParagraph"/>
                          <w:spacing w:before="79"/>
                          <w:ind w:left="561" w:right="558"/>
                          <w:jc w:val="center"/>
                          <w:rPr>
                            <w:sz w:val="18"/>
                          </w:rPr>
                        </w:pPr>
                        <w:r>
                          <w:rPr>
                            <w:sz w:val="18"/>
                          </w:rPr>
                          <w:t>8,600</w:t>
                        </w:r>
                      </w:p>
                    </w:tc>
                    <w:tc>
                      <w:tcPr>
                        <w:tcW w:w="1616" w:type="dxa"/>
                        <w:tcBorders>
                          <w:bottom w:val="single" w:sz="4" w:space="0" w:color="013E96"/>
                        </w:tcBorders>
                      </w:tcPr>
                      <w:p>
                        <w:pPr>
                          <w:pStyle w:val="TableParagraph"/>
                          <w:spacing w:before="79"/>
                          <w:ind w:left="247" w:right="328"/>
                          <w:jc w:val="center"/>
                          <w:rPr>
                            <w:sz w:val="18"/>
                          </w:rPr>
                        </w:pPr>
                        <w:r>
                          <w:rPr>
                            <w:sz w:val="18"/>
                          </w:rPr>
                          <w:t>100</w:t>
                        </w:r>
                      </w:p>
                    </w:tc>
                  </w:tr>
                </w:tbl>
                <w:p>
                  <w:pPr>
                    <w:pStyle w:val="BodyText"/>
                  </w:pPr>
                </w:p>
              </w:txbxContent>
            </v:textbox>
            <w10:wrap type="none"/>
            <w10:anchorlock/>
          </v:shape>
        </w:pict>
      </w:r>
      <w:r>
        <w:rPr>
          <w:sz w:val="20"/>
        </w:rPr>
        <w:tab/>
      </w:r>
      <w:r>
        <w:rPr>
          <w:position w:val="1"/>
          <w:sz w:val="20"/>
        </w:rPr>
        <w:pict>
          <v:shape id="_x0000_i1330" type="#_x0000_t202" style="width:240.2pt;height:260.3pt;mso-position-horizontal-relative:char;mso-position-vertical-relative:line" filled="f" stroked="f">
            <v:textbox inset="0,0,0,0">
              <w:txbxContent>
                <w:tbl>
                  <w:tblPr>
                    <w:tblStyle w:val="TableNormal8"/>
                    <w:tblW w:w="0" w:type="auto"/>
                    <w:jc w:val="left"/>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98"/>
                    <w:gridCol w:w="1198"/>
                    <w:gridCol w:w="1196"/>
                    <w:gridCol w:w="1198"/>
                  </w:tblGrid>
                  <w:tr>
                    <w:tblPrEx>
                      <w:tblW w:w="0" w:type="auto"/>
                      <w:jc w:val="left"/>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785"/>
                      <w:jc w:val="left"/>
                    </w:trPr>
                    <w:tc>
                      <w:tcPr>
                        <w:tcW w:w="1198" w:type="dxa"/>
                        <w:tcBorders>
                          <w:top w:val="nil"/>
                          <w:left w:val="nil"/>
                          <w:right w:val="nil"/>
                        </w:tcBorders>
                        <w:shd w:val="clear" w:color="auto" w:fill="4774CA"/>
                      </w:tcPr>
                      <w:p>
                        <w:pPr>
                          <w:pStyle w:val="TableParagraph"/>
                          <w:spacing w:before="9"/>
                          <w:rPr>
                            <w:b/>
                            <w:i/>
                            <w:sz w:val="21"/>
                          </w:rPr>
                        </w:pPr>
                      </w:p>
                      <w:p>
                        <w:pPr>
                          <w:pStyle w:val="TableParagraph"/>
                          <w:ind w:left="402" w:right="395"/>
                          <w:jc w:val="center"/>
                          <w:rPr>
                            <w:sz w:val="18"/>
                          </w:rPr>
                        </w:pPr>
                        <w:r>
                          <w:rPr>
                            <w:color w:val="FFFFFF"/>
                            <w:sz w:val="18"/>
                          </w:rPr>
                          <w:t>国家</w:t>
                        </w:r>
                      </w:p>
                    </w:tc>
                    <w:tc>
                      <w:tcPr>
                        <w:tcW w:w="1198" w:type="dxa"/>
                        <w:tcBorders>
                          <w:top w:val="nil"/>
                          <w:left w:val="nil"/>
                          <w:right w:val="nil"/>
                        </w:tcBorders>
                        <w:shd w:val="clear" w:color="auto" w:fill="4774CA"/>
                      </w:tcPr>
                      <w:p>
                        <w:pPr>
                          <w:pStyle w:val="TableParagraph"/>
                          <w:spacing w:before="84"/>
                          <w:ind w:left="129"/>
                          <w:rPr>
                            <w:sz w:val="18"/>
                          </w:rPr>
                        </w:pPr>
                        <w:r>
                          <w:rPr>
                            <w:color w:val="FFFFFF"/>
                            <w:sz w:val="18"/>
                          </w:rPr>
                          <w:t>2021 年产量</w:t>
                        </w:r>
                      </w:p>
                      <w:p>
                        <w:pPr>
                          <w:pStyle w:val="TableParagraph"/>
                          <w:spacing w:before="158"/>
                          <w:ind w:left="175"/>
                          <w:rPr>
                            <w:sz w:val="18"/>
                          </w:rPr>
                        </w:pPr>
                        <w:r>
                          <w:rPr>
                            <w:color w:val="FFFFFF"/>
                            <w:sz w:val="18"/>
                          </w:rPr>
                          <w:t>（吨 REO）</w:t>
                        </w:r>
                      </w:p>
                    </w:tc>
                    <w:tc>
                      <w:tcPr>
                        <w:tcW w:w="1196" w:type="dxa"/>
                        <w:tcBorders>
                          <w:top w:val="nil"/>
                          <w:left w:val="nil"/>
                          <w:right w:val="nil"/>
                        </w:tcBorders>
                        <w:shd w:val="clear" w:color="auto" w:fill="4774CA"/>
                      </w:tcPr>
                      <w:p>
                        <w:pPr>
                          <w:pStyle w:val="TableParagraph"/>
                          <w:spacing w:before="84"/>
                          <w:ind w:left="129"/>
                          <w:rPr>
                            <w:sz w:val="18"/>
                          </w:rPr>
                        </w:pPr>
                        <w:r>
                          <w:rPr>
                            <w:color w:val="FFFFFF"/>
                            <w:sz w:val="18"/>
                          </w:rPr>
                          <w:t>2022 年产量</w:t>
                        </w:r>
                      </w:p>
                      <w:p>
                        <w:pPr>
                          <w:pStyle w:val="TableParagraph"/>
                          <w:spacing w:before="158"/>
                          <w:ind w:left="174"/>
                          <w:rPr>
                            <w:sz w:val="18"/>
                          </w:rPr>
                        </w:pPr>
                        <w:r>
                          <w:rPr>
                            <w:color w:val="FFFFFF"/>
                            <w:sz w:val="18"/>
                          </w:rPr>
                          <w:t>（吨 REO）</w:t>
                        </w:r>
                      </w:p>
                    </w:tc>
                    <w:tc>
                      <w:tcPr>
                        <w:tcW w:w="1198" w:type="dxa"/>
                        <w:tcBorders>
                          <w:top w:val="nil"/>
                          <w:left w:val="nil"/>
                          <w:right w:val="nil"/>
                        </w:tcBorders>
                        <w:shd w:val="clear" w:color="auto" w:fill="4774CA"/>
                      </w:tcPr>
                      <w:p>
                        <w:pPr>
                          <w:pStyle w:val="TableParagraph"/>
                          <w:spacing w:before="9"/>
                          <w:rPr>
                            <w:b/>
                            <w:i/>
                            <w:sz w:val="21"/>
                          </w:rPr>
                        </w:pPr>
                      </w:p>
                      <w:p>
                        <w:pPr>
                          <w:pStyle w:val="TableParagraph"/>
                          <w:ind w:right="411"/>
                          <w:jc w:val="right"/>
                          <w:rPr>
                            <w:sz w:val="18"/>
                          </w:rPr>
                        </w:pPr>
                        <w:r>
                          <w:rPr>
                            <w:color w:val="FFFFFF"/>
                            <w:sz w:val="18"/>
                          </w:rPr>
                          <w:t>同比</w:t>
                        </w:r>
                      </w:p>
                    </w:tc>
                  </w:tr>
                  <w:tr>
                    <w:tblPrEx>
                      <w:tblW w:w="0" w:type="auto"/>
                      <w:jc w:val="left"/>
                      <w:tblInd w:w="7" w:type="dxa"/>
                      <w:tblLayout w:type="fixed"/>
                      <w:tblCellMar>
                        <w:top w:w="0" w:type="dxa"/>
                        <w:left w:w="0" w:type="dxa"/>
                        <w:bottom w:w="0" w:type="dxa"/>
                        <w:right w:w="0" w:type="dxa"/>
                      </w:tblCellMar>
                      <w:tblLook w:val="01E0"/>
                    </w:tblPrEx>
                    <w:trPr>
                      <w:trHeight w:val="390"/>
                      <w:jc w:val="left"/>
                    </w:trPr>
                    <w:tc>
                      <w:tcPr>
                        <w:tcW w:w="1198" w:type="dxa"/>
                      </w:tcPr>
                      <w:p>
                        <w:pPr>
                          <w:pStyle w:val="TableParagraph"/>
                          <w:spacing w:before="79"/>
                          <w:ind w:left="126" w:right="119"/>
                          <w:jc w:val="center"/>
                          <w:rPr>
                            <w:sz w:val="18"/>
                          </w:rPr>
                        </w:pPr>
                        <w:r>
                          <w:rPr>
                            <w:sz w:val="18"/>
                          </w:rPr>
                          <w:t>美国</w:t>
                        </w:r>
                      </w:p>
                    </w:tc>
                    <w:tc>
                      <w:tcPr>
                        <w:tcW w:w="1198" w:type="dxa"/>
                      </w:tcPr>
                      <w:p>
                        <w:pPr>
                          <w:pStyle w:val="TableParagraph"/>
                          <w:spacing w:before="79"/>
                          <w:ind w:left="128" w:right="119"/>
                          <w:jc w:val="center"/>
                          <w:rPr>
                            <w:sz w:val="18"/>
                          </w:rPr>
                        </w:pPr>
                        <w:r>
                          <w:rPr>
                            <w:sz w:val="18"/>
                          </w:rPr>
                          <w:t>42,000</w:t>
                        </w:r>
                      </w:p>
                    </w:tc>
                    <w:tc>
                      <w:tcPr>
                        <w:tcW w:w="1196" w:type="dxa"/>
                      </w:tcPr>
                      <w:p>
                        <w:pPr>
                          <w:pStyle w:val="TableParagraph"/>
                          <w:spacing w:before="79"/>
                          <w:ind w:left="309" w:right="297"/>
                          <w:jc w:val="center"/>
                          <w:rPr>
                            <w:sz w:val="18"/>
                          </w:rPr>
                        </w:pPr>
                        <w:r>
                          <w:rPr>
                            <w:sz w:val="18"/>
                          </w:rPr>
                          <w:t>43,000</w:t>
                        </w:r>
                      </w:p>
                    </w:tc>
                    <w:tc>
                      <w:tcPr>
                        <w:tcW w:w="1198" w:type="dxa"/>
                      </w:tcPr>
                      <w:p>
                        <w:pPr>
                          <w:pStyle w:val="TableParagraph"/>
                          <w:spacing w:before="79"/>
                          <w:ind w:left="44" w:right="119"/>
                          <w:jc w:val="center"/>
                          <w:rPr>
                            <w:sz w:val="18"/>
                          </w:rPr>
                        </w:pPr>
                        <w:r>
                          <w:rPr>
                            <w:sz w:val="18"/>
                          </w:rPr>
                          <w:t>2.4</w:t>
                        </w:r>
                      </w:p>
                    </w:tc>
                  </w:tr>
                  <w:tr>
                    <w:tblPrEx>
                      <w:tblW w:w="0" w:type="auto"/>
                      <w:jc w:val="left"/>
                      <w:tblInd w:w="7" w:type="dxa"/>
                      <w:tblLayout w:type="fixed"/>
                      <w:tblCellMar>
                        <w:top w:w="0" w:type="dxa"/>
                        <w:left w:w="0" w:type="dxa"/>
                        <w:bottom w:w="0" w:type="dxa"/>
                        <w:right w:w="0" w:type="dxa"/>
                      </w:tblCellMar>
                      <w:tblLook w:val="01E0"/>
                    </w:tblPrEx>
                    <w:trPr>
                      <w:trHeight w:val="388"/>
                      <w:jc w:val="left"/>
                    </w:trPr>
                    <w:tc>
                      <w:tcPr>
                        <w:tcW w:w="1198" w:type="dxa"/>
                      </w:tcPr>
                      <w:p>
                        <w:pPr>
                          <w:pStyle w:val="TableParagraph"/>
                          <w:spacing w:before="79"/>
                          <w:ind w:left="126" w:right="119"/>
                          <w:jc w:val="center"/>
                          <w:rPr>
                            <w:sz w:val="18"/>
                          </w:rPr>
                        </w:pPr>
                        <w:r>
                          <w:rPr>
                            <w:sz w:val="18"/>
                          </w:rPr>
                          <w:t>澳大利亚</w:t>
                        </w:r>
                      </w:p>
                    </w:tc>
                    <w:tc>
                      <w:tcPr>
                        <w:tcW w:w="1198" w:type="dxa"/>
                      </w:tcPr>
                      <w:p>
                        <w:pPr>
                          <w:pStyle w:val="TableParagraph"/>
                          <w:spacing w:before="79"/>
                          <w:ind w:left="128" w:right="119"/>
                          <w:jc w:val="center"/>
                          <w:rPr>
                            <w:sz w:val="18"/>
                          </w:rPr>
                        </w:pPr>
                        <w:r>
                          <w:rPr>
                            <w:sz w:val="18"/>
                          </w:rPr>
                          <w:t>24,000</w:t>
                        </w:r>
                      </w:p>
                    </w:tc>
                    <w:tc>
                      <w:tcPr>
                        <w:tcW w:w="1196" w:type="dxa"/>
                      </w:tcPr>
                      <w:p>
                        <w:pPr>
                          <w:pStyle w:val="TableParagraph"/>
                          <w:spacing w:before="79"/>
                          <w:ind w:left="309" w:right="297"/>
                          <w:jc w:val="center"/>
                          <w:rPr>
                            <w:sz w:val="18"/>
                          </w:rPr>
                        </w:pPr>
                        <w:r>
                          <w:rPr>
                            <w:sz w:val="18"/>
                          </w:rPr>
                          <w:t>18,000</w:t>
                        </w:r>
                      </w:p>
                    </w:tc>
                    <w:tc>
                      <w:tcPr>
                        <w:tcW w:w="1198" w:type="dxa"/>
                      </w:tcPr>
                      <w:p>
                        <w:pPr>
                          <w:pStyle w:val="TableParagraph"/>
                          <w:spacing w:before="79"/>
                          <w:ind w:right="403"/>
                          <w:jc w:val="right"/>
                          <w:rPr>
                            <w:sz w:val="18"/>
                          </w:rPr>
                        </w:pPr>
                        <w:r>
                          <w:rPr>
                            <w:sz w:val="18"/>
                          </w:rPr>
                          <w:t>-25.0</w:t>
                        </w:r>
                      </w:p>
                    </w:tc>
                  </w:tr>
                  <w:tr>
                    <w:tblPrEx>
                      <w:tblW w:w="0" w:type="auto"/>
                      <w:jc w:val="left"/>
                      <w:tblInd w:w="7" w:type="dxa"/>
                      <w:tblLayout w:type="fixed"/>
                      <w:tblCellMar>
                        <w:top w:w="0" w:type="dxa"/>
                        <w:left w:w="0" w:type="dxa"/>
                        <w:bottom w:w="0" w:type="dxa"/>
                        <w:right w:w="0" w:type="dxa"/>
                      </w:tblCellMar>
                      <w:tblLook w:val="01E0"/>
                    </w:tblPrEx>
                    <w:trPr>
                      <w:trHeight w:val="390"/>
                      <w:jc w:val="left"/>
                    </w:trPr>
                    <w:tc>
                      <w:tcPr>
                        <w:tcW w:w="1198" w:type="dxa"/>
                      </w:tcPr>
                      <w:p>
                        <w:pPr>
                          <w:pStyle w:val="TableParagraph"/>
                          <w:spacing w:before="79"/>
                          <w:ind w:left="126" w:right="119"/>
                          <w:jc w:val="center"/>
                          <w:rPr>
                            <w:sz w:val="18"/>
                          </w:rPr>
                        </w:pPr>
                        <w:r>
                          <w:rPr>
                            <w:sz w:val="18"/>
                          </w:rPr>
                          <w:t>巴西</w:t>
                        </w:r>
                      </w:p>
                    </w:tc>
                    <w:tc>
                      <w:tcPr>
                        <w:tcW w:w="1198" w:type="dxa"/>
                      </w:tcPr>
                      <w:p>
                        <w:pPr>
                          <w:pStyle w:val="TableParagraph"/>
                          <w:spacing w:before="79"/>
                          <w:ind w:left="129" w:right="118"/>
                          <w:jc w:val="center"/>
                          <w:rPr>
                            <w:sz w:val="18"/>
                          </w:rPr>
                        </w:pPr>
                        <w:r>
                          <w:rPr>
                            <w:sz w:val="18"/>
                          </w:rPr>
                          <w:t>500</w:t>
                        </w:r>
                      </w:p>
                    </w:tc>
                    <w:tc>
                      <w:tcPr>
                        <w:tcW w:w="1196" w:type="dxa"/>
                      </w:tcPr>
                      <w:p>
                        <w:pPr>
                          <w:pStyle w:val="TableParagraph"/>
                          <w:spacing w:before="79"/>
                          <w:ind w:left="309" w:right="295"/>
                          <w:jc w:val="center"/>
                          <w:rPr>
                            <w:sz w:val="18"/>
                          </w:rPr>
                        </w:pPr>
                        <w:r>
                          <w:rPr>
                            <w:sz w:val="18"/>
                          </w:rPr>
                          <w:t>80</w:t>
                        </w:r>
                      </w:p>
                    </w:tc>
                    <w:tc>
                      <w:tcPr>
                        <w:tcW w:w="1198" w:type="dxa"/>
                      </w:tcPr>
                      <w:p>
                        <w:pPr>
                          <w:pStyle w:val="TableParagraph"/>
                          <w:spacing w:before="79"/>
                          <w:ind w:right="403"/>
                          <w:jc w:val="right"/>
                          <w:rPr>
                            <w:sz w:val="18"/>
                          </w:rPr>
                        </w:pPr>
                        <w:r>
                          <w:rPr>
                            <w:sz w:val="18"/>
                          </w:rPr>
                          <w:t>-84.0</w:t>
                        </w:r>
                      </w:p>
                    </w:tc>
                  </w:tr>
                  <w:tr>
                    <w:tblPrEx>
                      <w:tblW w:w="0" w:type="auto"/>
                      <w:jc w:val="left"/>
                      <w:tblInd w:w="7" w:type="dxa"/>
                      <w:tblLayout w:type="fixed"/>
                      <w:tblCellMar>
                        <w:top w:w="0" w:type="dxa"/>
                        <w:left w:w="0" w:type="dxa"/>
                        <w:bottom w:w="0" w:type="dxa"/>
                        <w:right w:w="0" w:type="dxa"/>
                      </w:tblCellMar>
                      <w:tblLook w:val="01E0"/>
                    </w:tblPrEx>
                    <w:trPr>
                      <w:trHeight w:val="390"/>
                      <w:jc w:val="left"/>
                    </w:trPr>
                    <w:tc>
                      <w:tcPr>
                        <w:tcW w:w="1198" w:type="dxa"/>
                      </w:tcPr>
                      <w:p>
                        <w:pPr>
                          <w:pStyle w:val="TableParagraph"/>
                          <w:spacing w:before="79"/>
                          <w:ind w:left="126" w:right="119"/>
                          <w:jc w:val="center"/>
                          <w:rPr>
                            <w:sz w:val="18"/>
                          </w:rPr>
                        </w:pPr>
                        <w:r>
                          <w:rPr>
                            <w:sz w:val="18"/>
                          </w:rPr>
                          <w:t>缅甸</w:t>
                        </w:r>
                      </w:p>
                    </w:tc>
                    <w:tc>
                      <w:tcPr>
                        <w:tcW w:w="1198" w:type="dxa"/>
                      </w:tcPr>
                      <w:p>
                        <w:pPr>
                          <w:pStyle w:val="TableParagraph"/>
                          <w:spacing w:before="79"/>
                          <w:ind w:left="128" w:right="119"/>
                          <w:jc w:val="center"/>
                          <w:rPr>
                            <w:sz w:val="18"/>
                          </w:rPr>
                        </w:pPr>
                        <w:r>
                          <w:rPr>
                            <w:sz w:val="18"/>
                          </w:rPr>
                          <w:t>35,000</w:t>
                        </w:r>
                      </w:p>
                    </w:tc>
                    <w:tc>
                      <w:tcPr>
                        <w:tcW w:w="1196" w:type="dxa"/>
                      </w:tcPr>
                      <w:p>
                        <w:pPr>
                          <w:pStyle w:val="TableParagraph"/>
                          <w:spacing w:before="79"/>
                          <w:ind w:left="309" w:right="297"/>
                          <w:jc w:val="center"/>
                          <w:rPr>
                            <w:sz w:val="18"/>
                          </w:rPr>
                        </w:pPr>
                        <w:r>
                          <w:rPr>
                            <w:sz w:val="18"/>
                          </w:rPr>
                          <w:t>12,000</w:t>
                        </w:r>
                      </w:p>
                    </w:tc>
                    <w:tc>
                      <w:tcPr>
                        <w:tcW w:w="1198" w:type="dxa"/>
                      </w:tcPr>
                      <w:p>
                        <w:pPr>
                          <w:pStyle w:val="TableParagraph"/>
                          <w:spacing w:before="79"/>
                          <w:ind w:right="403"/>
                          <w:jc w:val="right"/>
                          <w:rPr>
                            <w:sz w:val="18"/>
                          </w:rPr>
                        </w:pPr>
                        <w:r>
                          <w:rPr>
                            <w:sz w:val="18"/>
                          </w:rPr>
                          <w:t>-65.7</w:t>
                        </w:r>
                      </w:p>
                    </w:tc>
                  </w:tr>
                  <w:tr>
                    <w:tblPrEx>
                      <w:tblW w:w="0" w:type="auto"/>
                      <w:jc w:val="left"/>
                      <w:tblInd w:w="7" w:type="dxa"/>
                      <w:tblLayout w:type="fixed"/>
                      <w:tblCellMar>
                        <w:top w:w="0" w:type="dxa"/>
                        <w:left w:w="0" w:type="dxa"/>
                        <w:bottom w:w="0" w:type="dxa"/>
                        <w:right w:w="0" w:type="dxa"/>
                      </w:tblCellMar>
                      <w:tblLook w:val="01E0"/>
                    </w:tblPrEx>
                    <w:trPr>
                      <w:trHeight w:val="388"/>
                      <w:jc w:val="left"/>
                    </w:trPr>
                    <w:tc>
                      <w:tcPr>
                        <w:tcW w:w="1198" w:type="dxa"/>
                      </w:tcPr>
                      <w:p>
                        <w:pPr>
                          <w:pStyle w:val="TableParagraph"/>
                          <w:spacing w:before="79"/>
                          <w:ind w:left="129" w:right="119"/>
                          <w:jc w:val="center"/>
                          <w:rPr>
                            <w:sz w:val="18"/>
                          </w:rPr>
                        </w:pPr>
                        <w:r>
                          <w:rPr>
                            <w:sz w:val="18"/>
                          </w:rPr>
                          <w:t>布隆迪</w:t>
                        </w:r>
                      </w:p>
                    </w:tc>
                    <w:tc>
                      <w:tcPr>
                        <w:tcW w:w="1198" w:type="dxa"/>
                      </w:tcPr>
                      <w:p>
                        <w:pPr>
                          <w:pStyle w:val="TableParagraph"/>
                          <w:spacing w:before="79"/>
                          <w:ind w:left="129" w:right="118"/>
                          <w:jc w:val="center"/>
                          <w:rPr>
                            <w:sz w:val="18"/>
                          </w:rPr>
                        </w:pPr>
                        <w:r>
                          <w:rPr>
                            <w:sz w:val="18"/>
                          </w:rPr>
                          <w:t>200</w:t>
                        </w:r>
                      </w:p>
                    </w:tc>
                    <w:tc>
                      <w:tcPr>
                        <w:tcW w:w="1196" w:type="dxa"/>
                      </w:tcPr>
                      <w:p>
                        <w:pPr>
                          <w:pStyle w:val="TableParagraph"/>
                          <w:spacing w:before="79"/>
                          <w:ind w:left="8"/>
                          <w:jc w:val="center"/>
                          <w:rPr>
                            <w:sz w:val="18"/>
                          </w:rPr>
                        </w:pPr>
                        <w:r>
                          <w:rPr>
                            <w:sz w:val="18"/>
                          </w:rPr>
                          <w:t>-</w:t>
                        </w:r>
                      </w:p>
                    </w:tc>
                    <w:tc>
                      <w:tcPr>
                        <w:tcW w:w="1198" w:type="dxa"/>
                      </w:tcPr>
                      <w:p>
                        <w:pPr>
                          <w:pStyle w:val="TableParagraph"/>
                          <w:spacing w:before="79"/>
                          <w:ind w:left="9"/>
                          <w:jc w:val="center"/>
                          <w:rPr>
                            <w:sz w:val="18"/>
                          </w:rPr>
                        </w:pPr>
                        <w:r>
                          <w:rPr>
                            <w:sz w:val="18"/>
                          </w:rPr>
                          <w:t>-</w:t>
                        </w:r>
                      </w:p>
                    </w:tc>
                  </w:tr>
                  <w:tr>
                    <w:tblPrEx>
                      <w:tblW w:w="0" w:type="auto"/>
                      <w:jc w:val="left"/>
                      <w:tblInd w:w="7" w:type="dxa"/>
                      <w:tblLayout w:type="fixed"/>
                      <w:tblCellMar>
                        <w:top w:w="0" w:type="dxa"/>
                        <w:left w:w="0" w:type="dxa"/>
                        <w:bottom w:w="0" w:type="dxa"/>
                        <w:right w:w="0" w:type="dxa"/>
                      </w:tblCellMar>
                      <w:tblLook w:val="01E0"/>
                    </w:tblPrEx>
                    <w:trPr>
                      <w:trHeight w:val="390"/>
                      <w:jc w:val="left"/>
                    </w:trPr>
                    <w:tc>
                      <w:tcPr>
                        <w:tcW w:w="1198" w:type="dxa"/>
                      </w:tcPr>
                      <w:p>
                        <w:pPr>
                          <w:pStyle w:val="TableParagraph"/>
                          <w:spacing w:before="79"/>
                          <w:ind w:left="126" w:right="119"/>
                          <w:jc w:val="center"/>
                          <w:rPr>
                            <w:sz w:val="18"/>
                          </w:rPr>
                        </w:pPr>
                        <w:r>
                          <w:rPr>
                            <w:sz w:val="18"/>
                          </w:rPr>
                          <w:t>印度</w:t>
                        </w:r>
                      </w:p>
                    </w:tc>
                    <w:tc>
                      <w:tcPr>
                        <w:tcW w:w="1198" w:type="dxa"/>
                      </w:tcPr>
                      <w:p>
                        <w:pPr>
                          <w:pStyle w:val="TableParagraph"/>
                          <w:spacing w:before="79"/>
                          <w:ind w:left="126" w:right="119"/>
                          <w:jc w:val="center"/>
                          <w:rPr>
                            <w:sz w:val="18"/>
                          </w:rPr>
                        </w:pPr>
                        <w:r>
                          <w:rPr>
                            <w:sz w:val="18"/>
                          </w:rPr>
                          <w:t>2,900</w:t>
                        </w:r>
                      </w:p>
                    </w:tc>
                    <w:tc>
                      <w:tcPr>
                        <w:tcW w:w="1196" w:type="dxa"/>
                      </w:tcPr>
                      <w:p>
                        <w:pPr>
                          <w:pStyle w:val="TableParagraph"/>
                          <w:spacing w:before="79"/>
                          <w:ind w:left="306" w:right="297"/>
                          <w:jc w:val="center"/>
                          <w:rPr>
                            <w:sz w:val="18"/>
                          </w:rPr>
                        </w:pPr>
                        <w:r>
                          <w:rPr>
                            <w:sz w:val="18"/>
                          </w:rPr>
                          <w:t>2,900</w:t>
                        </w:r>
                      </w:p>
                    </w:tc>
                    <w:tc>
                      <w:tcPr>
                        <w:tcW w:w="1198" w:type="dxa"/>
                      </w:tcPr>
                      <w:p>
                        <w:pPr>
                          <w:pStyle w:val="TableParagraph"/>
                          <w:spacing w:before="79"/>
                          <w:ind w:left="44" w:right="119"/>
                          <w:jc w:val="center"/>
                          <w:rPr>
                            <w:sz w:val="18"/>
                          </w:rPr>
                        </w:pPr>
                        <w:r>
                          <w:rPr>
                            <w:sz w:val="18"/>
                          </w:rPr>
                          <w:t>0.0</w:t>
                        </w:r>
                      </w:p>
                    </w:tc>
                  </w:tr>
                  <w:tr>
                    <w:tblPrEx>
                      <w:tblW w:w="0" w:type="auto"/>
                      <w:jc w:val="left"/>
                      <w:tblInd w:w="7" w:type="dxa"/>
                      <w:tblLayout w:type="fixed"/>
                      <w:tblCellMar>
                        <w:top w:w="0" w:type="dxa"/>
                        <w:left w:w="0" w:type="dxa"/>
                        <w:bottom w:w="0" w:type="dxa"/>
                        <w:right w:w="0" w:type="dxa"/>
                      </w:tblCellMar>
                      <w:tblLook w:val="01E0"/>
                    </w:tblPrEx>
                    <w:trPr>
                      <w:trHeight w:val="390"/>
                      <w:jc w:val="left"/>
                    </w:trPr>
                    <w:tc>
                      <w:tcPr>
                        <w:tcW w:w="1198" w:type="dxa"/>
                      </w:tcPr>
                      <w:p>
                        <w:pPr>
                          <w:pStyle w:val="TableParagraph"/>
                          <w:spacing w:before="79"/>
                          <w:ind w:left="129" w:right="119"/>
                          <w:jc w:val="center"/>
                          <w:rPr>
                            <w:sz w:val="18"/>
                          </w:rPr>
                        </w:pPr>
                        <w:r>
                          <w:rPr>
                            <w:sz w:val="18"/>
                          </w:rPr>
                          <w:t>马达加斯加</w:t>
                        </w:r>
                      </w:p>
                    </w:tc>
                    <w:tc>
                      <w:tcPr>
                        <w:tcW w:w="1198" w:type="dxa"/>
                      </w:tcPr>
                      <w:p>
                        <w:pPr>
                          <w:pStyle w:val="TableParagraph"/>
                          <w:spacing w:before="79"/>
                          <w:ind w:left="126" w:right="119"/>
                          <w:jc w:val="center"/>
                          <w:rPr>
                            <w:sz w:val="18"/>
                          </w:rPr>
                        </w:pPr>
                        <w:r>
                          <w:rPr>
                            <w:sz w:val="18"/>
                          </w:rPr>
                          <w:t>6,800</w:t>
                        </w:r>
                      </w:p>
                    </w:tc>
                    <w:tc>
                      <w:tcPr>
                        <w:tcW w:w="1196" w:type="dxa"/>
                      </w:tcPr>
                      <w:p>
                        <w:pPr>
                          <w:pStyle w:val="TableParagraph"/>
                          <w:spacing w:before="79"/>
                          <w:ind w:left="309" w:right="295"/>
                          <w:jc w:val="center"/>
                          <w:rPr>
                            <w:sz w:val="18"/>
                          </w:rPr>
                        </w:pPr>
                        <w:r>
                          <w:rPr>
                            <w:sz w:val="18"/>
                          </w:rPr>
                          <w:t>960</w:t>
                        </w:r>
                      </w:p>
                    </w:tc>
                    <w:tc>
                      <w:tcPr>
                        <w:tcW w:w="1198" w:type="dxa"/>
                      </w:tcPr>
                      <w:p>
                        <w:pPr>
                          <w:pStyle w:val="TableParagraph"/>
                          <w:spacing w:before="79"/>
                          <w:ind w:right="403"/>
                          <w:jc w:val="right"/>
                          <w:rPr>
                            <w:sz w:val="18"/>
                          </w:rPr>
                        </w:pPr>
                        <w:r>
                          <w:rPr>
                            <w:sz w:val="18"/>
                          </w:rPr>
                          <w:t>-85.9</w:t>
                        </w:r>
                      </w:p>
                    </w:tc>
                  </w:tr>
                  <w:tr>
                    <w:tblPrEx>
                      <w:tblW w:w="0" w:type="auto"/>
                      <w:jc w:val="left"/>
                      <w:tblInd w:w="7" w:type="dxa"/>
                      <w:tblLayout w:type="fixed"/>
                      <w:tblCellMar>
                        <w:top w:w="0" w:type="dxa"/>
                        <w:left w:w="0" w:type="dxa"/>
                        <w:bottom w:w="0" w:type="dxa"/>
                        <w:right w:w="0" w:type="dxa"/>
                      </w:tblCellMar>
                      <w:tblLook w:val="01E0"/>
                    </w:tblPrEx>
                    <w:trPr>
                      <w:trHeight w:val="388"/>
                      <w:jc w:val="left"/>
                    </w:trPr>
                    <w:tc>
                      <w:tcPr>
                        <w:tcW w:w="1198" w:type="dxa"/>
                      </w:tcPr>
                      <w:p>
                        <w:pPr>
                          <w:pStyle w:val="TableParagraph"/>
                          <w:spacing w:before="79"/>
                          <w:ind w:left="129" w:right="119"/>
                          <w:jc w:val="center"/>
                          <w:rPr>
                            <w:sz w:val="18"/>
                          </w:rPr>
                        </w:pPr>
                        <w:r>
                          <w:rPr>
                            <w:sz w:val="18"/>
                          </w:rPr>
                          <w:t>俄罗斯</w:t>
                        </w:r>
                      </w:p>
                    </w:tc>
                    <w:tc>
                      <w:tcPr>
                        <w:tcW w:w="1198" w:type="dxa"/>
                      </w:tcPr>
                      <w:p>
                        <w:pPr>
                          <w:pStyle w:val="TableParagraph"/>
                          <w:spacing w:before="79"/>
                          <w:ind w:left="126" w:right="119"/>
                          <w:jc w:val="center"/>
                          <w:rPr>
                            <w:sz w:val="18"/>
                          </w:rPr>
                        </w:pPr>
                        <w:r>
                          <w:rPr>
                            <w:sz w:val="18"/>
                          </w:rPr>
                          <w:t>2,600</w:t>
                        </w:r>
                      </w:p>
                    </w:tc>
                    <w:tc>
                      <w:tcPr>
                        <w:tcW w:w="1196" w:type="dxa"/>
                      </w:tcPr>
                      <w:p>
                        <w:pPr>
                          <w:pStyle w:val="TableParagraph"/>
                          <w:spacing w:before="79"/>
                          <w:ind w:left="306" w:right="297"/>
                          <w:jc w:val="center"/>
                          <w:rPr>
                            <w:sz w:val="18"/>
                          </w:rPr>
                        </w:pPr>
                        <w:r>
                          <w:rPr>
                            <w:sz w:val="18"/>
                          </w:rPr>
                          <w:t>2,600</w:t>
                        </w:r>
                      </w:p>
                    </w:tc>
                    <w:tc>
                      <w:tcPr>
                        <w:tcW w:w="1198" w:type="dxa"/>
                      </w:tcPr>
                      <w:p>
                        <w:pPr>
                          <w:pStyle w:val="TableParagraph"/>
                          <w:spacing w:before="79"/>
                          <w:ind w:left="44" w:right="119"/>
                          <w:jc w:val="center"/>
                          <w:rPr>
                            <w:sz w:val="18"/>
                          </w:rPr>
                        </w:pPr>
                        <w:r>
                          <w:rPr>
                            <w:sz w:val="18"/>
                          </w:rPr>
                          <w:t>0.0</w:t>
                        </w:r>
                      </w:p>
                    </w:tc>
                  </w:tr>
                  <w:tr>
                    <w:tblPrEx>
                      <w:tblW w:w="0" w:type="auto"/>
                      <w:jc w:val="left"/>
                      <w:tblInd w:w="7" w:type="dxa"/>
                      <w:tblLayout w:type="fixed"/>
                      <w:tblCellMar>
                        <w:top w:w="0" w:type="dxa"/>
                        <w:left w:w="0" w:type="dxa"/>
                        <w:bottom w:w="0" w:type="dxa"/>
                        <w:right w:w="0" w:type="dxa"/>
                      </w:tblCellMar>
                      <w:tblLook w:val="01E0"/>
                    </w:tblPrEx>
                    <w:trPr>
                      <w:trHeight w:val="391"/>
                      <w:jc w:val="left"/>
                    </w:trPr>
                    <w:tc>
                      <w:tcPr>
                        <w:tcW w:w="1198" w:type="dxa"/>
                      </w:tcPr>
                      <w:p>
                        <w:pPr>
                          <w:pStyle w:val="TableParagraph"/>
                          <w:spacing w:before="79"/>
                          <w:ind w:left="126" w:right="119"/>
                          <w:jc w:val="center"/>
                          <w:rPr>
                            <w:sz w:val="18"/>
                          </w:rPr>
                        </w:pPr>
                        <w:r>
                          <w:rPr>
                            <w:sz w:val="18"/>
                          </w:rPr>
                          <w:t>泰国</w:t>
                        </w:r>
                      </w:p>
                    </w:tc>
                    <w:tc>
                      <w:tcPr>
                        <w:tcW w:w="1198" w:type="dxa"/>
                      </w:tcPr>
                      <w:p>
                        <w:pPr>
                          <w:pStyle w:val="TableParagraph"/>
                          <w:spacing w:before="79"/>
                          <w:ind w:left="126" w:right="119"/>
                          <w:jc w:val="center"/>
                          <w:rPr>
                            <w:sz w:val="18"/>
                          </w:rPr>
                        </w:pPr>
                        <w:r>
                          <w:rPr>
                            <w:sz w:val="18"/>
                          </w:rPr>
                          <w:t>8,200</w:t>
                        </w:r>
                      </w:p>
                    </w:tc>
                    <w:tc>
                      <w:tcPr>
                        <w:tcW w:w="1196" w:type="dxa"/>
                      </w:tcPr>
                      <w:p>
                        <w:pPr>
                          <w:pStyle w:val="TableParagraph"/>
                          <w:spacing w:before="79"/>
                          <w:ind w:left="306" w:right="297"/>
                          <w:jc w:val="center"/>
                          <w:rPr>
                            <w:sz w:val="18"/>
                          </w:rPr>
                        </w:pPr>
                        <w:r>
                          <w:rPr>
                            <w:sz w:val="18"/>
                          </w:rPr>
                          <w:t>7,100</w:t>
                        </w:r>
                      </w:p>
                    </w:tc>
                    <w:tc>
                      <w:tcPr>
                        <w:tcW w:w="1198" w:type="dxa"/>
                      </w:tcPr>
                      <w:p>
                        <w:pPr>
                          <w:pStyle w:val="TableParagraph"/>
                          <w:spacing w:before="79"/>
                          <w:ind w:right="403"/>
                          <w:jc w:val="right"/>
                          <w:rPr>
                            <w:sz w:val="18"/>
                          </w:rPr>
                        </w:pPr>
                        <w:r>
                          <w:rPr>
                            <w:sz w:val="18"/>
                          </w:rPr>
                          <w:t>-13.4</w:t>
                        </w:r>
                      </w:p>
                    </w:tc>
                  </w:tr>
                  <w:tr>
                    <w:tblPrEx>
                      <w:tblW w:w="0" w:type="auto"/>
                      <w:jc w:val="left"/>
                      <w:tblInd w:w="7" w:type="dxa"/>
                      <w:tblLayout w:type="fixed"/>
                      <w:tblCellMar>
                        <w:top w:w="0" w:type="dxa"/>
                        <w:left w:w="0" w:type="dxa"/>
                        <w:bottom w:w="0" w:type="dxa"/>
                        <w:right w:w="0" w:type="dxa"/>
                      </w:tblCellMar>
                      <w:tblLook w:val="01E0"/>
                    </w:tblPrEx>
                    <w:trPr>
                      <w:trHeight w:val="390"/>
                      <w:jc w:val="left"/>
                    </w:trPr>
                    <w:tc>
                      <w:tcPr>
                        <w:tcW w:w="1198" w:type="dxa"/>
                      </w:tcPr>
                      <w:p>
                        <w:pPr>
                          <w:pStyle w:val="TableParagraph"/>
                          <w:spacing w:before="79"/>
                          <w:ind w:left="126" w:right="119"/>
                          <w:jc w:val="center"/>
                          <w:rPr>
                            <w:sz w:val="18"/>
                          </w:rPr>
                        </w:pPr>
                        <w:r>
                          <w:rPr>
                            <w:sz w:val="18"/>
                          </w:rPr>
                          <w:t>越南</w:t>
                        </w:r>
                      </w:p>
                    </w:tc>
                    <w:tc>
                      <w:tcPr>
                        <w:tcW w:w="1198" w:type="dxa"/>
                      </w:tcPr>
                      <w:p>
                        <w:pPr>
                          <w:pStyle w:val="TableParagraph"/>
                          <w:spacing w:before="79"/>
                          <w:ind w:left="129" w:right="118"/>
                          <w:jc w:val="center"/>
                          <w:rPr>
                            <w:sz w:val="18"/>
                          </w:rPr>
                        </w:pPr>
                        <w:r>
                          <w:rPr>
                            <w:sz w:val="18"/>
                          </w:rPr>
                          <w:t>400</w:t>
                        </w:r>
                      </w:p>
                    </w:tc>
                    <w:tc>
                      <w:tcPr>
                        <w:tcW w:w="1196" w:type="dxa"/>
                      </w:tcPr>
                      <w:p>
                        <w:pPr>
                          <w:pStyle w:val="TableParagraph"/>
                          <w:spacing w:before="79"/>
                          <w:ind w:left="306" w:right="297"/>
                          <w:jc w:val="center"/>
                          <w:rPr>
                            <w:sz w:val="18"/>
                          </w:rPr>
                        </w:pPr>
                        <w:r>
                          <w:rPr>
                            <w:sz w:val="18"/>
                          </w:rPr>
                          <w:t>4,300</w:t>
                        </w:r>
                      </w:p>
                    </w:tc>
                    <w:tc>
                      <w:tcPr>
                        <w:tcW w:w="1198" w:type="dxa"/>
                      </w:tcPr>
                      <w:p>
                        <w:pPr>
                          <w:pStyle w:val="TableParagraph"/>
                          <w:spacing w:before="79"/>
                          <w:ind w:right="403"/>
                          <w:jc w:val="right"/>
                          <w:rPr>
                            <w:sz w:val="18"/>
                          </w:rPr>
                        </w:pPr>
                        <w:r>
                          <w:rPr>
                            <w:sz w:val="18"/>
                          </w:rPr>
                          <w:t>975.0</w:t>
                        </w:r>
                      </w:p>
                    </w:tc>
                  </w:tr>
                  <w:tr>
                    <w:tblPrEx>
                      <w:tblW w:w="0" w:type="auto"/>
                      <w:jc w:val="left"/>
                      <w:tblInd w:w="7" w:type="dxa"/>
                      <w:tblLayout w:type="fixed"/>
                      <w:tblCellMar>
                        <w:top w:w="0" w:type="dxa"/>
                        <w:left w:w="0" w:type="dxa"/>
                        <w:bottom w:w="0" w:type="dxa"/>
                        <w:right w:w="0" w:type="dxa"/>
                      </w:tblCellMar>
                      <w:tblLook w:val="01E0"/>
                    </w:tblPrEx>
                    <w:trPr>
                      <w:trHeight w:val="399"/>
                      <w:jc w:val="left"/>
                    </w:trPr>
                    <w:tc>
                      <w:tcPr>
                        <w:tcW w:w="1198" w:type="dxa"/>
                        <w:tcBorders>
                          <w:bottom w:val="single" w:sz="4" w:space="0" w:color="013E96"/>
                        </w:tcBorders>
                        <w:shd w:val="clear" w:color="auto" w:fill="E7E6E6"/>
                      </w:tcPr>
                      <w:p>
                        <w:pPr>
                          <w:pStyle w:val="TableParagraph"/>
                          <w:spacing w:before="79"/>
                          <w:ind w:left="126" w:right="119"/>
                          <w:jc w:val="center"/>
                          <w:rPr>
                            <w:sz w:val="18"/>
                          </w:rPr>
                        </w:pPr>
                        <w:r>
                          <w:rPr>
                            <w:sz w:val="18"/>
                          </w:rPr>
                          <w:t>合计</w:t>
                        </w:r>
                      </w:p>
                    </w:tc>
                    <w:tc>
                      <w:tcPr>
                        <w:tcW w:w="1198" w:type="dxa"/>
                        <w:tcBorders>
                          <w:bottom w:val="single" w:sz="4" w:space="0" w:color="013E96"/>
                        </w:tcBorders>
                        <w:shd w:val="clear" w:color="auto" w:fill="E7E6E6"/>
                      </w:tcPr>
                      <w:p>
                        <w:pPr>
                          <w:pStyle w:val="TableParagraph"/>
                          <w:spacing w:before="79"/>
                          <w:ind w:left="128" w:right="119"/>
                          <w:jc w:val="center"/>
                          <w:rPr>
                            <w:sz w:val="18"/>
                          </w:rPr>
                        </w:pPr>
                        <w:r>
                          <w:rPr>
                            <w:sz w:val="18"/>
                          </w:rPr>
                          <w:t>122,600</w:t>
                        </w:r>
                      </w:p>
                    </w:tc>
                    <w:tc>
                      <w:tcPr>
                        <w:tcW w:w="1196" w:type="dxa"/>
                        <w:tcBorders>
                          <w:bottom w:val="single" w:sz="4" w:space="0" w:color="013E96"/>
                        </w:tcBorders>
                        <w:shd w:val="clear" w:color="auto" w:fill="E7E6E6"/>
                      </w:tcPr>
                      <w:p>
                        <w:pPr>
                          <w:pStyle w:val="TableParagraph"/>
                          <w:spacing w:before="79"/>
                          <w:ind w:left="309" w:right="297"/>
                          <w:jc w:val="center"/>
                          <w:rPr>
                            <w:sz w:val="18"/>
                          </w:rPr>
                        </w:pPr>
                        <w:r>
                          <w:rPr>
                            <w:sz w:val="18"/>
                          </w:rPr>
                          <w:t>90,940</w:t>
                        </w:r>
                      </w:p>
                    </w:tc>
                    <w:tc>
                      <w:tcPr>
                        <w:tcW w:w="1198" w:type="dxa"/>
                        <w:tcBorders>
                          <w:bottom w:val="single" w:sz="4" w:space="0" w:color="013E96"/>
                        </w:tcBorders>
                      </w:tcPr>
                      <w:p>
                        <w:pPr>
                          <w:pStyle w:val="TableParagraph"/>
                          <w:spacing w:before="79"/>
                          <w:ind w:right="403"/>
                          <w:jc w:val="right"/>
                          <w:rPr>
                            <w:sz w:val="18"/>
                          </w:rPr>
                        </w:pPr>
                        <w:r>
                          <w:rPr>
                            <w:sz w:val="18"/>
                          </w:rPr>
                          <w:t>-25.8</w:t>
                        </w:r>
                      </w:p>
                    </w:tc>
                  </w:tr>
                </w:tbl>
                <w:p>
                  <w:pPr>
                    <w:pStyle w:val="BodyText"/>
                  </w:pPr>
                </w:p>
              </w:txbxContent>
            </v:textbox>
            <w10:wrap type="none"/>
            <w10:anchorlock/>
          </v:shape>
        </w:pict>
      </w:r>
    </w:p>
    <w:p>
      <w:pPr>
        <w:tabs>
          <w:tab w:val="left" w:pos="5535"/>
        </w:tabs>
        <w:spacing w:before="104"/>
        <w:ind w:left="290" w:right="0" w:firstLine="0"/>
        <w:jc w:val="left"/>
        <w:rPr>
          <w:sz w:val="15"/>
        </w:rPr>
      </w:pPr>
      <w:r>
        <w:t xml:space="preserve">数据来源：USGS， </w:t>
        <w:tab/>
        <w:t xml:space="preserve">数据来源：USGS, </w:t>
      </w:r>
    </w:p>
    <w:p>
      <w:pPr>
        <w:pStyle w:val="BodyText"/>
        <w:spacing w:before="12"/>
        <w:rPr>
          <w:sz w:val="17"/>
        </w:rPr>
      </w:pPr>
    </w:p>
    <w:p>
      <w:pPr>
        <w:pStyle w:val="BodyText"/>
        <w:spacing w:before="82" w:line="348" w:lineRule="auto"/>
        <w:ind w:left="2712" w:right="320" w:firstLine="423"/>
        <w:jc w:val="both"/>
      </w:pPr>
      <w:r>
        <w:rPr>
          <w:b/>
          <w:spacing w:val="-4"/>
        </w:rPr>
        <w:t>外国政府正在加大力度支持发展中国外稀土供应链。</w:t>
      </w:r>
      <w:r>
        <w:rPr>
          <w:spacing w:val="-12"/>
        </w:rPr>
        <w:t xml:space="preserve">自上世纪 </w:t>
      </w:r>
      <w:r>
        <w:rPr>
          <w:rFonts w:ascii="Arial" w:eastAsia="Arial"/>
        </w:rPr>
        <w:t xml:space="preserve">90 </w:t>
      </w:r>
      <w:r>
        <w:rPr>
          <w:spacing w:val="-3"/>
        </w:rPr>
        <w:t>年代中国开始</w:t>
      </w:r>
      <w:r>
        <w:rPr>
          <w:spacing w:val="-8"/>
        </w:rPr>
        <w:t>取代美国成为全球稀土开发大国后，中国一直拥有着全球稀土行业的话语权。但由于</w:t>
      </w:r>
      <w:r>
        <w:rPr>
          <w:spacing w:val="-10"/>
        </w:rPr>
        <w:t>稀土材料被广泛应用于军工、航空等涉及到国家战略安全的领域，以及稀土价格多次</w:t>
      </w:r>
      <w:r>
        <w:rPr>
          <w:spacing w:val="-12"/>
        </w:rPr>
        <w:t>不合理的剧烈波动，以美国为首的其他国家一直在支持开发全球除中国外的其他稀土</w:t>
      </w:r>
      <w:r>
        <w:rPr>
          <w:spacing w:val="-1"/>
        </w:rPr>
        <w:t>供应链体系。美国政府对</w:t>
      </w:r>
      <w:r>
        <w:rPr>
          <w:rFonts w:ascii="Arial" w:eastAsia="Arial"/>
        </w:rPr>
        <w:t>MP</w:t>
      </w:r>
      <w:r>
        <w:rPr>
          <w:spacing w:val="-5"/>
        </w:rPr>
        <w:t>、</w:t>
      </w:r>
      <w:r>
        <w:rPr>
          <w:rFonts w:ascii="Arial" w:eastAsia="Arial"/>
          <w:spacing w:val="-3"/>
        </w:rPr>
        <w:t xml:space="preserve">Lynas </w:t>
      </w:r>
      <w:r>
        <w:rPr>
          <w:spacing w:val="-3"/>
        </w:rPr>
        <w:t>和本国磁材厂提供资金上的支持；稀土储量较</w:t>
      </w:r>
      <w:r>
        <w:rPr>
          <w:spacing w:val="-7"/>
        </w:rPr>
        <w:t xml:space="preserve">多的越南也规划了到 </w:t>
      </w:r>
      <w:r>
        <w:rPr>
          <w:rFonts w:ascii="Arial" w:eastAsia="Arial"/>
        </w:rPr>
        <w:t xml:space="preserve">2030 </w:t>
      </w:r>
      <w:r>
        <w:rPr>
          <w:spacing w:val="-8"/>
        </w:rPr>
        <w:t xml:space="preserve">年实现年处理 </w:t>
      </w:r>
      <w:r>
        <w:rPr>
          <w:rFonts w:ascii="Arial" w:eastAsia="Arial"/>
        </w:rPr>
        <w:t xml:space="preserve">2-6 </w:t>
      </w:r>
      <w:r>
        <w:rPr>
          <w:spacing w:val="-12"/>
        </w:rPr>
        <w:t xml:space="preserve">万公吨 </w:t>
      </w:r>
      <w:r>
        <w:rPr>
          <w:rFonts w:ascii="Arial" w:eastAsia="Arial"/>
        </w:rPr>
        <w:t xml:space="preserve">REO </w:t>
      </w:r>
      <w:r>
        <w:rPr>
          <w:spacing w:val="-3"/>
        </w:rPr>
        <w:t>的目标；蒙古也寄希望于</w:t>
      </w:r>
      <w:r>
        <w:rPr>
          <w:spacing w:val="-15"/>
        </w:rPr>
        <w:t xml:space="preserve">美国帮助其发展稀土行业；马来西亚政府在 </w:t>
      </w:r>
      <w:r>
        <w:rPr>
          <w:rFonts w:ascii="Arial" w:eastAsia="Arial"/>
        </w:rPr>
        <w:t xml:space="preserve">2023 </w:t>
      </w:r>
      <w:r>
        <w:rPr>
          <w:spacing w:val="36"/>
        </w:rPr>
        <w:t>年</w:t>
      </w:r>
      <w:r>
        <w:rPr>
          <w:rFonts w:ascii="Arial" w:eastAsia="Arial"/>
        </w:rPr>
        <w:t xml:space="preserve">10 </w:t>
      </w:r>
      <w:r>
        <w:rPr>
          <w:spacing w:val="8"/>
        </w:rPr>
        <w:t>月同意了</w:t>
      </w:r>
      <w:r>
        <w:rPr>
          <w:rFonts w:ascii="Arial" w:eastAsia="Arial"/>
          <w:spacing w:val="-3"/>
        </w:rPr>
        <w:t xml:space="preserve">Lynas </w:t>
      </w:r>
      <w:r>
        <w:rPr>
          <w:spacing w:val="-3"/>
        </w:rPr>
        <w:t>进口原材料。</w:t>
      </w:r>
    </w:p>
    <w:p>
      <w:pPr>
        <w:spacing w:before="146"/>
        <w:ind w:left="307" w:right="0" w:firstLine="0"/>
        <w:jc w:val="left"/>
        <w:rPr>
          <w:b/>
          <w:i/>
          <w:sz w:val="22"/>
        </w:rPr>
      </w:pPr>
      <w:r>
        <w:pict>
          <v:group id="_x0000_s1331" style="width:511.1pt;height:1pt;margin-top:26.22pt;margin-left:42.24pt;mso-position-horizontal-relative:page;position:absolute;z-index:251773952" coordorigin="845,524" coordsize="10222,20">
            <v:line id="_x0000_s1332" style="position:absolute" from="852,539" to="11059,539" stroked="t" strokecolor="#013e96" strokeweight="0.48pt">
              <v:stroke dashstyle="solid"/>
            </v:line>
            <v:line id="_x0000_s1333" style="position:absolute" from="845,529" to="11066,529" stroked="t" strokecolor="#013e96" strokeweight="0.48pt">
              <v:stroke dashstyle="solid"/>
            </v:line>
          </v:group>
        </w:pict>
      </w:r>
      <w:r>
        <w:rPr>
          <w:b/>
          <w:i/>
          <w:sz w:val="22"/>
        </w:rPr>
        <w:t xml:space="preserve">图表 </w:t>
      </w:r>
      <w:r>
        <w:rPr>
          <w:rFonts w:ascii="Arial" w:eastAsia="Arial"/>
          <w:b/>
          <w:i/>
          <w:sz w:val="21"/>
        </w:rPr>
        <w:t>24</w:t>
      </w:r>
      <w:r>
        <w:rPr>
          <w:b/>
          <w:i/>
          <w:sz w:val="22"/>
        </w:rPr>
        <w:t>：海外各国仍在积极支持稀土资源开发</w:t>
      </w:r>
    </w:p>
    <w:p>
      <w:pPr>
        <w:pStyle w:val="BodyText"/>
        <w:spacing w:before="4"/>
        <w:rPr>
          <w:b/>
          <w:i/>
          <w:sz w:val="8"/>
        </w:rPr>
      </w:pPr>
    </w:p>
    <w:tbl>
      <w:tblPr>
        <w:tblStyle w:val="TableNormal8"/>
        <w:tblW w:w="0" w:type="auto"/>
        <w:jc w:val="left"/>
        <w:tblInd w:w="3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282"/>
        <w:gridCol w:w="1282"/>
        <w:gridCol w:w="7327"/>
        <w:gridCol w:w="217"/>
      </w:tblGrid>
      <w:tr>
        <w:tblPrEx>
          <w:tblW w:w="0" w:type="auto"/>
          <w:jc w:val="left"/>
          <w:tblInd w:w="3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00"/>
          <w:jc w:val="left"/>
        </w:trPr>
        <w:tc>
          <w:tcPr>
            <w:tcW w:w="9891" w:type="dxa"/>
            <w:gridSpan w:val="3"/>
            <w:tcBorders>
              <w:top w:val="nil"/>
              <w:left w:val="nil"/>
              <w:right w:val="nil"/>
            </w:tcBorders>
            <w:shd w:val="clear" w:color="auto" w:fill="4774CA"/>
          </w:tcPr>
          <w:p>
            <w:pPr>
              <w:pStyle w:val="TableParagraph"/>
              <w:tabs>
                <w:tab w:val="left" w:pos="1747"/>
                <w:tab w:val="left" w:pos="5871"/>
              </w:tabs>
              <w:spacing w:before="89"/>
              <w:ind w:left="466"/>
              <w:rPr>
                <w:sz w:val="18"/>
              </w:rPr>
            </w:pPr>
            <w:r>
              <w:rPr>
                <w:color w:val="FFFFFF"/>
                <w:sz w:val="18"/>
              </w:rPr>
              <w:t>时间</w:t>
              <w:tab/>
              <w:t>国家</w:t>
              <w:tab/>
              <w:t>主要事件</w:t>
            </w:r>
          </w:p>
        </w:tc>
        <w:tc>
          <w:tcPr>
            <w:tcW w:w="217" w:type="dxa"/>
            <w:vMerge w:val="restart"/>
            <w:tcBorders>
              <w:top w:val="nil"/>
              <w:left w:val="nil"/>
              <w:bottom w:val="single" w:sz="4" w:space="0" w:color="013E96"/>
              <w:right w:val="nil"/>
            </w:tcBorders>
          </w:tcPr>
          <w:p>
            <w:pPr>
              <w:pStyle w:val="TableParagraph"/>
              <w:rPr>
                <w:rFonts w:ascii="Times New Roman"/>
                <w:sz w:val="18"/>
              </w:rPr>
            </w:pPr>
          </w:p>
        </w:tc>
      </w:tr>
      <w:tr>
        <w:tblPrEx>
          <w:tblW w:w="0" w:type="auto"/>
          <w:jc w:val="left"/>
          <w:tblInd w:w="307" w:type="dxa"/>
          <w:tblLayout w:type="fixed"/>
          <w:tblCellMar>
            <w:top w:w="0" w:type="dxa"/>
            <w:left w:w="0" w:type="dxa"/>
            <w:bottom w:w="0" w:type="dxa"/>
            <w:right w:w="0" w:type="dxa"/>
          </w:tblCellMar>
          <w:tblLook w:val="01E0"/>
        </w:tblPrEx>
        <w:trPr>
          <w:trHeight w:val="779"/>
          <w:jc w:val="left"/>
        </w:trPr>
        <w:tc>
          <w:tcPr>
            <w:tcW w:w="1282" w:type="dxa"/>
          </w:tcPr>
          <w:p>
            <w:pPr>
              <w:pStyle w:val="TableParagraph"/>
              <w:spacing w:before="4"/>
              <w:rPr>
                <w:b/>
                <w:i/>
                <w:sz w:val="21"/>
              </w:rPr>
            </w:pPr>
          </w:p>
          <w:p>
            <w:pPr>
              <w:pStyle w:val="TableParagraph"/>
              <w:ind w:left="369"/>
              <w:rPr>
                <w:sz w:val="18"/>
              </w:rPr>
            </w:pPr>
            <w:r>
              <w:rPr>
                <w:sz w:val="18"/>
              </w:rPr>
              <w:t>2023.4</w:t>
            </w:r>
          </w:p>
        </w:tc>
        <w:tc>
          <w:tcPr>
            <w:tcW w:w="1282" w:type="dxa"/>
          </w:tcPr>
          <w:p>
            <w:pPr>
              <w:pStyle w:val="TableParagraph"/>
              <w:spacing w:before="4"/>
              <w:rPr>
                <w:b/>
                <w:i/>
                <w:sz w:val="21"/>
              </w:rPr>
            </w:pPr>
          </w:p>
          <w:p>
            <w:pPr>
              <w:pStyle w:val="TableParagraph"/>
              <w:ind w:left="260" w:right="251"/>
              <w:jc w:val="center"/>
              <w:rPr>
                <w:sz w:val="18"/>
              </w:rPr>
            </w:pPr>
            <w:r>
              <w:rPr>
                <w:sz w:val="18"/>
              </w:rPr>
              <w:t>美国</w:t>
            </w:r>
          </w:p>
        </w:tc>
        <w:tc>
          <w:tcPr>
            <w:tcW w:w="7327" w:type="dxa"/>
          </w:tcPr>
          <w:p>
            <w:pPr>
              <w:pStyle w:val="TableParagraph"/>
              <w:spacing w:before="79"/>
              <w:ind w:left="107"/>
              <w:rPr>
                <w:sz w:val="18"/>
              </w:rPr>
            </w:pPr>
            <w:r>
              <w:rPr>
                <w:sz w:val="18"/>
              </w:rPr>
              <w:t>国会提出《2023 年稀土磁体制造生产税收抵免法案》，在美制造磁铁可获得每公斤 20 美</w:t>
            </w:r>
          </w:p>
          <w:p>
            <w:pPr>
              <w:pStyle w:val="TableParagraph"/>
              <w:spacing w:before="160"/>
              <w:ind w:left="107"/>
              <w:rPr>
                <w:sz w:val="18"/>
              </w:rPr>
            </w:pPr>
            <w:r>
              <w:rPr>
                <w:sz w:val="18"/>
              </w:rPr>
              <w:t>元抵免，从美国生产商采购零部件超</w:t>
            </w:r>
            <w:r>
              <w:rPr>
                <w:spacing w:val="-45"/>
                <w:sz w:val="18"/>
              </w:rPr>
              <w:t xml:space="preserve"> </w:t>
            </w:r>
            <w:r>
              <w:rPr>
                <w:sz w:val="18"/>
              </w:rPr>
              <w:t>90</w:t>
            </w:r>
            <w:r>
              <w:rPr>
                <w:spacing w:val="-2"/>
                <w:sz w:val="18"/>
              </w:rPr>
              <w:drawing>
                <wp:inline distT="0" distB="0" distL="0" distR="0">
                  <wp:extent cx="53975" cy="82550"/>
                  <wp:effectExtent l="0" t="0" r="0" b="0"/>
                  <wp:docPr id="16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9.png"/>
                          <pic:cNvPicPr/>
                        </pic:nvPicPr>
                        <pic:blipFill>
                          <a:blip xmlns:r="http://schemas.openxmlformats.org/officeDocument/2006/relationships" r:embed="rId60" cstate="print"/>
                          <a:stretch>
                            <a:fillRect/>
                          </a:stretch>
                        </pic:blipFill>
                        <pic:spPr>
                          <a:xfrm>
                            <a:off x="0" y="0"/>
                            <a:ext cx="53975" cy="82550"/>
                          </a:xfrm>
                          <a:prstGeom prst="rect">
                            <a:avLst/>
                          </a:prstGeom>
                        </pic:spPr>
                      </pic:pic>
                    </a:graphicData>
                  </a:graphic>
                </wp:inline>
              </w:drawing>
            </w:r>
            <w:r>
              <w:rPr>
                <w:sz w:val="18"/>
              </w:rPr>
              <w:t>的制造商可获得</w:t>
            </w:r>
            <w:r>
              <w:rPr>
                <w:spacing w:val="-46"/>
                <w:sz w:val="18"/>
              </w:rPr>
              <w:t xml:space="preserve"> </w:t>
            </w:r>
            <w:r>
              <w:rPr>
                <w:sz w:val="18"/>
              </w:rPr>
              <w:t>30</w:t>
            </w:r>
            <w:r>
              <w:rPr>
                <w:spacing w:val="-46"/>
                <w:sz w:val="18"/>
              </w:rPr>
              <w:t xml:space="preserve"> </w:t>
            </w:r>
            <w:r>
              <w:rPr>
                <w:sz w:val="18"/>
              </w:rPr>
              <w:t>美元每千克的抵免</w:t>
            </w:r>
          </w:p>
        </w:tc>
        <w:tc>
          <w:tcPr>
            <w:tcW w:w="217" w:type="dxa"/>
            <w:vMerge/>
            <w:tcBorders>
              <w:top w:val="nil"/>
              <w:left w:val="nil"/>
              <w:bottom w:val="single" w:sz="4" w:space="0" w:color="013E96"/>
              <w:right w:val="nil"/>
            </w:tcBorders>
          </w:tcPr>
          <w:p>
            <w:pPr>
              <w:rPr>
                <w:sz w:val="2"/>
                <w:szCs w:val="2"/>
              </w:rPr>
            </w:pPr>
          </w:p>
        </w:tc>
      </w:tr>
      <w:tr>
        <w:tblPrEx>
          <w:tblW w:w="0" w:type="auto"/>
          <w:jc w:val="left"/>
          <w:tblInd w:w="307" w:type="dxa"/>
          <w:tblLayout w:type="fixed"/>
          <w:tblCellMar>
            <w:top w:w="0" w:type="dxa"/>
            <w:left w:w="0" w:type="dxa"/>
            <w:bottom w:w="0" w:type="dxa"/>
            <w:right w:w="0" w:type="dxa"/>
          </w:tblCellMar>
          <w:tblLook w:val="01E0"/>
        </w:tblPrEx>
        <w:trPr>
          <w:trHeight w:val="779"/>
          <w:jc w:val="left"/>
        </w:trPr>
        <w:tc>
          <w:tcPr>
            <w:tcW w:w="1282" w:type="dxa"/>
          </w:tcPr>
          <w:p>
            <w:pPr>
              <w:pStyle w:val="TableParagraph"/>
              <w:spacing w:before="6"/>
              <w:rPr>
                <w:b/>
                <w:i/>
                <w:sz w:val="21"/>
              </w:rPr>
            </w:pPr>
          </w:p>
          <w:p>
            <w:pPr>
              <w:pStyle w:val="TableParagraph"/>
              <w:ind w:left="369"/>
              <w:rPr>
                <w:sz w:val="18"/>
              </w:rPr>
            </w:pPr>
            <w:r>
              <w:rPr>
                <w:sz w:val="18"/>
              </w:rPr>
              <w:t>2023.7</w:t>
            </w:r>
          </w:p>
        </w:tc>
        <w:tc>
          <w:tcPr>
            <w:tcW w:w="1282" w:type="dxa"/>
          </w:tcPr>
          <w:p>
            <w:pPr>
              <w:pStyle w:val="TableParagraph"/>
              <w:spacing w:before="6"/>
              <w:rPr>
                <w:b/>
                <w:i/>
                <w:sz w:val="21"/>
              </w:rPr>
            </w:pPr>
          </w:p>
          <w:p>
            <w:pPr>
              <w:pStyle w:val="TableParagraph"/>
              <w:ind w:left="260" w:right="251"/>
              <w:jc w:val="center"/>
              <w:rPr>
                <w:sz w:val="18"/>
              </w:rPr>
            </w:pPr>
            <w:r>
              <w:rPr>
                <w:sz w:val="18"/>
              </w:rPr>
              <w:t>越南</w:t>
            </w:r>
          </w:p>
        </w:tc>
        <w:tc>
          <w:tcPr>
            <w:tcW w:w="7327" w:type="dxa"/>
          </w:tcPr>
          <w:p>
            <w:pPr>
              <w:pStyle w:val="TableParagraph"/>
              <w:spacing w:before="79"/>
              <w:ind w:left="107"/>
              <w:rPr>
                <w:sz w:val="18"/>
              </w:rPr>
            </w:pPr>
            <w:r>
              <w:rPr>
                <w:sz w:val="18"/>
              </w:rPr>
              <w:t>越南政府发布矿产部门总规划，拟重启最大矿厂 Dong Pao, 目标到 2030 年开采加工稀土</w:t>
            </w:r>
          </w:p>
          <w:p>
            <w:pPr>
              <w:pStyle w:val="TableParagraph"/>
              <w:spacing w:before="160"/>
              <w:ind w:left="107"/>
              <w:rPr>
                <w:sz w:val="18"/>
              </w:rPr>
            </w:pPr>
            <w:r>
              <w:rPr>
                <w:sz w:val="18"/>
              </w:rPr>
              <w:t>矿石超 200 万吨，年处理REO 当量 2-6 万吨，到 2050 年实现 REO 年产量 4-8 万吨</w:t>
            </w:r>
          </w:p>
        </w:tc>
        <w:tc>
          <w:tcPr>
            <w:tcW w:w="217" w:type="dxa"/>
            <w:vMerge/>
            <w:tcBorders>
              <w:top w:val="nil"/>
              <w:left w:val="nil"/>
              <w:bottom w:val="single" w:sz="4" w:space="0" w:color="013E96"/>
              <w:right w:val="nil"/>
            </w:tcBorders>
          </w:tcPr>
          <w:p>
            <w:pPr>
              <w:rPr>
                <w:sz w:val="2"/>
                <w:szCs w:val="2"/>
              </w:rPr>
            </w:pPr>
          </w:p>
        </w:tc>
      </w:tr>
      <w:tr>
        <w:tblPrEx>
          <w:tblW w:w="0" w:type="auto"/>
          <w:jc w:val="left"/>
          <w:tblInd w:w="307" w:type="dxa"/>
          <w:tblLayout w:type="fixed"/>
          <w:tblCellMar>
            <w:top w:w="0" w:type="dxa"/>
            <w:left w:w="0" w:type="dxa"/>
            <w:bottom w:w="0" w:type="dxa"/>
            <w:right w:w="0" w:type="dxa"/>
          </w:tblCellMar>
          <w:tblLook w:val="01E0"/>
        </w:tblPrEx>
        <w:trPr>
          <w:trHeight w:val="780"/>
          <w:jc w:val="left"/>
        </w:trPr>
        <w:tc>
          <w:tcPr>
            <w:tcW w:w="1282" w:type="dxa"/>
          </w:tcPr>
          <w:p>
            <w:pPr>
              <w:pStyle w:val="TableParagraph"/>
              <w:spacing w:before="6"/>
              <w:rPr>
                <w:b/>
                <w:i/>
                <w:sz w:val="21"/>
              </w:rPr>
            </w:pPr>
          </w:p>
          <w:p>
            <w:pPr>
              <w:pStyle w:val="TableParagraph"/>
              <w:ind w:left="369"/>
              <w:rPr>
                <w:sz w:val="18"/>
              </w:rPr>
            </w:pPr>
            <w:r>
              <w:rPr>
                <w:sz w:val="18"/>
              </w:rPr>
              <w:t>2023.8</w:t>
            </w:r>
          </w:p>
        </w:tc>
        <w:tc>
          <w:tcPr>
            <w:tcW w:w="1282" w:type="dxa"/>
          </w:tcPr>
          <w:p>
            <w:pPr>
              <w:pStyle w:val="TableParagraph"/>
              <w:spacing w:before="6"/>
              <w:rPr>
                <w:b/>
                <w:i/>
                <w:sz w:val="21"/>
              </w:rPr>
            </w:pPr>
          </w:p>
          <w:p>
            <w:pPr>
              <w:pStyle w:val="TableParagraph"/>
              <w:ind w:left="260" w:right="251"/>
              <w:jc w:val="center"/>
              <w:rPr>
                <w:sz w:val="18"/>
              </w:rPr>
            </w:pPr>
            <w:r>
              <w:rPr>
                <w:sz w:val="18"/>
              </w:rPr>
              <w:t>蒙古</w:t>
            </w:r>
          </w:p>
        </w:tc>
        <w:tc>
          <w:tcPr>
            <w:tcW w:w="7327" w:type="dxa"/>
          </w:tcPr>
          <w:p>
            <w:pPr>
              <w:pStyle w:val="TableParagraph"/>
              <w:spacing w:before="79"/>
              <w:ind w:left="107"/>
              <w:rPr>
                <w:sz w:val="18"/>
              </w:rPr>
            </w:pPr>
            <w:r>
              <w:rPr>
                <w:sz w:val="18"/>
              </w:rPr>
              <w:t>蒙古与美国在稀土方面开展合作，就 2023 年 6 月与美国国务院签署的谅解备忘录内容进</w:t>
            </w:r>
          </w:p>
          <w:p>
            <w:pPr>
              <w:pStyle w:val="TableParagraph"/>
              <w:spacing w:before="161"/>
              <w:ind w:left="107"/>
              <w:rPr>
                <w:sz w:val="18"/>
              </w:rPr>
            </w:pPr>
            <w:r>
              <w:rPr>
                <w:sz w:val="18"/>
              </w:rPr>
              <w:t>行进一步深化</w:t>
            </w:r>
          </w:p>
        </w:tc>
        <w:tc>
          <w:tcPr>
            <w:tcW w:w="217" w:type="dxa"/>
            <w:vMerge/>
            <w:tcBorders>
              <w:top w:val="nil"/>
              <w:left w:val="nil"/>
              <w:bottom w:val="single" w:sz="4" w:space="0" w:color="013E96"/>
              <w:right w:val="nil"/>
            </w:tcBorders>
          </w:tcPr>
          <w:p>
            <w:pPr>
              <w:rPr>
                <w:sz w:val="2"/>
                <w:szCs w:val="2"/>
              </w:rPr>
            </w:pPr>
          </w:p>
        </w:tc>
      </w:tr>
      <w:tr>
        <w:tblPrEx>
          <w:tblW w:w="0" w:type="auto"/>
          <w:jc w:val="left"/>
          <w:tblInd w:w="307" w:type="dxa"/>
          <w:tblLayout w:type="fixed"/>
          <w:tblCellMar>
            <w:top w:w="0" w:type="dxa"/>
            <w:left w:w="0" w:type="dxa"/>
            <w:bottom w:w="0" w:type="dxa"/>
            <w:right w:w="0" w:type="dxa"/>
          </w:tblCellMar>
          <w:tblLook w:val="01E0"/>
        </w:tblPrEx>
        <w:trPr>
          <w:trHeight w:val="781"/>
          <w:jc w:val="left"/>
        </w:trPr>
        <w:tc>
          <w:tcPr>
            <w:tcW w:w="1282" w:type="dxa"/>
          </w:tcPr>
          <w:p>
            <w:pPr>
              <w:pStyle w:val="TableParagraph"/>
              <w:spacing w:before="6"/>
              <w:rPr>
                <w:b/>
                <w:i/>
                <w:sz w:val="21"/>
              </w:rPr>
            </w:pPr>
          </w:p>
          <w:p>
            <w:pPr>
              <w:pStyle w:val="TableParagraph"/>
              <w:ind w:left="324"/>
              <w:rPr>
                <w:sz w:val="18"/>
              </w:rPr>
            </w:pPr>
            <w:r>
              <w:rPr>
                <w:sz w:val="18"/>
              </w:rPr>
              <w:t>2023.10</w:t>
            </w:r>
          </w:p>
        </w:tc>
        <w:tc>
          <w:tcPr>
            <w:tcW w:w="1282" w:type="dxa"/>
          </w:tcPr>
          <w:p>
            <w:pPr>
              <w:pStyle w:val="TableParagraph"/>
              <w:spacing w:before="6"/>
              <w:rPr>
                <w:b/>
                <w:i/>
                <w:sz w:val="21"/>
              </w:rPr>
            </w:pPr>
          </w:p>
          <w:p>
            <w:pPr>
              <w:pStyle w:val="TableParagraph"/>
              <w:ind w:left="260" w:right="251"/>
              <w:jc w:val="center"/>
              <w:rPr>
                <w:sz w:val="18"/>
              </w:rPr>
            </w:pPr>
            <w:r>
              <w:rPr>
                <w:sz w:val="18"/>
              </w:rPr>
              <w:t>马来西亚</w:t>
            </w:r>
          </w:p>
        </w:tc>
        <w:tc>
          <w:tcPr>
            <w:tcW w:w="7327" w:type="dxa"/>
          </w:tcPr>
          <w:p>
            <w:pPr>
              <w:pStyle w:val="TableParagraph"/>
              <w:spacing w:before="81"/>
              <w:ind w:left="107"/>
              <w:rPr>
                <w:sz w:val="18"/>
              </w:rPr>
            </w:pPr>
            <w:r>
              <w:rPr>
                <w:spacing w:val="-5"/>
                <w:sz w:val="18"/>
              </w:rPr>
              <w:t xml:space="preserve">马来西亚政府延长与 </w:t>
            </w:r>
            <w:r>
              <w:rPr>
                <w:sz w:val="18"/>
              </w:rPr>
              <w:t>Lynas</w:t>
            </w:r>
            <w:r>
              <w:rPr>
                <w:spacing w:val="-13"/>
                <w:sz w:val="18"/>
              </w:rPr>
              <w:t xml:space="preserve"> 的合作，允许 </w:t>
            </w:r>
            <w:r>
              <w:rPr>
                <w:sz w:val="18"/>
              </w:rPr>
              <w:t>Lynas</w:t>
            </w:r>
            <w:r>
              <w:rPr>
                <w:spacing w:val="-10"/>
                <w:sz w:val="18"/>
              </w:rPr>
              <w:t xml:space="preserve"> 进口含有天然放射性物质的原材料至 </w:t>
            </w:r>
            <w:r>
              <w:rPr>
                <w:sz w:val="18"/>
              </w:rPr>
              <w:t>2026</w:t>
            </w:r>
          </w:p>
          <w:p>
            <w:pPr>
              <w:pStyle w:val="TableParagraph"/>
              <w:spacing w:before="158"/>
              <w:ind w:left="107"/>
              <w:rPr>
                <w:sz w:val="18"/>
              </w:rPr>
            </w:pPr>
            <w:r>
              <w:rPr>
                <w:sz w:val="18"/>
              </w:rPr>
              <w:t>年 3 月</w:t>
            </w:r>
          </w:p>
        </w:tc>
        <w:tc>
          <w:tcPr>
            <w:tcW w:w="217" w:type="dxa"/>
            <w:vMerge/>
            <w:tcBorders>
              <w:top w:val="nil"/>
              <w:left w:val="nil"/>
              <w:bottom w:val="single" w:sz="4" w:space="0" w:color="013E96"/>
              <w:right w:val="nil"/>
            </w:tcBorders>
          </w:tcPr>
          <w:p>
            <w:pPr>
              <w:rPr>
                <w:sz w:val="2"/>
                <w:szCs w:val="2"/>
              </w:rPr>
            </w:pPr>
          </w:p>
        </w:tc>
      </w:tr>
      <w:tr>
        <w:tblPrEx>
          <w:tblW w:w="0" w:type="auto"/>
          <w:jc w:val="left"/>
          <w:tblInd w:w="307" w:type="dxa"/>
          <w:tblLayout w:type="fixed"/>
          <w:tblCellMar>
            <w:top w:w="0" w:type="dxa"/>
            <w:left w:w="0" w:type="dxa"/>
            <w:bottom w:w="0" w:type="dxa"/>
            <w:right w:w="0" w:type="dxa"/>
          </w:tblCellMar>
          <w:tblLook w:val="01E0"/>
        </w:tblPrEx>
        <w:trPr>
          <w:trHeight w:val="779"/>
          <w:jc w:val="left"/>
        </w:trPr>
        <w:tc>
          <w:tcPr>
            <w:tcW w:w="1282" w:type="dxa"/>
          </w:tcPr>
          <w:p>
            <w:pPr>
              <w:pStyle w:val="TableParagraph"/>
              <w:spacing w:before="4"/>
              <w:rPr>
                <w:b/>
                <w:i/>
                <w:sz w:val="21"/>
              </w:rPr>
            </w:pPr>
          </w:p>
          <w:p>
            <w:pPr>
              <w:pStyle w:val="TableParagraph"/>
              <w:ind w:left="324"/>
              <w:rPr>
                <w:sz w:val="18"/>
              </w:rPr>
            </w:pPr>
            <w:r>
              <w:rPr>
                <w:sz w:val="18"/>
              </w:rPr>
              <w:t>2023.11</w:t>
            </w:r>
          </w:p>
        </w:tc>
        <w:tc>
          <w:tcPr>
            <w:tcW w:w="1282" w:type="dxa"/>
          </w:tcPr>
          <w:p>
            <w:pPr>
              <w:pStyle w:val="TableParagraph"/>
              <w:spacing w:before="4"/>
              <w:rPr>
                <w:b/>
                <w:i/>
                <w:sz w:val="21"/>
              </w:rPr>
            </w:pPr>
          </w:p>
          <w:p>
            <w:pPr>
              <w:pStyle w:val="TableParagraph"/>
              <w:ind w:left="260" w:right="251"/>
              <w:jc w:val="center"/>
              <w:rPr>
                <w:sz w:val="18"/>
              </w:rPr>
            </w:pPr>
            <w:r>
              <w:rPr>
                <w:sz w:val="18"/>
              </w:rPr>
              <w:t>澳大利亚</w:t>
            </w:r>
          </w:p>
        </w:tc>
        <w:tc>
          <w:tcPr>
            <w:tcW w:w="7327" w:type="dxa"/>
          </w:tcPr>
          <w:p>
            <w:pPr>
              <w:pStyle w:val="TableParagraph"/>
              <w:spacing w:before="79"/>
              <w:ind w:left="107"/>
              <w:rPr>
                <w:sz w:val="18"/>
              </w:rPr>
            </w:pPr>
            <w:r>
              <w:rPr>
                <w:sz w:val="18"/>
              </w:rPr>
              <w:t>澳大利亚政府计划于 2025 年在昆士兰州开设首个国有关键矿产设施，以进行钒、钴、稀</w:t>
            </w:r>
          </w:p>
          <w:p>
            <w:pPr>
              <w:pStyle w:val="TableParagraph"/>
              <w:spacing w:before="158"/>
              <w:ind w:left="107"/>
              <w:rPr>
                <w:sz w:val="18"/>
              </w:rPr>
            </w:pPr>
            <w:r>
              <w:rPr>
                <w:sz w:val="18"/>
              </w:rPr>
              <w:t>土等关键矿物的加工</w:t>
            </w:r>
          </w:p>
        </w:tc>
        <w:tc>
          <w:tcPr>
            <w:tcW w:w="217" w:type="dxa"/>
            <w:vMerge/>
            <w:tcBorders>
              <w:top w:val="nil"/>
              <w:left w:val="nil"/>
              <w:bottom w:val="single" w:sz="4" w:space="0" w:color="013E96"/>
              <w:right w:val="nil"/>
            </w:tcBorders>
          </w:tcPr>
          <w:p>
            <w:pPr>
              <w:rPr>
                <w:sz w:val="2"/>
                <w:szCs w:val="2"/>
              </w:rPr>
            </w:pPr>
          </w:p>
        </w:tc>
      </w:tr>
      <w:tr>
        <w:tblPrEx>
          <w:tblW w:w="0" w:type="auto"/>
          <w:jc w:val="left"/>
          <w:tblInd w:w="307" w:type="dxa"/>
          <w:tblLayout w:type="fixed"/>
          <w:tblCellMar>
            <w:top w:w="0" w:type="dxa"/>
            <w:left w:w="0" w:type="dxa"/>
            <w:bottom w:w="0" w:type="dxa"/>
            <w:right w:w="0" w:type="dxa"/>
          </w:tblCellMar>
          <w:tblLook w:val="01E0"/>
        </w:tblPrEx>
        <w:trPr>
          <w:trHeight w:val="784"/>
          <w:jc w:val="left"/>
        </w:trPr>
        <w:tc>
          <w:tcPr>
            <w:tcW w:w="1282" w:type="dxa"/>
            <w:tcBorders>
              <w:bottom w:val="single" w:sz="4" w:space="0" w:color="013E96"/>
            </w:tcBorders>
          </w:tcPr>
          <w:p>
            <w:pPr>
              <w:pStyle w:val="TableParagraph"/>
              <w:spacing w:before="4"/>
              <w:rPr>
                <w:b/>
                <w:i/>
                <w:sz w:val="21"/>
              </w:rPr>
            </w:pPr>
          </w:p>
          <w:p>
            <w:pPr>
              <w:pStyle w:val="TableParagraph"/>
              <w:ind w:left="324"/>
              <w:rPr>
                <w:sz w:val="18"/>
              </w:rPr>
            </w:pPr>
            <w:r>
              <w:rPr>
                <w:sz w:val="18"/>
              </w:rPr>
              <w:t>2023.11</w:t>
            </w:r>
          </w:p>
        </w:tc>
        <w:tc>
          <w:tcPr>
            <w:tcW w:w="1282" w:type="dxa"/>
            <w:tcBorders>
              <w:bottom w:val="single" w:sz="4" w:space="0" w:color="013E96"/>
            </w:tcBorders>
          </w:tcPr>
          <w:p>
            <w:pPr>
              <w:pStyle w:val="TableParagraph"/>
              <w:spacing w:before="4"/>
              <w:rPr>
                <w:b/>
                <w:i/>
                <w:sz w:val="21"/>
              </w:rPr>
            </w:pPr>
          </w:p>
          <w:p>
            <w:pPr>
              <w:pStyle w:val="TableParagraph"/>
              <w:ind w:left="260" w:right="251"/>
              <w:jc w:val="center"/>
              <w:rPr>
                <w:sz w:val="18"/>
              </w:rPr>
            </w:pPr>
            <w:r>
              <w:rPr>
                <w:sz w:val="18"/>
              </w:rPr>
              <w:t>印度</w:t>
            </w:r>
          </w:p>
        </w:tc>
        <w:tc>
          <w:tcPr>
            <w:tcW w:w="7327" w:type="dxa"/>
            <w:tcBorders>
              <w:bottom w:val="single" w:sz="4" w:space="0" w:color="013E96"/>
            </w:tcBorders>
          </w:tcPr>
          <w:p>
            <w:pPr>
              <w:pStyle w:val="TableParagraph"/>
              <w:spacing w:before="79"/>
              <w:ind w:left="107"/>
              <w:rPr>
                <w:sz w:val="18"/>
              </w:rPr>
            </w:pPr>
            <w:r>
              <w:rPr>
                <w:sz w:val="18"/>
              </w:rPr>
              <w:t>印度正在加紧努力确保关键矿物和稀土矿物的供应，矿业部邀请有关采矿技术的研究和开</w:t>
            </w:r>
          </w:p>
          <w:p>
            <w:pPr>
              <w:pStyle w:val="TableParagraph"/>
              <w:spacing w:before="158"/>
              <w:ind w:left="107"/>
              <w:rPr>
                <w:sz w:val="18"/>
              </w:rPr>
            </w:pPr>
            <w:r>
              <w:rPr>
                <w:sz w:val="18"/>
              </w:rPr>
              <w:t>发建议，重点将放在深海和绿色采矿，以及锂、镍和钨等关键矿物上。</w:t>
            </w:r>
          </w:p>
        </w:tc>
        <w:tc>
          <w:tcPr>
            <w:tcW w:w="217" w:type="dxa"/>
            <w:vMerge/>
            <w:tcBorders>
              <w:top w:val="nil"/>
              <w:left w:val="nil"/>
              <w:bottom w:val="single" w:sz="4" w:space="0" w:color="013E96"/>
              <w:right w:val="nil"/>
            </w:tcBorders>
          </w:tcPr>
          <w:p>
            <w:pPr>
              <w:rPr>
                <w:sz w:val="2"/>
                <w:szCs w:val="2"/>
              </w:rPr>
            </w:pPr>
          </w:p>
        </w:tc>
      </w:tr>
    </w:tbl>
    <w:p>
      <w:pPr>
        <w:pStyle w:val="BodyText"/>
        <w:spacing w:line="20" w:lineRule="exact"/>
        <w:ind w:left="187"/>
        <w:rPr>
          <w:sz w:val="2"/>
        </w:rPr>
        <w:sectPr>
          <w:headerReference w:type="default" r:id="rId81"/>
          <w:footerReference w:type="default" r:id="rId82"/>
          <w:pgSz w:w="11910" w:h="16840"/>
          <w:pgMar w:top="1360" w:right="520" w:bottom="660" w:left="660" w:header="708" w:footer="708"/>
          <w:pgNumType w:start="33"/>
          <w:cols w:space="708"/>
        </w:sectPr>
      </w:pPr>
      <w:r>
        <w:rPr>
          <w:sz w:val="2"/>
        </w:rPr>
        <w:pict>
          <v:group id="_x0000_i1334" style="width:510.35pt;height:0.5pt;mso-position-horizontal-relative:char;mso-position-vertical-relative:line" coordorigin="0,0" coordsize="10207,10">
            <v:line id="_x0000_s1335" style="position:absolute" from="0,5" to="10207,5" stroked="t" strokecolor="#013e96" strokeweight="0.48pt">
              <v:stroke dashstyle="solid"/>
            </v:line>
            <w10:wrap type="none"/>
          </v:group>
        </w:pict>
      </w:r>
    </w:p>
    <w:p>
      <w:pPr>
        <w:spacing w:before="84"/>
        <w:ind w:left="300" w:right="0" w:firstLine="0"/>
        <w:jc w:val="left"/>
        <w:rPr>
          <w:sz w:val="15"/>
        </w:rPr>
      </w:pPr>
      <w:r>
        <w:t xml:space="preserve">数据来源：各公司公告，各公司官网，产业前沿，上海有色网， </w:t>
      </w:r>
    </w:p>
    <w:p>
      <w:pPr>
        <w:spacing w:after="0"/>
        <w:jc w:val="left"/>
        <w:rPr>
          <w:sz w:val="15"/>
        </w:rPr>
        <w:sectPr>
          <w:headerReference w:type="default" r:id="rId83"/>
          <w:footerReference w:type="default" r:id="rId84"/>
          <w:type w:val="nextPage"/>
          <w:pgSz w:w="11910" w:h="16840"/>
          <w:pgMar w:top="1360" w:right="520" w:bottom="660" w:left="660" w:header="708" w:footer="708"/>
          <w:pgNumType w:start="34"/>
          <w:cols w:space="708"/>
          <w:titlePg w:val="0"/>
        </w:sectPr>
      </w:pPr>
    </w:p>
    <w:p>
      <w:pPr>
        <w:pStyle w:val="BodyText"/>
        <w:spacing w:before="100" w:line="348" w:lineRule="auto"/>
        <w:ind w:left="2712" w:right="320" w:firstLine="423"/>
        <w:jc w:val="both"/>
      </w:pPr>
      <w:r>
        <w:pict>
          <v:shape id="_x0000_s1336" type="#_x0000_t202" style="width:60pt;height:12pt;margin-top:36.85pt;margin-left:488.98pt;mso-position-horizontal-relative:page;mso-position-vertical-relative:page;position:absolute;z-index:-251539456" filled="f" stroked="f">
            <v:textbox inset="0,0,0,0">
              <w:txbxContent>
                <w:p>
                  <w:pPr>
                    <w:spacing w:before="0" w:line="240" w:lineRule="exact"/>
                    <w:ind w:left="0" w:right="0" w:firstLine="0"/>
                    <w:jc w:val="left"/>
                    <w:rPr>
                      <w:sz w:val="24"/>
                    </w:rPr>
                  </w:pPr>
                  <w:r>
                    <w:rPr>
                      <w:sz w:val="24"/>
                    </w:rPr>
                    <w:t>丨公司名称</w:t>
                  </w:r>
                </w:p>
              </w:txbxContent>
            </v:textbox>
          </v:shape>
        </w:pict>
      </w:r>
      <w:r>
        <w:rPr>
          <w:b/>
          <w:spacing w:val="1"/>
        </w:rPr>
        <w:t xml:space="preserve">海外新稀土矿在未来 </w:t>
      </w:r>
      <w:r>
        <w:rPr>
          <w:rFonts w:ascii="Arial" w:eastAsia="Arial"/>
          <w:b/>
        </w:rPr>
        <w:t>2-3</w:t>
      </w:r>
      <w:r>
        <w:rPr>
          <w:rFonts w:ascii="Arial" w:eastAsia="Arial"/>
          <w:b/>
          <w:spacing w:val="55"/>
        </w:rPr>
        <w:t xml:space="preserve"> </w:t>
      </w:r>
      <w:r>
        <w:rPr>
          <w:b/>
        </w:rPr>
        <w:t>年内较难形成实物量供应。</w:t>
      </w:r>
      <w:r>
        <w:rPr>
          <w:spacing w:val="-3"/>
        </w:rPr>
        <w:t>分公司看，海外在产大规</w:t>
      </w:r>
      <w:r>
        <w:rPr>
          <w:spacing w:val="-5"/>
        </w:rPr>
        <w:t xml:space="preserve">模稀土矿仅有美国 </w:t>
      </w:r>
      <w:r>
        <w:rPr>
          <w:rFonts w:ascii="Arial" w:eastAsia="Arial"/>
        </w:rPr>
        <w:t>Mountain Pass</w:t>
      </w:r>
      <w:r>
        <w:rPr>
          <w:rFonts w:ascii="Arial" w:eastAsia="Arial"/>
          <w:spacing w:val="51"/>
        </w:rPr>
        <w:t xml:space="preserve"> </w:t>
      </w:r>
      <w:r>
        <w:rPr>
          <w:spacing w:val="-3"/>
        </w:rPr>
        <w:t xml:space="preserve">以及澳大利亚 </w:t>
      </w:r>
      <w:r>
        <w:rPr>
          <w:rFonts w:ascii="Arial" w:eastAsia="Arial"/>
        </w:rPr>
        <w:t xml:space="preserve">Mount </w:t>
      </w:r>
      <w:r>
        <w:rPr>
          <w:rFonts w:ascii="Arial" w:eastAsia="Arial"/>
          <w:spacing w:val="-3"/>
        </w:rPr>
        <w:t>Weld</w:t>
      </w:r>
      <w:r>
        <w:rPr>
          <w:spacing w:val="-5"/>
        </w:rPr>
        <w:t xml:space="preserve">，设计产能分别为 </w:t>
      </w:r>
      <w:r>
        <w:rPr>
          <w:rFonts w:ascii="Arial" w:eastAsia="Arial"/>
        </w:rPr>
        <w:t xml:space="preserve">4 </w:t>
      </w:r>
      <w:r>
        <w:rPr>
          <w:spacing w:val="-12"/>
        </w:rPr>
        <w:t xml:space="preserve">万吨和 </w:t>
      </w:r>
      <w:r>
        <w:rPr>
          <w:rFonts w:ascii="Arial" w:eastAsia="Arial"/>
        </w:rPr>
        <w:t xml:space="preserve">2.65 </w:t>
      </w:r>
      <w:r>
        <w:rPr>
          <w:spacing w:val="-17"/>
        </w:rPr>
        <w:t xml:space="preserve">万吨 </w:t>
      </w:r>
      <w:r>
        <w:rPr>
          <w:rFonts w:ascii="Arial" w:eastAsia="Arial"/>
        </w:rPr>
        <w:t>REO</w:t>
      </w:r>
      <w:r>
        <w:rPr>
          <w:spacing w:val="-6"/>
        </w:rPr>
        <w:t xml:space="preserve">，缅甸矿较为分散但合计稀土产能约在 </w:t>
      </w:r>
      <w:r>
        <w:rPr>
          <w:rFonts w:ascii="Arial" w:eastAsia="Arial"/>
        </w:rPr>
        <w:t xml:space="preserve">2-5 </w:t>
      </w:r>
      <w:r>
        <w:rPr>
          <w:spacing w:val="-17"/>
        </w:rPr>
        <w:t xml:space="preserve">万吨 </w:t>
      </w:r>
      <w:r>
        <w:rPr>
          <w:rFonts w:ascii="Arial" w:eastAsia="Arial"/>
        </w:rPr>
        <w:t xml:space="preserve">REO </w:t>
      </w:r>
      <w:r>
        <w:t xml:space="preserve">之间， </w:t>
      </w:r>
      <w:r>
        <w:rPr>
          <w:spacing w:val="3"/>
        </w:rPr>
        <w:t xml:space="preserve">此前被寄予厚望的安哥拉 </w:t>
      </w:r>
      <w:r>
        <w:rPr>
          <w:rFonts w:ascii="Arial" w:eastAsia="Arial"/>
        </w:rPr>
        <w:t>Longonjo</w:t>
      </w:r>
      <w:r>
        <w:rPr>
          <w:rFonts w:ascii="Arial" w:eastAsia="Arial"/>
          <w:spacing w:val="55"/>
        </w:rPr>
        <w:t xml:space="preserve"> </w:t>
      </w:r>
      <w:r>
        <w:rPr>
          <w:spacing w:val="4"/>
        </w:rPr>
        <w:t xml:space="preserve">和澳大利亚 </w:t>
      </w:r>
      <w:r>
        <w:rPr>
          <w:rFonts w:ascii="Arial" w:eastAsia="Arial"/>
          <w:spacing w:val="-3"/>
        </w:rPr>
        <w:t xml:space="preserve">Yangibana </w:t>
      </w:r>
      <w:r>
        <w:rPr>
          <w:spacing w:val="3"/>
        </w:rPr>
        <w:t>由于各种原因延期至</w:t>
      </w:r>
      <w:r>
        <w:rPr>
          <w:rFonts w:ascii="Arial" w:eastAsia="Arial"/>
          <w:spacing w:val="3"/>
        </w:rPr>
        <w:t xml:space="preserve">2025 </w:t>
      </w:r>
      <w:r>
        <w:rPr>
          <w:spacing w:val="-10"/>
        </w:rPr>
        <w:t xml:space="preserve">年投产，不确定性仍存，预计全球海外新稀土矿未来 </w:t>
      </w:r>
      <w:r>
        <w:rPr>
          <w:rFonts w:ascii="Arial" w:eastAsia="Arial"/>
        </w:rPr>
        <w:t xml:space="preserve">2-3 </w:t>
      </w:r>
      <w:r>
        <w:rPr>
          <w:spacing w:val="-3"/>
        </w:rPr>
        <w:t>年内较难形成实物量供应。</w:t>
      </w:r>
    </w:p>
    <w:p>
      <w:pPr>
        <w:pStyle w:val="BodyText"/>
        <w:spacing w:before="155" w:line="348" w:lineRule="auto"/>
        <w:ind w:left="2712" w:right="217" w:firstLine="423"/>
      </w:pPr>
      <w:r>
        <w:rPr>
          <w:rFonts w:ascii="Arial" w:eastAsia="Arial"/>
          <w:b/>
        </w:rPr>
        <w:t xml:space="preserve">MP </w:t>
      </w:r>
      <w:r>
        <w:rPr>
          <w:b/>
          <w:spacing w:val="-7"/>
        </w:rPr>
        <w:t xml:space="preserve">和 </w:t>
      </w:r>
      <w:r>
        <w:rPr>
          <w:rFonts w:ascii="Arial" w:eastAsia="Arial"/>
          <w:b/>
          <w:spacing w:val="-3"/>
        </w:rPr>
        <w:t xml:space="preserve">Lynas </w:t>
      </w:r>
      <w:r>
        <w:rPr>
          <w:b/>
          <w:spacing w:val="-1"/>
        </w:rPr>
        <w:t>冶炼分离产能发展迅速。</w:t>
      </w:r>
      <w:r>
        <w:rPr>
          <w:spacing w:val="-3"/>
        </w:rPr>
        <w:t>目前海外主要冶炼分离产能主要由莱纳</w:t>
      </w:r>
      <w:r>
        <w:rPr>
          <w:spacing w:val="-10"/>
        </w:rPr>
        <w:t>斯持有，矿从澳大利亚生产后运送到马来西亚的工厂进一步加工成氧化物，原有产能</w:t>
      </w:r>
      <w:r>
        <w:rPr>
          <w:spacing w:val="-26"/>
        </w:rPr>
        <w:t xml:space="preserve">约 </w:t>
      </w:r>
      <w:r>
        <w:rPr>
          <w:rFonts w:ascii="Arial" w:eastAsia="Arial"/>
        </w:rPr>
        <w:t xml:space="preserve">7200 </w:t>
      </w:r>
      <w:r>
        <w:rPr>
          <w:spacing w:val="-8"/>
        </w:rPr>
        <w:t xml:space="preserve">吨，目前计划在 </w:t>
      </w:r>
      <w:r>
        <w:rPr>
          <w:rFonts w:ascii="Arial" w:eastAsia="Arial"/>
        </w:rPr>
        <w:t xml:space="preserve">2023 </w:t>
      </w:r>
      <w:r>
        <w:rPr>
          <w:spacing w:val="-5"/>
        </w:rPr>
        <w:t xml:space="preserve">年年底开始停产升级，将镨钕产能提升到 </w:t>
      </w:r>
      <w:r>
        <w:rPr>
          <w:rFonts w:ascii="Arial" w:eastAsia="Arial"/>
        </w:rPr>
        <w:t xml:space="preserve">1.05 </w:t>
      </w:r>
      <w:r>
        <w:t>万吨。</w:t>
      </w:r>
      <w:r>
        <w:rPr>
          <w:rFonts w:ascii="Arial" w:eastAsia="Arial"/>
        </w:rPr>
        <w:t>MP</w:t>
      </w:r>
      <w:r>
        <w:rPr>
          <w:rFonts w:ascii="Arial" w:eastAsia="Arial"/>
          <w:spacing w:val="8"/>
        </w:rPr>
        <w:t xml:space="preserve"> </w:t>
      </w:r>
      <w:r>
        <w:rPr>
          <w:spacing w:val="-6"/>
        </w:rPr>
        <w:t>拥有海外最大稀土矿产能，但由于此前的停产冶炼分离产能建设较慢，在美国国</w:t>
      </w:r>
      <w:r>
        <w:rPr>
          <w:spacing w:val="-11"/>
        </w:rPr>
        <w:t xml:space="preserve">防部的支援下 </w:t>
      </w:r>
      <w:r>
        <w:rPr>
          <w:rFonts w:ascii="Arial" w:eastAsia="Arial"/>
        </w:rPr>
        <w:t xml:space="preserve">2023 </w:t>
      </w:r>
      <w:r>
        <w:rPr>
          <w:spacing w:val="-8"/>
        </w:rPr>
        <w:t xml:space="preserve">年第三季度首次生产出 </w:t>
      </w:r>
      <w:r>
        <w:rPr>
          <w:rFonts w:ascii="Arial" w:eastAsia="Arial"/>
        </w:rPr>
        <w:t xml:space="preserve">50 </w:t>
      </w:r>
      <w:r>
        <w:rPr>
          <w:spacing w:val="-3"/>
        </w:rPr>
        <w:t>吨镨钕产品。</w:t>
      </w:r>
    </w:p>
    <w:p>
      <w:pPr>
        <w:spacing w:before="147"/>
        <w:ind w:left="307" w:right="0" w:firstLine="0"/>
        <w:jc w:val="left"/>
        <w:rPr>
          <w:b/>
          <w:i/>
          <w:sz w:val="22"/>
        </w:rPr>
      </w:pPr>
      <w:r>
        <w:pict>
          <v:group id="_x0000_s1337" style="width:511.1pt;height:1pt;margin-top:26.27pt;margin-left:42.24pt;mso-position-horizontal-relative:page;position:absolute;z-index:251778048" coordorigin="845,525" coordsize="10222,20">
            <v:line id="_x0000_s1338" style="position:absolute" from="852,540" to="11059,540" stroked="t" strokecolor="#013e96" strokeweight="0.48pt">
              <v:stroke dashstyle="solid"/>
            </v:line>
            <v:line id="_x0000_s1339" style="position:absolute" from="845,530" to="11066,530" stroked="t" strokecolor="#013e96" strokeweight="0.48pt">
              <v:stroke dashstyle="solid"/>
            </v:line>
          </v:group>
        </w:pict>
      </w:r>
      <w:r>
        <w:rPr>
          <w:b/>
          <w:i/>
          <w:sz w:val="22"/>
        </w:rPr>
        <w:t xml:space="preserve">图表 </w:t>
      </w:r>
      <w:r>
        <w:rPr>
          <w:rFonts w:ascii="Arial" w:eastAsia="Arial"/>
          <w:b/>
          <w:i/>
          <w:sz w:val="21"/>
        </w:rPr>
        <w:t>25</w:t>
      </w:r>
      <w:r>
        <w:rPr>
          <w:b/>
          <w:i/>
          <w:sz w:val="22"/>
        </w:rPr>
        <w:t xml:space="preserve">：海外主要稀土项目梳理（吨 </w:t>
      </w:r>
      <w:r>
        <w:rPr>
          <w:rFonts w:ascii="Arial" w:eastAsia="Arial"/>
          <w:b/>
          <w:i/>
          <w:sz w:val="21"/>
        </w:rPr>
        <w:t>REO</w:t>
      </w:r>
      <w:r>
        <w:rPr>
          <w:b/>
          <w:i/>
          <w:sz w:val="22"/>
        </w:rPr>
        <w:t>）</w:t>
      </w:r>
    </w:p>
    <w:p>
      <w:pPr>
        <w:pStyle w:val="BodyText"/>
        <w:spacing w:before="4"/>
        <w:rPr>
          <w:b/>
          <w:i/>
          <w:sz w:val="8"/>
        </w:rPr>
      </w:pPr>
    </w:p>
    <w:tbl>
      <w:tblPr>
        <w:tblStyle w:val="TableNormal9"/>
        <w:tblW w:w="0" w:type="auto"/>
        <w:jc w:val="left"/>
        <w:tblInd w:w="3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16"/>
        <w:gridCol w:w="1428"/>
        <w:gridCol w:w="1985"/>
        <w:gridCol w:w="871"/>
        <w:gridCol w:w="4690"/>
      </w:tblGrid>
      <w:tr>
        <w:tblPrEx>
          <w:tblW w:w="0" w:type="auto"/>
          <w:jc w:val="left"/>
          <w:tblInd w:w="3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00"/>
          <w:jc w:val="left"/>
        </w:trPr>
        <w:tc>
          <w:tcPr>
            <w:tcW w:w="1016" w:type="dxa"/>
            <w:tcBorders>
              <w:top w:val="nil"/>
              <w:left w:val="nil"/>
              <w:right w:val="nil"/>
            </w:tcBorders>
            <w:shd w:val="clear" w:color="auto" w:fill="4774CA"/>
          </w:tcPr>
          <w:p>
            <w:pPr>
              <w:pStyle w:val="TableParagraph"/>
              <w:spacing w:before="101"/>
              <w:ind w:left="334" w:right="322"/>
              <w:jc w:val="center"/>
              <w:rPr>
                <w:sz w:val="16"/>
              </w:rPr>
            </w:pPr>
            <w:r>
              <w:rPr>
                <w:color w:val="FFFFFF"/>
                <w:sz w:val="16"/>
              </w:rPr>
              <w:t>国家</w:t>
            </w:r>
          </w:p>
        </w:tc>
        <w:tc>
          <w:tcPr>
            <w:tcW w:w="1428" w:type="dxa"/>
            <w:tcBorders>
              <w:top w:val="nil"/>
              <w:left w:val="nil"/>
              <w:right w:val="nil"/>
            </w:tcBorders>
            <w:shd w:val="clear" w:color="auto" w:fill="4774CA"/>
          </w:tcPr>
          <w:p>
            <w:pPr>
              <w:pStyle w:val="TableParagraph"/>
              <w:spacing w:before="101"/>
              <w:ind w:left="537" w:right="531"/>
              <w:jc w:val="center"/>
              <w:rPr>
                <w:sz w:val="16"/>
              </w:rPr>
            </w:pPr>
            <w:r>
              <w:rPr>
                <w:color w:val="FFFFFF"/>
                <w:sz w:val="16"/>
              </w:rPr>
              <w:t>项目</w:t>
            </w:r>
          </w:p>
        </w:tc>
        <w:tc>
          <w:tcPr>
            <w:tcW w:w="1985" w:type="dxa"/>
            <w:tcBorders>
              <w:top w:val="nil"/>
              <w:left w:val="nil"/>
              <w:right w:val="nil"/>
            </w:tcBorders>
            <w:shd w:val="clear" w:color="auto" w:fill="4774CA"/>
          </w:tcPr>
          <w:p>
            <w:pPr>
              <w:pStyle w:val="TableParagraph"/>
              <w:spacing w:before="101"/>
              <w:ind w:left="656" w:right="649"/>
              <w:jc w:val="center"/>
              <w:rPr>
                <w:sz w:val="16"/>
              </w:rPr>
            </w:pPr>
            <w:r>
              <w:rPr>
                <w:color w:val="FFFFFF"/>
                <w:sz w:val="16"/>
              </w:rPr>
              <w:t>运营公司</w:t>
            </w:r>
          </w:p>
        </w:tc>
        <w:tc>
          <w:tcPr>
            <w:tcW w:w="871" w:type="dxa"/>
            <w:tcBorders>
              <w:top w:val="nil"/>
              <w:left w:val="nil"/>
              <w:right w:val="nil"/>
            </w:tcBorders>
            <w:shd w:val="clear" w:color="auto" w:fill="4774CA"/>
          </w:tcPr>
          <w:p>
            <w:pPr>
              <w:pStyle w:val="TableParagraph"/>
              <w:spacing w:before="101"/>
              <w:ind w:left="178" w:right="171"/>
              <w:jc w:val="center"/>
              <w:rPr>
                <w:sz w:val="16"/>
              </w:rPr>
            </w:pPr>
            <w:r>
              <w:rPr>
                <w:color w:val="FFFFFF"/>
                <w:sz w:val="16"/>
              </w:rPr>
              <w:t>产能</w:t>
            </w:r>
          </w:p>
        </w:tc>
        <w:tc>
          <w:tcPr>
            <w:tcW w:w="4690" w:type="dxa"/>
            <w:tcBorders>
              <w:top w:val="nil"/>
              <w:left w:val="nil"/>
              <w:right w:val="nil"/>
            </w:tcBorders>
            <w:shd w:val="clear" w:color="auto" w:fill="4774CA"/>
          </w:tcPr>
          <w:p>
            <w:pPr>
              <w:pStyle w:val="TableParagraph"/>
              <w:spacing w:before="101"/>
              <w:ind w:left="2167" w:right="2162"/>
              <w:jc w:val="center"/>
              <w:rPr>
                <w:sz w:val="16"/>
              </w:rPr>
            </w:pPr>
            <w:r>
              <w:rPr>
                <w:color w:val="FFFFFF"/>
                <w:sz w:val="16"/>
              </w:rPr>
              <w:t>状态</w:t>
            </w:r>
          </w:p>
        </w:tc>
      </w:tr>
      <w:tr>
        <w:tblPrEx>
          <w:tblW w:w="0" w:type="auto"/>
          <w:jc w:val="left"/>
          <w:tblInd w:w="307" w:type="dxa"/>
          <w:tblLayout w:type="fixed"/>
          <w:tblCellMar>
            <w:top w:w="0" w:type="dxa"/>
            <w:left w:w="0" w:type="dxa"/>
            <w:bottom w:w="0" w:type="dxa"/>
            <w:right w:w="0" w:type="dxa"/>
          </w:tblCellMar>
          <w:tblLook w:val="01E0"/>
        </w:tblPrEx>
        <w:trPr>
          <w:trHeight w:val="935"/>
          <w:jc w:val="left"/>
        </w:trPr>
        <w:tc>
          <w:tcPr>
            <w:tcW w:w="1016" w:type="dxa"/>
          </w:tcPr>
          <w:p>
            <w:pPr>
              <w:pStyle w:val="TableParagraph"/>
              <w:rPr>
                <w:b/>
                <w:i/>
                <w:sz w:val="16"/>
              </w:rPr>
            </w:pPr>
          </w:p>
          <w:p>
            <w:pPr>
              <w:pStyle w:val="TableParagraph"/>
              <w:spacing w:before="6"/>
              <w:rPr>
                <w:b/>
                <w:i/>
                <w:sz w:val="12"/>
              </w:rPr>
            </w:pPr>
          </w:p>
          <w:p>
            <w:pPr>
              <w:pStyle w:val="TableParagraph"/>
              <w:ind w:left="168" w:right="156"/>
              <w:jc w:val="center"/>
              <w:rPr>
                <w:sz w:val="16"/>
              </w:rPr>
            </w:pPr>
            <w:r>
              <w:rPr>
                <w:sz w:val="16"/>
              </w:rPr>
              <w:t>美国</w:t>
            </w:r>
          </w:p>
        </w:tc>
        <w:tc>
          <w:tcPr>
            <w:tcW w:w="1428" w:type="dxa"/>
          </w:tcPr>
          <w:p>
            <w:pPr>
              <w:pStyle w:val="TableParagraph"/>
              <w:rPr>
                <w:b/>
                <w:i/>
                <w:sz w:val="16"/>
              </w:rPr>
            </w:pPr>
          </w:p>
          <w:p>
            <w:pPr>
              <w:pStyle w:val="TableParagraph"/>
              <w:spacing w:before="6"/>
              <w:rPr>
                <w:b/>
                <w:i/>
                <w:sz w:val="12"/>
              </w:rPr>
            </w:pPr>
          </w:p>
          <w:p>
            <w:pPr>
              <w:pStyle w:val="TableParagraph"/>
              <w:ind w:right="225"/>
              <w:jc w:val="right"/>
              <w:rPr>
                <w:sz w:val="16"/>
              </w:rPr>
            </w:pPr>
            <w:r>
              <w:rPr>
                <w:sz w:val="16"/>
              </w:rPr>
              <w:t>Moutain Pass</w:t>
            </w:r>
          </w:p>
        </w:tc>
        <w:tc>
          <w:tcPr>
            <w:tcW w:w="1985" w:type="dxa"/>
          </w:tcPr>
          <w:p>
            <w:pPr>
              <w:pStyle w:val="TableParagraph"/>
              <w:rPr>
                <w:b/>
                <w:i/>
                <w:sz w:val="16"/>
              </w:rPr>
            </w:pPr>
          </w:p>
          <w:p>
            <w:pPr>
              <w:pStyle w:val="TableParagraph"/>
              <w:spacing w:before="6"/>
              <w:rPr>
                <w:b/>
                <w:i/>
                <w:sz w:val="12"/>
              </w:rPr>
            </w:pPr>
          </w:p>
          <w:p>
            <w:pPr>
              <w:pStyle w:val="TableParagraph"/>
              <w:ind w:left="88" w:right="83"/>
              <w:jc w:val="center"/>
              <w:rPr>
                <w:sz w:val="16"/>
              </w:rPr>
            </w:pPr>
            <w:r>
              <w:rPr>
                <w:sz w:val="16"/>
              </w:rPr>
              <w:t>MPMO 公司</w:t>
            </w:r>
          </w:p>
        </w:tc>
        <w:tc>
          <w:tcPr>
            <w:tcW w:w="871" w:type="dxa"/>
            <w:tcBorders>
              <w:right w:val="single" w:sz="6" w:space="0" w:color="000000"/>
            </w:tcBorders>
          </w:tcPr>
          <w:p>
            <w:pPr>
              <w:pStyle w:val="TableParagraph"/>
              <w:rPr>
                <w:b/>
                <w:i/>
                <w:sz w:val="16"/>
              </w:rPr>
            </w:pPr>
          </w:p>
          <w:p>
            <w:pPr>
              <w:pStyle w:val="TableParagraph"/>
              <w:spacing w:before="6"/>
              <w:rPr>
                <w:b/>
                <w:i/>
                <w:sz w:val="12"/>
              </w:rPr>
            </w:pPr>
          </w:p>
          <w:p>
            <w:pPr>
              <w:pStyle w:val="TableParagraph"/>
              <w:ind w:left="90" w:right="84"/>
              <w:jc w:val="center"/>
              <w:rPr>
                <w:sz w:val="16"/>
              </w:rPr>
            </w:pPr>
            <w:r>
              <w:rPr>
                <w:sz w:val="16"/>
              </w:rPr>
              <w:t>40,000</w:t>
            </w:r>
          </w:p>
        </w:tc>
        <w:tc>
          <w:tcPr>
            <w:tcW w:w="4690" w:type="dxa"/>
            <w:tcBorders>
              <w:left w:val="single" w:sz="6" w:space="0" w:color="000000"/>
            </w:tcBorders>
          </w:tcPr>
          <w:p>
            <w:pPr>
              <w:pStyle w:val="TableParagraph"/>
              <w:spacing w:before="53"/>
              <w:ind w:left="103"/>
              <w:rPr>
                <w:sz w:val="16"/>
              </w:rPr>
            </w:pPr>
            <w:r>
              <w:rPr>
                <w:sz w:val="16"/>
              </w:rPr>
              <w:t>已达产，可年产 4.3 万吨 REO，已经可以独立生产镨钕。23Q3</w:t>
            </w:r>
          </w:p>
          <w:p>
            <w:pPr>
              <w:pStyle w:val="TableParagraph"/>
              <w:spacing w:before="2" w:line="310" w:lineRule="atLeast"/>
              <w:ind w:left="103" w:right="130"/>
              <w:rPr>
                <w:sz w:val="16"/>
              </w:rPr>
            </w:pPr>
            <w:r>
              <w:rPr>
                <w:spacing w:val="-6"/>
                <w:sz w:val="16"/>
              </w:rPr>
              <w:t xml:space="preserve">宣布实施 “上游 </w:t>
            </w:r>
            <w:r>
              <w:rPr>
                <w:sz w:val="16"/>
              </w:rPr>
              <w:t>60K</w:t>
            </w:r>
            <w:r>
              <w:rPr>
                <w:spacing w:val="-5"/>
                <w:sz w:val="16"/>
              </w:rPr>
              <w:t xml:space="preserve">” 扩产战略，预计未来四年内项目 </w:t>
            </w:r>
            <w:r>
              <w:rPr>
                <w:sz w:val="16"/>
              </w:rPr>
              <w:t>REO</w:t>
            </w:r>
            <w:r>
              <w:rPr>
                <w:spacing w:val="-18"/>
                <w:sz w:val="16"/>
              </w:rPr>
              <w:t xml:space="preserve"> 产</w:t>
            </w:r>
            <w:r>
              <w:rPr>
                <w:spacing w:val="-17"/>
                <w:sz w:val="16"/>
              </w:rPr>
              <w:t xml:space="preserve">量将达到 </w:t>
            </w:r>
            <w:r>
              <w:rPr>
                <w:sz w:val="16"/>
              </w:rPr>
              <w:t>6</w:t>
            </w:r>
            <w:r>
              <w:rPr>
                <w:spacing w:val="-11"/>
                <w:sz w:val="16"/>
              </w:rPr>
              <w:t xml:space="preserve"> 万吨。</w:t>
            </w:r>
          </w:p>
        </w:tc>
      </w:tr>
      <w:tr>
        <w:tblPrEx>
          <w:tblW w:w="0" w:type="auto"/>
          <w:jc w:val="left"/>
          <w:tblInd w:w="307" w:type="dxa"/>
          <w:tblLayout w:type="fixed"/>
          <w:tblCellMar>
            <w:top w:w="0" w:type="dxa"/>
            <w:left w:w="0" w:type="dxa"/>
            <w:bottom w:w="0" w:type="dxa"/>
            <w:right w:w="0" w:type="dxa"/>
          </w:tblCellMar>
          <w:tblLook w:val="01E0"/>
        </w:tblPrEx>
        <w:trPr>
          <w:trHeight w:val="311"/>
          <w:jc w:val="left"/>
        </w:trPr>
        <w:tc>
          <w:tcPr>
            <w:tcW w:w="1016" w:type="dxa"/>
          </w:tcPr>
          <w:p>
            <w:pPr>
              <w:pStyle w:val="TableParagraph"/>
              <w:spacing w:before="53"/>
              <w:ind w:left="168" w:right="157"/>
              <w:jc w:val="center"/>
              <w:rPr>
                <w:sz w:val="16"/>
              </w:rPr>
            </w:pPr>
            <w:r>
              <w:rPr>
                <w:sz w:val="16"/>
              </w:rPr>
              <w:t>澳大利亚</w:t>
            </w:r>
          </w:p>
        </w:tc>
        <w:tc>
          <w:tcPr>
            <w:tcW w:w="1428" w:type="dxa"/>
          </w:tcPr>
          <w:p>
            <w:pPr>
              <w:pStyle w:val="TableParagraph"/>
              <w:spacing w:before="53"/>
              <w:ind w:right="304"/>
              <w:jc w:val="right"/>
              <w:rPr>
                <w:sz w:val="16"/>
              </w:rPr>
            </w:pPr>
            <w:r>
              <w:rPr>
                <w:sz w:val="16"/>
              </w:rPr>
              <w:t>Mount Weld</w:t>
            </w:r>
          </w:p>
        </w:tc>
        <w:tc>
          <w:tcPr>
            <w:tcW w:w="1985" w:type="dxa"/>
          </w:tcPr>
          <w:p>
            <w:pPr>
              <w:pStyle w:val="TableParagraph"/>
              <w:spacing w:before="53"/>
              <w:ind w:left="90" w:right="83"/>
              <w:jc w:val="center"/>
              <w:rPr>
                <w:sz w:val="16"/>
              </w:rPr>
            </w:pPr>
            <w:r>
              <w:rPr>
                <w:sz w:val="16"/>
              </w:rPr>
              <w:t>莱纳斯公司</w:t>
            </w:r>
          </w:p>
        </w:tc>
        <w:tc>
          <w:tcPr>
            <w:tcW w:w="871" w:type="dxa"/>
            <w:tcBorders>
              <w:right w:val="single" w:sz="6" w:space="0" w:color="000000"/>
            </w:tcBorders>
          </w:tcPr>
          <w:p>
            <w:pPr>
              <w:pStyle w:val="TableParagraph"/>
              <w:spacing w:before="53"/>
              <w:ind w:left="90" w:right="84"/>
              <w:jc w:val="center"/>
              <w:rPr>
                <w:sz w:val="16"/>
              </w:rPr>
            </w:pPr>
            <w:r>
              <w:rPr>
                <w:sz w:val="16"/>
              </w:rPr>
              <w:t>26,500</w:t>
            </w:r>
          </w:p>
        </w:tc>
        <w:tc>
          <w:tcPr>
            <w:tcW w:w="4690" w:type="dxa"/>
            <w:tcBorders>
              <w:left w:val="single" w:sz="6" w:space="0" w:color="000000"/>
            </w:tcBorders>
          </w:tcPr>
          <w:p>
            <w:pPr>
              <w:pStyle w:val="TableParagraph"/>
              <w:spacing w:before="53"/>
              <w:ind w:left="103"/>
              <w:rPr>
                <w:sz w:val="16"/>
              </w:rPr>
            </w:pPr>
            <w:r>
              <w:rPr>
                <w:sz w:val="16"/>
              </w:rPr>
              <w:t>已投产，无法达产，计划未来原矿可以满足 1.2 万吨镨钕产能</w:t>
            </w:r>
          </w:p>
        </w:tc>
      </w:tr>
      <w:tr>
        <w:tblPrEx>
          <w:tblW w:w="0" w:type="auto"/>
          <w:jc w:val="left"/>
          <w:tblInd w:w="307" w:type="dxa"/>
          <w:tblLayout w:type="fixed"/>
          <w:tblCellMar>
            <w:top w:w="0" w:type="dxa"/>
            <w:left w:w="0" w:type="dxa"/>
            <w:bottom w:w="0" w:type="dxa"/>
            <w:right w:w="0" w:type="dxa"/>
          </w:tblCellMar>
          <w:tblLook w:val="01E0"/>
        </w:tblPrEx>
        <w:trPr>
          <w:trHeight w:val="311"/>
          <w:jc w:val="left"/>
        </w:trPr>
        <w:tc>
          <w:tcPr>
            <w:tcW w:w="1016" w:type="dxa"/>
          </w:tcPr>
          <w:p>
            <w:pPr>
              <w:pStyle w:val="TableParagraph"/>
              <w:spacing w:before="53"/>
              <w:ind w:left="166" w:right="157"/>
              <w:jc w:val="center"/>
              <w:rPr>
                <w:sz w:val="16"/>
              </w:rPr>
            </w:pPr>
            <w:r>
              <w:rPr>
                <w:sz w:val="16"/>
              </w:rPr>
              <w:t>布隆迪</w:t>
            </w:r>
          </w:p>
        </w:tc>
        <w:tc>
          <w:tcPr>
            <w:tcW w:w="1428" w:type="dxa"/>
          </w:tcPr>
          <w:p>
            <w:pPr>
              <w:pStyle w:val="TableParagraph"/>
              <w:spacing w:before="53"/>
              <w:ind w:left="469"/>
              <w:rPr>
                <w:sz w:val="16"/>
              </w:rPr>
            </w:pPr>
            <w:r>
              <w:rPr>
                <w:sz w:val="16"/>
              </w:rPr>
              <w:t>Gakara</w:t>
            </w:r>
          </w:p>
        </w:tc>
        <w:tc>
          <w:tcPr>
            <w:tcW w:w="1985" w:type="dxa"/>
          </w:tcPr>
          <w:p>
            <w:pPr>
              <w:pStyle w:val="TableParagraph"/>
              <w:spacing w:before="53"/>
              <w:ind w:left="90" w:right="83"/>
              <w:jc w:val="center"/>
              <w:rPr>
                <w:sz w:val="16"/>
              </w:rPr>
            </w:pPr>
            <w:r>
              <w:rPr>
                <w:sz w:val="16"/>
              </w:rPr>
              <w:t>彩虹公司</w:t>
            </w:r>
          </w:p>
        </w:tc>
        <w:tc>
          <w:tcPr>
            <w:tcW w:w="871" w:type="dxa"/>
            <w:tcBorders>
              <w:right w:val="single" w:sz="6" w:space="0" w:color="000000"/>
            </w:tcBorders>
          </w:tcPr>
          <w:p>
            <w:pPr>
              <w:pStyle w:val="TableParagraph"/>
              <w:spacing w:before="53"/>
              <w:ind w:left="92" w:right="84"/>
              <w:jc w:val="center"/>
              <w:rPr>
                <w:sz w:val="16"/>
              </w:rPr>
            </w:pPr>
            <w:r>
              <w:rPr>
                <w:sz w:val="16"/>
              </w:rPr>
              <w:t>5,000</w:t>
            </w:r>
          </w:p>
        </w:tc>
        <w:tc>
          <w:tcPr>
            <w:tcW w:w="4690" w:type="dxa"/>
            <w:tcBorders>
              <w:left w:val="single" w:sz="6" w:space="0" w:color="000000"/>
            </w:tcBorders>
          </w:tcPr>
          <w:p>
            <w:pPr>
              <w:pStyle w:val="TableParagraph"/>
              <w:spacing w:before="53"/>
              <w:ind w:left="103"/>
              <w:rPr>
                <w:sz w:val="16"/>
              </w:rPr>
            </w:pPr>
            <w:r>
              <w:rPr>
                <w:sz w:val="16"/>
              </w:rPr>
              <w:t>非洲唯一在产稀土矿</w:t>
            </w:r>
          </w:p>
        </w:tc>
      </w:tr>
      <w:tr>
        <w:tblPrEx>
          <w:tblW w:w="0" w:type="auto"/>
          <w:jc w:val="left"/>
          <w:tblInd w:w="307" w:type="dxa"/>
          <w:tblLayout w:type="fixed"/>
          <w:tblCellMar>
            <w:top w:w="0" w:type="dxa"/>
            <w:left w:w="0" w:type="dxa"/>
            <w:bottom w:w="0" w:type="dxa"/>
            <w:right w:w="0" w:type="dxa"/>
          </w:tblCellMar>
          <w:tblLook w:val="01E0"/>
        </w:tblPrEx>
        <w:trPr>
          <w:trHeight w:val="623"/>
          <w:jc w:val="left"/>
        </w:trPr>
        <w:tc>
          <w:tcPr>
            <w:tcW w:w="1016" w:type="dxa"/>
          </w:tcPr>
          <w:p>
            <w:pPr>
              <w:pStyle w:val="TableParagraph"/>
              <w:spacing w:before="4"/>
              <w:rPr>
                <w:b/>
                <w:i/>
                <w:sz w:val="16"/>
              </w:rPr>
            </w:pPr>
          </w:p>
          <w:p>
            <w:pPr>
              <w:pStyle w:val="TableParagraph"/>
              <w:ind w:left="166" w:right="157"/>
              <w:jc w:val="center"/>
              <w:rPr>
                <w:sz w:val="16"/>
              </w:rPr>
            </w:pPr>
            <w:r>
              <w:rPr>
                <w:sz w:val="16"/>
              </w:rPr>
              <w:t>加拿大</w:t>
            </w:r>
          </w:p>
        </w:tc>
        <w:tc>
          <w:tcPr>
            <w:tcW w:w="1428" w:type="dxa"/>
          </w:tcPr>
          <w:p>
            <w:pPr>
              <w:pStyle w:val="TableParagraph"/>
              <w:spacing w:before="4"/>
              <w:rPr>
                <w:b/>
                <w:i/>
                <w:sz w:val="16"/>
              </w:rPr>
            </w:pPr>
          </w:p>
          <w:p>
            <w:pPr>
              <w:pStyle w:val="TableParagraph"/>
              <w:ind w:right="304"/>
              <w:jc w:val="right"/>
              <w:rPr>
                <w:sz w:val="16"/>
              </w:rPr>
            </w:pPr>
            <w:r>
              <w:rPr>
                <w:sz w:val="16"/>
              </w:rPr>
              <w:t>Nechalacho</w:t>
            </w:r>
          </w:p>
        </w:tc>
        <w:tc>
          <w:tcPr>
            <w:tcW w:w="1985" w:type="dxa"/>
          </w:tcPr>
          <w:p>
            <w:pPr>
              <w:pStyle w:val="TableParagraph"/>
              <w:spacing w:before="4"/>
              <w:rPr>
                <w:b/>
                <w:i/>
                <w:sz w:val="16"/>
              </w:rPr>
            </w:pPr>
          </w:p>
          <w:p>
            <w:pPr>
              <w:pStyle w:val="TableParagraph"/>
              <w:ind w:left="140" w:right="52"/>
              <w:jc w:val="center"/>
              <w:rPr>
                <w:sz w:val="16"/>
              </w:rPr>
            </w:pPr>
            <w:r>
              <w:rPr>
                <w:sz w:val="16"/>
              </w:rPr>
              <w:t>Vital Metals/盛和资源</w:t>
            </w:r>
          </w:p>
        </w:tc>
        <w:tc>
          <w:tcPr>
            <w:tcW w:w="871" w:type="dxa"/>
            <w:tcBorders>
              <w:right w:val="single" w:sz="6" w:space="0" w:color="000000"/>
            </w:tcBorders>
          </w:tcPr>
          <w:p>
            <w:pPr>
              <w:pStyle w:val="TableParagraph"/>
              <w:spacing w:before="4"/>
              <w:rPr>
                <w:b/>
                <w:i/>
                <w:sz w:val="16"/>
              </w:rPr>
            </w:pPr>
          </w:p>
          <w:p>
            <w:pPr>
              <w:pStyle w:val="TableParagraph"/>
              <w:ind w:left="8"/>
              <w:jc w:val="center"/>
              <w:rPr>
                <w:sz w:val="16"/>
              </w:rPr>
            </w:pPr>
            <w:r>
              <w:rPr>
                <w:w w:val="100"/>
                <w:sz w:val="16"/>
              </w:rPr>
              <w:t>-</w:t>
            </w:r>
          </w:p>
        </w:tc>
        <w:tc>
          <w:tcPr>
            <w:tcW w:w="4690" w:type="dxa"/>
            <w:tcBorders>
              <w:left w:val="single" w:sz="6" w:space="0" w:color="000000"/>
            </w:tcBorders>
          </w:tcPr>
          <w:p>
            <w:pPr>
              <w:pStyle w:val="TableParagraph"/>
              <w:spacing w:before="53"/>
              <w:ind w:left="103"/>
              <w:rPr>
                <w:sz w:val="16"/>
              </w:rPr>
            </w:pPr>
            <w:r>
              <w:rPr>
                <w:spacing w:val="38"/>
                <w:sz w:val="16"/>
              </w:rPr>
              <w:t>北</w:t>
            </w:r>
            <w:r>
              <w:rPr>
                <w:sz w:val="16"/>
              </w:rPr>
              <w:t>T</w:t>
            </w:r>
            <w:r>
              <w:rPr>
                <w:spacing w:val="-21"/>
                <w:sz w:val="16"/>
              </w:rPr>
              <w:t xml:space="preserve"> 矿区 </w:t>
            </w:r>
            <w:r>
              <w:rPr>
                <w:sz w:val="16"/>
              </w:rPr>
              <w:t>2021</w:t>
            </w:r>
            <w:r>
              <w:rPr>
                <w:spacing w:val="-27"/>
                <w:sz w:val="16"/>
              </w:rPr>
              <w:t xml:space="preserve"> 年 </w:t>
            </w:r>
            <w:r>
              <w:rPr>
                <w:sz w:val="16"/>
              </w:rPr>
              <w:t>6</w:t>
            </w:r>
            <w:r>
              <w:rPr>
                <w:spacing w:val="-8"/>
                <w:sz w:val="16"/>
              </w:rPr>
              <w:t xml:space="preserve"> 月开始生产，</w:t>
            </w:r>
            <w:r>
              <w:rPr>
                <w:sz w:val="16"/>
              </w:rPr>
              <w:t>2022</w:t>
            </w:r>
            <w:r>
              <w:rPr>
                <w:spacing w:val="-27"/>
                <w:sz w:val="16"/>
              </w:rPr>
              <w:t xml:space="preserve"> 年 </w:t>
            </w:r>
            <w:r>
              <w:rPr>
                <w:sz w:val="16"/>
              </w:rPr>
              <w:t>6</w:t>
            </w:r>
            <w:r>
              <w:rPr>
                <w:spacing w:val="-28"/>
                <w:sz w:val="16"/>
              </w:rPr>
              <w:t xml:space="preserve"> 月 </w:t>
            </w:r>
            <w:r>
              <w:rPr>
                <w:sz w:val="16"/>
              </w:rPr>
              <w:t>30</w:t>
            </w:r>
            <w:r>
              <w:rPr>
                <w:spacing w:val="-8"/>
                <w:sz w:val="16"/>
              </w:rPr>
              <w:t xml:space="preserve"> 日后没有开展</w:t>
            </w:r>
          </w:p>
          <w:p>
            <w:pPr>
              <w:pStyle w:val="TableParagraph"/>
              <w:spacing w:before="107"/>
              <w:ind w:left="103"/>
              <w:rPr>
                <w:sz w:val="16"/>
              </w:rPr>
            </w:pPr>
            <w:r>
              <w:rPr>
                <w:sz w:val="16"/>
              </w:rPr>
              <w:t>采矿活动，累计产出稀土精矿约 2000 吨。</w:t>
            </w:r>
          </w:p>
        </w:tc>
      </w:tr>
      <w:tr>
        <w:tblPrEx>
          <w:tblW w:w="0" w:type="auto"/>
          <w:jc w:val="left"/>
          <w:tblInd w:w="307" w:type="dxa"/>
          <w:tblLayout w:type="fixed"/>
          <w:tblCellMar>
            <w:top w:w="0" w:type="dxa"/>
            <w:left w:w="0" w:type="dxa"/>
            <w:bottom w:w="0" w:type="dxa"/>
            <w:right w:w="0" w:type="dxa"/>
          </w:tblCellMar>
          <w:tblLook w:val="01E0"/>
        </w:tblPrEx>
        <w:trPr>
          <w:trHeight w:val="938"/>
          <w:jc w:val="left"/>
        </w:trPr>
        <w:tc>
          <w:tcPr>
            <w:tcW w:w="1016" w:type="dxa"/>
          </w:tcPr>
          <w:p>
            <w:pPr>
              <w:pStyle w:val="TableParagraph"/>
              <w:rPr>
                <w:b/>
                <w:i/>
                <w:sz w:val="16"/>
              </w:rPr>
            </w:pPr>
          </w:p>
          <w:p>
            <w:pPr>
              <w:pStyle w:val="TableParagraph"/>
              <w:spacing w:before="9"/>
              <w:rPr>
                <w:b/>
                <w:i/>
                <w:sz w:val="12"/>
              </w:rPr>
            </w:pPr>
          </w:p>
          <w:p>
            <w:pPr>
              <w:pStyle w:val="TableParagraph"/>
              <w:ind w:left="168" w:right="156"/>
              <w:jc w:val="center"/>
              <w:rPr>
                <w:sz w:val="16"/>
              </w:rPr>
            </w:pPr>
            <w:r>
              <w:rPr>
                <w:sz w:val="16"/>
              </w:rPr>
              <w:t>印度</w:t>
            </w:r>
          </w:p>
        </w:tc>
        <w:tc>
          <w:tcPr>
            <w:tcW w:w="1428" w:type="dxa"/>
          </w:tcPr>
          <w:p>
            <w:pPr>
              <w:pStyle w:val="TableParagraph"/>
              <w:rPr>
                <w:b/>
                <w:i/>
                <w:sz w:val="16"/>
              </w:rPr>
            </w:pPr>
          </w:p>
          <w:p>
            <w:pPr>
              <w:pStyle w:val="TableParagraph"/>
              <w:spacing w:before="9"/>
              <w:rPr>
                <w:b/>
                <w:i/>
                <w:sz w:val="12"/>
              </w:rPr>
            </w:pPr>
          </w:p>
          <w:p>
            <w:pPr>
              <w:pStyle w:val="TableParagraph"/>
              <w:ind w:left="5"/>
              <w:jc w:val="center"/>
              <w:rPr>
                <w:sz w:val="16"/>
              </w:rPr>
            </w:pPr>
            <w:r>
              <w:rPr>
                <w:w w:val="100"/>
                <w:sz w:val="16"/>
              </w:rPr>
              <w:t>/</w:t>
            </w:r>
          </w:p>
        </w:tc>
        <w:tc>
          <w:tcPr>
            <w:tcW w:w="1985" w:type="dxa"/>
          </w:tcPr>
          <w:p>
            <w:pPr>
              <w:pStyle w:val="TableParagraph"/>
              <w:rPr>
                <w:b/>
                <w:i/>
                <w:sz w:val="16"/>
              </w:rPr>
            </w:pPr>
          </w:p>
          <w:p>
            <w:pPr>
              <w:pStyle w:val="TableParagraph"/>
              <w:spacing w:before="9"/>
              <w:rPr>
                <w:b/>
                <w:i/>
                <w:sz w:val="12"/>
              </w:rPr>
            </w:pPr>
          </w:p>
          <w:p>
            <w:pPr>
              <w:pStyle w:val="TableParagraph"/>
              <w:ind w:left="89" w:right="83"/>
              <w:jc w:val="center"/>
              <w:rPr>
                <w:sz w:val="16"/>
              </w:rPr>
            </w:pPr>
            <w:r>
              <w:rPr>
                <w:sz w:val="16"/>
              </w:rPr>
              <w:t>印度IREL</w:t>
            </w:r>
          </w:p>
        </w:tc>
        <w:tc>
          <w:tcPr>
            <w:tcW w:w="871" w:type="dxa"/>
            <w:tcBorders>
              <w:right w:val="single" w:sz="6" w:space="0" w:color="000000"/>
            </w:tcBorders>
          </w:tcPr>
          <w:p>
            <w:pPr>
              <w:pStyle w:val="TableParagraph"/>
              <w:rPr>
                <w:b/>
                <w:i/>
                <w:sz w:val="16"/>
              </w:rPr>
            </w:pPr>
          </w:p>
          <w:p>
            <w:pPr>
              <w:pStyle w:val="TableParagraph"/>
              <w:spacing w:before="9"/>
              <w:rPr>
                <w:b/>
                <w:i/>
                <w:sz w:val="12"/>
              </w:rPr>
            </w:pPr>
          </w:p>
          <w:p>
            <w:pPr>
              <w:pStyle w:val="TableParagraph"/>
              <w:ind w:left="92" w:right="84"/>
              <w:jc w:val="center"/>
              <w:rPr>
                <w:sz w:val="16"/>
              </w:rPr>
            </w:pPr>
            <w:r>
              <w:rPr>
                <w:sz w:val="16"/>
              </w:rPr>
              <w:t>5,000</w:t>
            </w:r>
          </w:p>
        </w:tc>
        <w:tc>
          <w:tcPr>
            <w:tcW w:w="4690" w:type="dxa"/>
            <w:tcBorders>
              <w:left w:val="single" w:sz="6" w:space="0" w:color="000000"/>
            </w:tcBorders>
          </w:tcPr>
          <w:p>
            <w:pPr>
              <w:pStyle w:val="TableParagraph"/>
              <w:spacing w:before="55"/>
              <w:ind w:left="103"/>
              <w:rPr>
                <w:sz w:val="16"/>
              </w:rPr>
            </w:pPr>
            <w:r>
              <w:rPr>
                <w:sz w:val="16"/>
              </w:rPr>
              <w:t>该公司计划在 2032 年年底前每年开采 5,000 万吨含稀土矿石，</w:t>
            </w:r>
          </w:p>
          <w:p>
            <w:pPr>
              <w:pStyle w:val="TableParagraph"/>
              <w:spacing w:before="108"/>
              <w:ind w:left="103"/>
              <w:rPr>
                <w:sz w:val="16"/>
              </w:rPr>
            </w:pPr>
            <w:r>
              <w:rPr>
                <w:sz w:val="16"/>
              </w:rPr>
              <w:t>高于目前的 1,000 万吨，将使印度每年的精炼稀土产量从目前</w:t>
            </w:r>
          </w:p>
          <w:p>
            <w:pPr>
              <w:pStyle w:val="TableParagraph"/>
              <w:spacing w:before="107"/>
              <w:ind w:left="103"/>
              <w:rPr>
                <w:sz w:val="16"/>
              </w:rPr>
            </w:pPr>
            <w:r>
              <w:rPr>
                <w:sz w:val="16"/>
              </w:rPr>
              <w:t>的 5000 吨提高到大约 1.3 万吨</w:t>
            </w:r>
          </w:p>
        </w:tc>
      </w:tr>
      <w:tr>
        <w:tblPrEx>
          <w:tblW w:w="0" w:type="auto"/>
          <w:jc w:val="left"/>
          <w:tblInd w:w="307" w:type="dxa"/>
          <w:tblLayout w:type="fixed"/>
          <w:tblCellMar>
            <w:top w:w="0" w:type="dxa"/>
            <w:left w:w="0" w:type="dxa"/>
            <w:bottom w:w="0" w:type="dxa"/>
            <w:right w:w="0" w:type="dxa"/>
          </w:tblCellMar>
          <w:tblLook w:val="01E0"/>
        </w:tblPrEx>
        <w:trPr>
          <w:trHeight w:val="311"/>
          <w:jc w:val="left"/>
        </w:trPr>
        <w:tc>
          <w:tcPr>
            <w:tcW w:w="1016" w:type="dxa"/>
          </w:tcPr>
          <w:p>
            <w:pPr>
              <w:pStyle w:val="TableParagraph"/>
              <w:spacing w:before="53"/>
              <w:ind w:left="166" w:right="157"/>
              <w:jc w:val="center"/>
              <w:rPr>
                <w:sz w:val="16"/>
              </w:rPr>
            </w:pPr>
            <w:r>
              <w:rPr>
                <w:sz w:val="16"/>
              </w:rPr>
              <w:t>俄罗斯</w:t>
            </w:r>
          </w:p>
        </w:tc>
        <w:tc>
          <w:tcPr>
            <w:tcW w:w="1428" w:type="dxa"/>
          </w:tcPr>
          <w:p>
            <w:pPr>
              <w:pStyle w:val="TableParagraph"/>
              <w:spacing w:before="53"/>
              <w:ind w:right="303"/>
              <w:jc w:val="right"/>
              <w:rPr>
                <w:sz w:val="16"/>
              </w:rPr>
            </w:pPr>
            <w:r>
              <w:rPr>
                <w:sz w:val="16"/>
              </w:rPr>
              <w:t>洛沃泽罗矿</w:t>
            </w:r>
          </w:p>
        </w:tc>
        <w:tc>
          <w:tcPr>
            <w:tcW w:w="1985" w:type="dxa"/>
          </w:tcPr>
          <w:p>
            <w:pPr>
              <w:pStyle w:val="TableParagraph"/>
              <w:spacing w:before="53"/>
              <w:ind w:left="90" w:right="83"/>
              <w:jc w:val="center"/>
              <w:rPr>
                <w:sz w:val="16"/>
              </w:rPr>
            </w:pPr>
            <w:r>
              <w:rPr>
                <w:sz w:val="16"/>
              </w:rPr>
              <w:t>克洛沃泽斯基公司</w:t>
            </w:r>
          </w:p>
        </w:tc>
        <w:tc>
          <w:tcPr>
            <w:tcW w:w="871" w:type="dxa"/>
            <w:tcBorders>
              <w:right w:val="single" w:sz="6" w:space="0" w:color="000000"/>
            </w:tcBorders>
          </w:tcPr>
          <w:p>
            <w:pPr>
              <w:pStyle w:val="TableParagraph"/>
              <w:spacing w:before="53"/>
              <w:ind w:left="92" w:right="84"/>
              <w:jc w:val="center"/>
              <w:rPr>
                <w:sz w:val="16"/>
              </w:rPr>
            </w:pPr>
            <w:r>
              <w:rPr>
                <w:sz w:val="16"/>
              </w:rPr>
              <w:t>2,000</w:t>
            </w:r>
          </w:p>
        </w:tc>
        <w:tc>
          <w:tcPr>
            <w:tcW w:w="4690" w:type="dxa"/>
            <w:tcBorders>
              <w:left w:val="single" w:sz="6" w:space="0" w:color="000000"/>
            </w:tcBorders>
          </w:tcPr>
          <w:p>
            <w:pPr>
              <w:pStyle w:val="TableParagraph"/>
              <w:spacing w:before="53"/>
              <w:ind w:left="103"/>
              <w:rPr>
                <w:sz w:val="16"/>
              </w:rPr>
            </w:pPr>
            <w:r>
              <w:rPr>
                <w:sz w:val="16"/>
              </w:rPr>
              <w:t>在产</w:t>
            </w:r>
          </w:p>
        </w:tc>
      </w:tr>
      <w:tr>
        <w:tblPrEx>
          <w:tblW w:w="0" w:type="auto"/>
          <w:jc w:val="left"/>
          <w:tblInd w:w="307" w:type="dxa"/>
          <w:tblLayout w:type="fixed"/>
          <w:tblCellMar>
            <w:top w:w="0" w:type="dxa"/>
            <w:left w:w="0" w:type="dxa"/>
            <w:bottom w:w="0" w:type="dxa"/>
            <w:right w:w="0" w:type="dxa"/>
          </w:tblCellMar>
          <w:tblLook w:val="01E0"/>
        </w:tblPrEx>
        <w:trPr>
          <w:trHeight w:val="623"/>
          <w:jc w:val="left"/>
        </w:trPr>
        <w:tc>
          <w:tcPr>
            <w:tcW w:w="1016" w:type="dxa"/>
          </w:tcPr>
          <w:p>
            <w:pPr>
              <w:pStyle w:val="TableParagraph"/>
              <w:spacing w:before="4"/>
              <w:rPr>
                <w:b/>
                <w:i/>
                <w:sz w:val="16"/>
              </w:rPr>
            </w:pPr>
          </w:p>
          <w:p>
            <w:pPr>
              <w:pStyle w:val="TableParagraph"/>
              <w:ind w:left="168" w:right="156"/>
              <w:jc w:val="center"/>
              <w:rPr>
                <w:sz w:val="16"/>
              </w:rPr>
            </w:pPr>
            <w:r>
              <w:rPr>
                <w:sz w:val="16"/>
              </w:rPr>
              <w:t>巴西</w:t>
            </w:r>
          </w:p>
        </w:tc>
        <w:tc>
          <w:tcPr>
            <w:tcW w:w="1428" w:type="dxa"/>
          </w:tcPr>
          <w:p>
            <w:pPr>
              <w:pStyle w:val="TableParagraph"/>
              <w:spacing w:before="4"/>
              <w:rPr>
                <w:b/>
                <w:i/>
                <w:sz w:val="16"/>
              </w:rPr>
            </w:pPr>
          </w:p>
          <w:p>
            <w:pPr>
              <w:pStyle w:val="TableParagraph"/>
              <w:ind w:right="263"/>
              <w:jc w:val="right"/>
              <w:rPr>
                <w:sz w:val="16"/>
              </w:rPr>
            </w:pPr>
            <w:r>
              <w:rPr>
                <w:sz w:val="16"/>
              </w:rPr>
              <w:t>Serra Verde</w:t>
            </w:r>
          </w:p>
        </w:tc>
        <w:tc>
          <w:tcPr>
            <w:tcW w:w="1985" w:type="dxa"/>
          </w:tcPr>
          <w:p>
            <w:pPr>
              <w:pStyle w:val="TableParagraph"/>
              <w:spacing w:before="53"/>
              <w:ind w:left="83" w:right="83"/>
              <w:jc w:val="center"/>
              <w:rPr>
                <w:sz w:val="16"/>
              </w:rPr>
            </w:pPr>
            <w:r>
              <w:rPr>
                <w:sz w:val="16"/>
              </w:rPr>
              <w:t>巴西矿业公司Serra</w:t>
            </w:r>
          </w:p>
          <w:p>
            <w:pPr>
              <w:pStyle w:val="TableParagraph"/>
              <w:spacing w:before="107"/>
              <w:ind w:left="88" w:right="83"/>
              <w:jc w:val="center"/>
              <w:rPr>
                <w:sz w:val="16"/>
              </w:rPr>
            </w:pPr>
            <w:r>
              <w:rPr>
                <w:sz w:val="16"/>
              </w:rPr>
              <w:t>Verde</w:t>
            </w:r>
          </w:p>
        </w:tc>
        <w:tc>
          <w:tcPr>
            <w:tcW w:w="871" w:type="dxa"/>
            <w:tcBorders>
              <w:right w:val="single" w:sz="6" w:space="0" w:color="000000"/>
            </w:tcBorders>
          </w:tcPr>
          <w:p>
            <w:pPr>
              <w:pStyle w:val="TableParagraph"/>
              <w:spacing w:before="4"/>
              <w:rPr>
                <w:b/>
                <w:i/>
                <w:sz w:val="16"/>
              </w:rPr>
            </w:pPr>
          </w:p>
          <w:p>
            <w:pPr>
              <w:pStyle w:val="TableParagraph"/>
              <w:ind w:left="92" w:right="84"/>
              <w:jc w:val="center"/>
              <w:rPr>
                <w:sz w:val="16"/>
              </w:rPr>
            </w:pPr>
            <w:r>
              <w:rPr>
                <w:sz w:val="16"/>
              </w:rPr>
              <w:t>5,000</w:t>
            </w:r>
          </w:p>
        </w:tc>
        <w:tc>
          <w:tcPr>
            <w:tcW w:w="4690" w:type="dxa"/>
            <w:tcBorders>
              <w:left w:val="single" w:sz="6" w:space="0" w:color="000000"/>
            </w:tcBorders>
          </w:tcPr>
          <w:p>
            <w:pPr>
              <w:pStyle w:val="TableParagraph"/>
              <w:spacing w:before="53"/>
              <w:ind w:left="103"/>
              <w:rPr>
                <w:sz w:val="16"/>
              </w:rPr>
            </w:pPr>
            <w:r>
              <w:rPr>
                <w:spacing w:val="-7"/>
                <w:sz w:val="16"/>
              </w:rPr>
              <w:t xml:space="preserve">一阶段每年生产 </w:t>
            </w:r>
            <w:r>
              <w:rPr>
                <w:sz w:val="16"/>
              </w:rPr>
              <w:t>5000</w:t>
            </w:r>
            <w:r>
              <w:rPr>
                <w:spacing w:val="-14"/>
                <w:sz w:val="16"/>
              </w:rPr>
              <w:t xml:space="preserve"> 吨 </w:t>
            </w:r>
            <w:r>
              <w:rPr>
                <w:sz w:val="16"/>
              </w:rPr>
              <w:t>REO，2023</w:t>
            </w:r>
            <w:r>
              <w:rPr>
                <w:spacing w:val="-28"/>
                <w:sz w:val="16"/>
              </w:rPr>
              <w:t xml:space="preserve"> 年 </w:t>
            </w:r>
            <w:r>
              <w:rPr>
                <w:sz w:val="16"/>
              </w:rPr>
              <w:t>6</w:t>
            </w:r>
            <w:r>
              <w:rPr>
                <w:spacing w:val="-7"/>
                <w:sz w:val="16"/>
              </w:rPr>
              <w:t xml:space="preserve"> 月开始调试，二期目标</w:t>
            </w:r>
          </w:p>
          <w:p>
            <w:pPr>
              <w:pStyle w:val="TableParagraph"/>
              <w:spacing w:before="107"/>
              <w:ind w:left="103"/>
              <w:rPr>
                <w:sz w:val="16"/>
              </w:rPr>
            </w:pPr>
            <w:r>
              <w:rPr>
                <w:sz w:val="16"/>
              </w:rPr>
              <w:t>是在本十年结束前将原矿产量翻倍</w:t>
            </w:r>
          </w:p>
        </w:tc>
      </w:tr>
      <w:tr>
        <w:tblPrEx>
          <w:tblW w:w="0" w:type="auto"/>
          <w:jc w:val="left"/>
          <w:tblInd w:w="307" w:type="dxa"/>
          <w:tblLayout w:type="fixed"/>
          <w:tblCellMar>
            <w:top w:w="0" w:type="dxa"/>
            <w:left w:w="0" w:type="dxa"/>
            <w:bottom w:w="0" w:type="dxa"/>
            <w:right w:w="0" w:type="dxa"/>
          </w:tblCellMar>
          <w:tblLook w:val="01E0"/>
        </w:tblPrEx>
        <w:trPr>
          <w:trHeight w:val="1247"/>
          <w:jc w:val="left"/>
        </w:trPr>
        <w:tc>
          <w:tcPr>
            <w:tcW w:w="1016" w:type="dxa"/>
          </w:tcPr>
          <w:p>
            <w:pPr>
              <w:pStyle w:val="TableParagraph"/>
              <w:rPr>
                <w:b/>
                <w:i/>
                <w:sz w:val="16"/>
              </w:rPr>
            </w:pPr>
          </w:p>
          <w:p>
            <w:pPr>
              <w:pStyle w:val="TableParagraph"/>
              <w:rPr>
                <w:b/>
                <w:i/>
                <w:sz w:val="16"/>
              </w:rPr>
            </w:pPr>
          </w:p>
          <w:p>
            <w:pPr>
              <w:pStyle w:val="TableParagraph"/>
              <w:spacing w:before="111"/>
              <w:ind w:left="168" w:right="156"/>
              <w:jc w:val="center"/>
              <w:rPr>
                <w:sz w:val="16"/>
              </w:rPr>
            </w:pPr>
            <w:r>
              <w:rPr>
                <w:sz w:val="16"/>
              </w:rPr>
              <w:t>越南</w:t>
            </w:r>
          </w:p>
        </w:tc>
        <w:tc>
          <w:tcPr>
            <w:tcW w:w="1428" w:type="dxa"/>
          </w:tcPr>
          <w:p>
            <w:pPr>
              <w:pStyle w:val="TableParagraph"/>
              <w:rPr>
                <w:b/>
                <w:i/>
                <w:sz w:val="16"/>
              </w:rPr>
            </w:pPr>
          </w:p>
          <w:p>
            <w:pPr>
              <w:pStyle w:val="TableParagraph"/>
              <w:rPr>
                <w:b/>
                <w:i/>
                <w:sz w:val="16"/>
              </w:rPr>
            </w:pPr>
          </w:p>
          <w:p>
            <w:pPr>
              <w:pStyle w:val="TableParagraph"/>
              <w:spacing w:before="111"/>
              <w:ind w:left="390"/>
              <w:rPr>
                <w:sz w:val="16"/>
              </w:rPr>
            </w:pPr>
            <w:r>
              <w:rPr>
                <w:sz w:val="16"/>
              </w:rPr>
              <w:t>Dong Pao</w:t>
            </w:r>
          </w:p>
        </w:tc>
        <w:tc>
          <w:tcPr>
            <w:tcW w:w="1985" w:type="dxa"/>
          </w:tcPr>
          <w:p>
            <w:pPr>
              <w:pStyle w:val="TableParagraph"/>
              <w:spacing w:before="4"/>
              <w:rPr>
                <w:b/>
                <w:i/>
                <w:sz w:val="16"/>
              </w:rPr>
            </w:pPr>
          </w:p>
          <w:p>
            <w:pPr>
              <w:pStyle w:val="TableParagraph"/>
              <w:spacing w:line="364" w:lineRule="auto"/>
              <w:ind w:left="140" w:right="132"/>
              <w:jc w:val="center"/>
              <w:rPr>
                <w:sz w:val="16"/>
              </w:rPr>
            </w:pPr>
            <w:r>
              <w:rPr>
                <w:sz w:val="16"/>
              </w:rPr>
              <w:t>23 年年底前重新招标， 此前为日本Toyota Tsusho 和Sojitz 掌握</w:t>
            </w:r>
          </w:p>
        </w:tc>
        <w:tc>
          <w:tcPr>
            <w:tcW w:w="871" w:type="dxa"/>
            <w:tcBorders>
              <w:right w:val="single" w:sz="6" w:space="0" w:color="000000"/>
            </w:tcBorders>
          </w:tcPr>
          <w:p>
            <w:pPr>
              <w:pStyle w:val="TableParagraph"/>
              <w:rPr>
                <w:b/>
                <w:i/>
                <w:sz w:val="16"/>
              </w:rPr>
            </w:pPr>
          </w:p>
          <w:p>
            <w:pPr>
              <w:pStyle w:val="TableParagraph"/>
              <w:rPr>
                <w:b/>
                <w:i/>
                <w:sz w:val="16"/>
              </w:rPr>
            </w:pPr>
          </w:p>
          <w:p>
            <w:pPr>
              <w:pStyle w:val="TableParagraph"/>
              <w:spacing w:before="111"/>
              <w:ind w:left="90" w:right="84"/>
              <w:jc w:val="center"/>
              <w:rPr>
                <w:sz w:val="16"/>
              </w:rPr>
            </w:pPr>
            <w:r>
              <w:rPr>
                <w:sz w:val="16"/>
              </w:rPr>
              <w:t>30,000</w:t>
            </w:r>
          </w:p>
        </w:tc>
        <w:tc>
          <w:tcPr>
            <w:tcW w:w="4690" w:type="dxa"/>
            <w:tcBorders>
              <w:left w:val="single" w:sz="6" w:space="0" w:color="000000"/>
            </w:tcBorders>
          </w:tcPr>
          <w:p>
            <w:pPr>
              <w:pStyle w:val="TableParagraph"/>
              <w:spacing w:before="53"/>
              <w:ind w:left="103"/>
              <w:rPr>
                <w:sz w:val="16"/>
              </w:rPr>
            </w:pPr>
            <w:r>
              <w:rPr>
                <w:spacing w:val="-17"/>
                <w:sz w:val="16"/>
              </w:rPr>
              <w:t xml:space="preserve">在 </w:t>
            </w:r>
            <w:r>
              <w:rPr>
                <w:sz w:val="16"/>
              </w:rPr>
              <w:t>2014</w:t>
            </w:r>
            <w:r>
              <w:rPr>
                <w:spacing w:val="-7"/>
                <w:sz w:val="16"/>
              </w:rPr>
              <w:t xml:space="preserve"> 年就已经获得采矿证，越南稀土公司希望赢得一项特许</w:t>
            </w:r>
          </w:p>
          <w:p>
            <w:pPr>
              <w:pStyle w:val="TableParagraph"/>
              <w:spacing w:before="107"/>
              <w:ind w:left="103"/>
              <w:rPr>
                <w:sz w:val="16"/>
              </w:rPr>
            </w:pPr>
            <w:r>
              <w:rPr>
                <w:spacing w:val="-6"/>
                <w:sz w:val="16"/>
              </w:rPr>
              <w:t xml:space="preserve">权，使其能够每年开采约 </w:t>
            </w:r>
            <w:r>
              <w:rPr>
                <w:sz w:val="16"/>
              </w:rPr>
              <w:t>1</w:t>
            </w:r>
            <w:r>
              <w:rPr>
                <w:spacing w:val="-6"/>
                <w:sz w:val="16"/>
              </w:rPr>
              <w:t xml:space="preserve"> 万吨稀土氧化物(</w:t>
            </w:r>
            <w:r>
              <w:rPr>
                <w:sz w:val="16"/>
              </w:rPr>
              <w:t>REO</w:t>
            </w:r>
            <w:r>
              <w:rPr>
                <w:spacing w:val="-2"/>
                <w:sz w:val="16"/>
              </w:rPr>
              <w:t>)，约为该矿预</w:t>
            </w:r>
          </w:p>
          <w:p>
            <w:pPr>
              <w:pStyle w:val="TableParagraph"/>
              <w:spacing w:before="2" w:line="310" w:lineRule="atLeast"/>
              <w:ind w:left="103" w:right="91"/>
              <w:rPr>
                <w:sz w:val="16"/>
              </w:rPr>
            </w:pPr>
            <w:r>
              <w:rPr>
                <w:sz w:val="16"/>
              </w:rPr>
              <w:t>计年产量的三分之一，具体生产可能在 2024 年底左右开始；澳大利亚黑石矿业也打算竞标至少一个特许权</w:t>
            </w:r>
          </w:p>
        </w:tc>
      </w:tr>
      <w:tr>
        <w:tblPrEx>
          <w:tblW w:w="0" w:type="auto"/>
          <w:jc w:val="left"/>
          <w:tblInd w:w="307" w:type="dxa"/>
          <w:tblLayout w:type="fixed"/>
          <w:tblCellMar>
            <w:top w:w="0" w:type="dxa"/>
            <w:left w:w="0" w:type="dxa"/>
            <w:bottom w:w="0" w:type="dxa"/>
            <w:right w:w="0" w:type="dxa"/>
          </w:tblCellMar>
          <w:tblLook w:val="01E0"/>
        </w:tblPrEx>
        <w:trPr>
          <w:trHeight w:val="623"/>
          <w:jc w:val="left"/>
        </w:trPr>
        <w:tc>
          <w:tcPr>
            <w:tcW w:w="1016" w:type="dxa"/>
          </w:tcPr>
          <w:p>
            <w:pPr>
              <w:pStyle w:val="TableParagraph"/>
              <w:spacing w:before="4"/>
              <w:rPr>
                <w:b/>
                <w:i/>
                <w:sz w:val="16"/>
              </w:rPr>
            </w:pPr>
          </w:p>
          <w:p>
            <w:pPr>
              <w:pStyle w:val="TableParagraph"/>
              <w:ind w:left="166" w:right="157"/>
              <w:jc w:val="center"/>
              <w:rPr>
                <w:sz w:val="16"/>
              </w:rPr>
            </w:pPr>
            <w:r>
              <w:rPr>
                <w:sz w:val="16"/>
              </w:rPr>
              <w:t>安哥拉</w:t>
            </w:r>
          </w:p>
        </w:tc>
        <w:tc>
          <w:tcPr>
            <w:tcW w:w="1428" w:type="dxa"/>
          </w:tcPr>
          <w:p>
            <w:pPr>
              <w:pStyle w:val="TableParagraph"/>
              <w:spacing w:before="4"/>
              <w:rPr>
                <w:b/>
                <w:i/>
                <w:sz w:val="16"/>
              </w:rPr>
            </w:pPr>
          </w:p>
          <w:p>
            <w:pPr>
              <w:pStyle w:val="TableParagraph"/>
              <w:ind w:left="390"/>
              <w:rPr>
                <w:sz w:val="16"/>
              </w:rPr>
            </w:pPr>
            <w:r>
              <w:rPr>
                <w:sz w:val="16"/>
              </w:rPr>
              <w:t>Longonjo</w:t>
            </w:r>
          </w:p>
        </w:tc>
        <w:tc>
          <w:tcPr>
            <w:tcW w:w="1985" w:type="dxa"/>
          </w:tcPr>
          <w:p>
            <w:pPr>
              <w:pStyle w:val="TableParagraph"/>
              <w:spacing w:before="4"/>
              <w:rPr>
                <w:b/>
                <w:i/>
                <w:sz w:val="16"/>
              </w:rPr>
            </w:pPr>
          </w:p>
          <w:p>
            <w:pPr>
              <w:pStyle w:val="TableParagraph"/>
              <w:ind w:left="89" w:right="83"/>
              <w:jc w:val="center"/>
              <w:rPr>
                <w:sz w:val="16"/>
              </w:rPr>
            </w:pPr>
            <w:r>
              <w:rPr>
                <w:sz w:val="16"/>
              </w:rPr>
              <w:t>Pensana</w:t>
            </w:r>
          </w:p>
        </w:tc>
        <w:tc>
          <w:tcPr>
            <w:tcW w:w="871" w:type="dxa"/>
            <w:tcBorders>
              <w:right w:val="single" w:sz="6" w:space="0" w:color="000000"/>
            </w:tcBorders>
          </w:tcPr>
          <w:p>
            <w:pPr>
              <w:pStyle w:val="TableParagraph"/>
              <w:spacing w:before="4"/>
              <w:rPr>
                <w:b/>
                <w:i/>
                <w:sz w:val="16"/>
              </w:rPr>
            </w:pPr>
          </w:p>
          <w:p>
            <w:pPr>
              <w:pStyle w:val="TableParagraph"/>
              <w:ind w:left="90" w:right="84"/>
              <w:jc w:val="center"/>
              <w:rPr>
                <w:sz w:val="16"/>
              </w:rPr>
            </w:pPr>
            <w:r>
              <w:rPr>
                <w:sz w:val="16"/>
              </w:rPr>
              <w:t>14,000</w:t>
            </w:r>
          </w:p>
        </w:tc>
        <w:tc>
          <w:tcPr>
            <w:tcW w:w="4690" w:type="dxa"/>
            <w:tcBorders>
              <w:left w:val="single" w:sz="6" w:space="0" w:color="000000"/>
            </w:tcBorders>
          </w:tcPr>
          <w:p>
            <w:pPr>
              <w:pStyle w:val="TableParagraph"/>
              <w:spacing w:before="53"/>
              <w:ind w:left="103"/>
              <w:rPr>
                <w:sz w:val="16"/>
              </w:rPr>
            </w:pPr>
            <w:r>
              <w:rPr>
                <w:sz w:val="16"/>
              </w:rPr>
              <w:t>目标是年产 38,000 吨混合稀土硫酸盐，其中含有 14,000 吨</w:t>
            </w:r>
          </w:p>
          <w:p>
            <w:pPr>
              <w:pStyle w:val="TableParagraph"/>
              <w:spacing w:before="107"/>
              <w:ind w:left="103"/>
              <w:rPr>
                <w:sz w:val="16"/>
              </w:rPr>
            </w:pPr>
            <w:r>
              <w:rPr>
                <w:sz w:val="16"/>
              </w:rPr>
              <w:t>TREO 和 4,400 吨氧化镨钕，在 2025 年首次实现生产</w:t>
            </w:r>
          </w:p>
        </w:tc>
      </w:tr>
      <w:tr>
        <w:tblPrEx>
          <w:tblW w:w="0" w:type="auto"/>
          <w:jc w:val="left"/>
          <w:tblInd w:w="307" w:type="dxa"/>
          <w:tblLayout w:type="fixed"/>
          <w:tblCellMar>
            <w:top w:w="0" w:type="dxa"/>
            <w:left w:w="0" w:type="dxa"/>
            <w:bottom w:w="0" w:type="dxa"/>
            <w:right w:w="0" w:type="dxa"/>
          </w:tblCellMar>
          <w:tblLook w:val="01E0"/>
        </w:tblPrEx>
        <w:trPr>
          <w:trHeight w:val="624"/>
          <w:jc w:val="left"/>
        </w:trPr>
        <w:tc>
          <w:tcPr>
            <w:tcW w:w="1016" w:type="dxa"/>
          </w:tcPr>
          <w:p>
            <w:pPr>
              <w:pStyle w:val="TableParagraph"/>
              <w:spacing w:before="5"/>
              <w:rPr>
                <w:b/>
                <w:i/>
                <w:sz w:val="16"/>
              </w:rPr>
            </w:pPr>
          </w:p>
          <w:p>
            <w:pPr>
              <w:pStyle w:val="TableParagraph"/>
              <w:ind w:left="168" w:right="157"/>
              <w:jc w:val="center"/>
              <w:rPr>
                <w:sz w:val="16"/>
              </w:rPr>
            </w:pPr>
            <w:r>
              <w:rPr>
                <w:sz w:val="16"/>
              </w:rPr>
              <w:t>澳大利亚</w:t>
            </w:r>
          </w:p>
        </w:tc>
        <w:tc>
          <w:tcPr>
            <w:tcW w:w="1428" w:type="dxa"/>
          </w:tcPr>
          <w:p>
            <w:pPr>
              <w:pStyle w:val="TableParagraph"/>
              <w:spacing w:before="5"/>
              <w:rPr>
                <w:b/>
                <w:i/>
                <w:sz w:val="16"/>
              </w:rPr>
            </w:pPr>
          </w:p>
          <w:p>
            <w:pPr>
              <w:pStyle w:val="TableParagraph"/>
              <w:ind w:left="349"/>
              <w:rPr>
                <w:sz w:val="16"/>
              </w:rPr>
            </w:pPr>
            <w:r>
              <w:rPr>
                <w:sz w:val="16"/>
              </w:rPr>
              <w:t>Yangibana</w:t>
            </w:r>
          </w:p>
        </w:tc>
        <w:tc>
          <w:tcPr>
            <w:tcW w:w="1985" w:type="dxa"/>
          </w:tcPr>
          <w:p>
            <w:pPr>
              <w:pStyle w:val="TableParagraph"/>
              <w:spacing w:before="5"/>
              <w:rPr>
                <w:b/>
                <w:i/>
                <w:sz w:val="16"/>
              </w:rPr>
            </w:pPr>
          </w:p>
          <w:p>
            <w:pPr>
              <w:pStyle w:val="TableParagraph"/>
              <w:ind w:left="90" w:right="83"/>
              <w:jc w:val="center"/>
              <w:rPr>
                <w:sz w:val="16"/>
              </w:rPr>
            </w:pPr>
            <w:r>
              <w:rPr>
                <w:sz w:val="16"/>
              </w:rPr>
              <w:t>黑斯廷斯科技金属</w:t>
            </w:r>
          </w:p>
        </w:tc>
        <w:tc>
          <w:tcPr>
            <w:tcW w:w="871" w:type="dxa"/>
            <w:tcBorders>
              <w:right w:val="single" w:sz="6" w:space="0" w:color="000000"/>
            </w:tcBorders>
          </w:tcPr>
          <w:p>
            <w:pPr>
              <w:pStyle w:val="TableParagraph"/>
              <w:spacing w:before="5"/>
              <w:rPr>
                <w:b/>
                <w:i/>
                <w:sz w:val="16"/>
              </w:rPr>
            </w:pPr>
          </w:p>
          <w:p>
            <w:pPr>
              <w:pStyle w:val="TableParagraph"/>
              <w:ind w:left="90" w:right="84"/>
              <w:jc w:val="center"/>
              <w:rPr>
                <w:sz w:val="16"/>
              </w:rPr>
            </w:pPr>
            <w:r>
              <w:rPr>
                <w:sz w:val="16"/>
              </w:rPr>
              <w:t>37,000</w:t>
            </w:r>
          </w:p>
        </w:tc>
        <w:tc>
          <w:tcPr>
            <w:tcW w:w="4690" w:type="dxa"/>
            <w:tcBorders>
              <w:left w:val="single" w:sz="6" w:space="0" w:color="000000"/>
            </w:tcBorders>
          </w:tcPr>
          <w:p>
            <w:pPr>
              <w:pStyle w:val="TableParagraph"/>
              <w:spacing w:before="54"/>
              <w:ind w:left="103"/>
              <w:rPr>
                <w:sz w:val="16"/>
              </w:rPr>
            </w:pPr>
            <w:r>
              <w:rPr>
                <w:sz w:val="16"/>
              </w:rPr>
              <w:t>选矿厂计划于 2025 年第二季度投产，预计每年的进料能力为</w:t>
            </w:r>
          </w:p>
          <w:p>
            <w:pPr>
              <w:pStyle w:val="TableParagraph"/>
              <w:spacing w:before="107"/>
              <w:ind w:left="103"/>
              <w:rPr>
                <w:sz w:val="16"/>
              </w:rPr>
            </w:pPr>
            <w:r>
              <w:rPr>
                <w:sz w:val="16"/>
              </w:rPr>
              <w:t>110 万吨，稀土精矿的生产能力为 3.7 万吨。</w:t>
            </w:r>
          </w:p>
        </w:tc>
      </w:tr>
      <w:tr>
        <w:tblPrEx>
          <w:tblW w:w="0" w:type="auto"/>
          <w:jc w:val="left"/>
          <w:tblInd w:w="307" w:type="dxa"/>
          <w:tblLayout w:type="fixed"/>
          <w:tblCellMar>
            <w:top w:w="0" w:type="dxa"/>
            <w:left w:w="0" w:type="dxa"/>
            <w:bottom w:w="0" w:type="dxa"/>
            <w:right w:w="0" w:type="dxa"/>
          </w:tblCellMar>
          <w:tblLook w:val="01E0"/>
        </w:tblPrEx>
        <w:trPr>
          <w:trHeight w:val="626"/>
          <w:jc w:val="left"/>
        </w:trPr>
        <w:tc>
          <w:tcPr>
            <w:tcW w:w="1016" w:type="dxa"/>
          </w:tcPr>
          <w:p>
            <w:pPr>
              <w:pStyle w:val="TableParagraph"/>
              <w:spacing w:before="6"/>
              <w:rPr>
                <w:b/>
                <w:i/>
                <w:sz w:val="16"/>
              </w:rPr>
            </w:pPr>
          </w:p>
          <w:p>
            <w:pPr>
              <w:pStyle w:val="TableParagraph"/>
              <w:spacing w:before="1"/>
              <w:ind w:left="168" w:right="157"/>
              <w:jc w:val="center"/>
              <w:rPr>
                <w:sz w:val="16"/>
              </w:rPr>
            </w:pPr>
            <w:r>
              <w:rPr>
                <w:sz w:val="16"/>
              </w:rPr>
              <w:t>澳大利亚</w:t>
            </w:r>
          </w:p>
        </w:tc>
        <w:tc>
          <w:tcPr>
            <w:tcW w:w="1428" w:type="dxa"/>
          </w:tcPr>
          <w:p>
            <w:pPr>
              <w:pStyle w:val="TableParagraph"/>
              <w:spacing w:before="6"/>
              <w:rPr>
                <w:b/>
                <w:i/>
                <w:sz w:val="16"/>
              </w:rPr>
            </w:pPr>
          </w:p>
          <w:p>
            <w:pPr>
              <w:pStyle w:val="TableParagraph"/>
              <w:spacing w:before="1"/>
              <w:ind w:left="469"/>
              <w:rPr>
                <w:sz w:val="16"/>
              </w:rPr>
            </w:pPr>
            <w:r>
              <w:rPr>
                <w:sz w:val="16"/>
              </w:rPr>
              <w:t>Nolans</w:t>
            </w:r>
          </w:p>
        </w:tc>
        <w:tc>
          <w:tcPr>
            <w:tcW w:w="1985" w:type="dxa"/>
          </w:tcPr>
          <w:p>
            <w:pPr>
              <w:pStyle w:val="TableParagraph"/>
              <w:spacing w:before="6"/>
              <w:rPr>
                <w:b/>
                <w:i/>
                <w:sz w:val="16"/>
              </w:rPr>
            </w:pPr>
          </w:p>
          <w:p>
            <w:pPr>
              <w:pStyle w:val="TableParagraph"/>
              <w:spacing w:before="1"/>
              <w:ind w:left="86" w:right="83"/>
              <w:jc w:val="center"/>
              <w:rPr>
                <w:sz w:val="16"/>
              </w:rPr>
            </w:pPr>
            <w:r>
              <w:rPr>
                <w:sz w:val="16"/>
              </w:rPr>
              <w:t>澳洲arultd</w:t>
            </w:r>
          </w:p>
        </w:tc>
        <w:tc>
          <w:tcPr>
            <w:tcW w:w="871" w:type="dxa"/>
            <w:tcBorders>
              <w:right w:val="single" w:sz="6" w:space="0" w:color="000000"/>
            </w:tcBorders>
          </w:tcPr>
          <w:p>
            <w:pPr>
              <w:pStyle w:val="TableParagraph"/>
              <w:spacing w:before="56"/>
              <w:ind w:left="92" w:right="84"/>
              <w:jc w:val="center"/>
              <w:rPr>
                <w:sz w:val="16"/>
              </w:rPr>
            </w:pPr>
            <w:r>
              <w:rPr>
                <w:sz w:val="16"/>
              </w:rPr>
              <w:t>4400</w:t>
            </w:r>
          </w:p>
          <w:p>
            <w:pPr>
              <w:pStyle w:val="TableParagraph"/>
              <w:spacing w:before="107"/>
              <w:ind w:left="93" w:right="84"/>
              <w:jc w:val="center"/>
              <w:rPr>
                <w:sz w:val="16"/>
              </w:rPr>
            </w:pPr>
            <w:r>
              <w:rPr>
                <w:sz w:val="16"/>
              </w:rPr>
              <w:t>（镨钕）</w:t>
            </w:r>
          </w:p>
        </w:tc>
        <w:tc>
          <w:tcPr>
            <w:tcW w:w="4690" w:type="dxa"/>
            <w:tcBorders>
              <w:left w:val="single" w:sz="6" w:space="0" w:color="000000"/>
            </w:tcBorders>
          </w:tcPr>
          <w:p>
            <w:pPr>
              <w:pStyle w:val="TableParagraph"/>
              <w:spacing w:before="6"/>
              <w:rPr>
                <w:b/>
                <w:i/>
                <w:sz w:val="16"/>
              </w:rPr>
            </w:pPr>
          </w:p>
          <w:p>
            <w:pPr>
              <w:pStyle w:val="TableParagraph"/>
              <w:spacing w:before="1"/>
              <w:ind w:left="103"/>
              <w:rPr>
                <w:sz w:val="16"/>
              </w:rPr>
            </w:pPr>
            <w:r>
              <w:rPr>
                <w:sz w:val="16"/>
              </w:rPr>
              <w:t>早期工程预计将于 2023 年动工，施工将于 2025 年中期完成</w:t>
            </w:r>
          </w:p>
        </w:tc>
      </w:tr>
      <w:tr>
        <w:tblPrEx>
          <w:tblW w:w="0" w:type="auto"/>
          <w:jc w:val="left"/>
          <w:tblInd w:w="307" w:type="dxa"/>
          <w:tblLayout w:type="fixed"/>
          <w:tblCellMar>
            <w:top w:w="0" w:type="dxa"/>
            <w:left w:w="0" w:type="dxa"/>
            <w:bottom w:w="0" w:type="dxa"/>
            <w:right w:w="0" w:type="dxa"/>
          </w:tblCellMar>
          <w:tblLook w:val="01E0"/>
        </w:tblPrEx>
        <w:trPr>
          <w:trHeight w:val="628"/>
          <w:jc w:val="left"/>
        </w:trPr>
        <w:tc>
          <w:tcPr>
            <w:tcW w:w="1016" w:type="dxa"/>
            <w:tcBorders>
              <w:bottom w:val="single" w:sz="4" w:space="0" w:color="013E96"/>
            </w:tcBorders>
          </w:tcPr>
          <w:p>
            <w:pPr>
              <w:pStyle w:val="TableParagraph"/>
              <w:spacing w:before="4"/>
              <w:rPr>
                <w:b/>
                <w:i/>
                <w:sz w:val="16"/>
              </w:rPr>
            </w:pPr>
          </w:p>
          <w:p>
            <w:pPr>
              <w:pStyle w:val="TableParagraph"/>
              <w:ind w:left="168" w:right="157"/>
              <w:jc w:val="center"/>
              <w:rPr>
                <w:sz w:val="16"/>
              </w:rPr>
            </w:pPr>
            <w:r>
              <w:rPr>
                <w:sz w:val="16"/>
              </w:rPr>
              <w:t>坦桑尼亚</w:t>
            </w:r>
          </w:p>
        </w:tc>
        <w:tc>
          <w:tcPr>
            <w:tcW w:w="1428" w:type="dxa"/>
            <w:tcBorders>
              <w:bottom w:val="single" w:sz="4" w:space="0" w:color="013E96"/>
            </w:tcBorders>
          </w:tcPr>
          <w:p>
            <w:pPr>
              <w:pStyle w:val="TableParagraph"/>
              <w:spacing w:before="4"/>
              <w:rPr>
                <w:b/>
                <w:i/>
                <w:sz w:val="16"/>
              </w:rPr>
            </w:pPr>
          </w:p>
          <w:p>
            <w:pPr>
              <w:pStyle w:val="TableParagraph"/>
              <w:ind w:left="431"/>
              <w:rPr>
                <w:sz w:val="16"/>
              </w:rPr>
            </w:pPr>
            <w:r>
              <w:rPr>
                <w:sz w:val="16"/>
              </w:rPr>
              <w:t>Ngualla</w:t>
            </w:r>
          </w:p>
        </w:tc>
        <w:tc>
          <w:tcPr>
            <w:tcW w:w="1985" w:type="dxa"/>
            <w:tcBorders>
              <w:bottom w:val="single" w:sz="4" w:space="0" w:color="013E96"/>
            </w:tcBorders>
          </w:tcPr>
          <w:p>
            <w:pPr>
              <w:pStyle w:val="TableParagraph"/>
              <w:spacing w:before="4"/>
              <w:rPr>
                <w:b/>
                <w:i/>
                <w:sz w:val="16"/>
              </w:rPr>
            </w:pPr>
          </w:p>
          <w:p>
            <w:pPr>
              <w:pStyle w:val="TableParagraph"/>
              <w:ind w:left="90" w:right="83"/>
              <w:jc w:val="center"/>
              <w:rPr>
                <w:sz w:val="16"/>
              </w:rPr>
            </w:pPr>
            <w:r>
              <w:rPr>
                <w:sz w:val="16"/>
              </w:rPr>
              <w:t>Peak/盛和资源</w:t>
            </w:r>
          </w:p>
        </w:tc>
        <w:tc>
          <w:tcPr>
            <w:tcW w:w="871" w:type="dxa"/>
            <w:tcBorders>
              <w:bottom w:val="single" w:sz="4" w:space="0" w:color="013E96"/>
              <w:right w:val="single" w:sz="6" w:space="0" w:color="000000"/>
            </w:tcBorders>
          </w:tcPr>
          <w:p>
            <w:pPr>
              <w:pStyle w:val="TableParagraph"/>
              <w:spacing w:before="4"/>
              <w:rPr>
                <w:b/>
                <w:i/>
                <w:sz w:val="16"/>
              </w:rPr>
            </w:pPr>
          </w:p>
          <w:p>
            <w:pPr>
              <w:pStyle w:val="TableParagraph"/>
              <w:ind w:left="90" w:right="84"/>
              <w:jc w:val="center"/>
              <w:rPr>
                <w:sz w:val="16"/>
              </w:rPr>
            </w:pPr>
            <w:r>
              <w:rPr>
                <w:sz w:val="16"/>
              </w:rPr>
              <w:t>16,740</w:t>
            </w:r>
          </w:p>
        </w:tc>
        <w:tc>
          <w:tcPr>
            <w:tcW w:w="4690" w:type="dxa"/>
            <w:tcBorders>
              <w:left w:val="single" w:sz="6" w:space="0" w:color="000000"/>
              <w:bottom w:val="single" w:sz="4" w:space="0" w:color="013E96"/>
            </w:tcBorders>
          </w:tcPr>
          <w:p>
            <w:pPr>
              <w:pStyle w:val="TableParagraph"/>
              <w:spacing w:before="53"/>
              <w:ind w:left="103"/>
              <w:rPr>
                <w:sz w:val="16"/>
              </w:rPr>
            </w:pPr>
            <w:r>
              <w:rPr>
                <w:sz w:val="16"/>
              </w:rPr>
              <w:t>2024 年 5 月底前最终投资决定和开始建设，2026 年初成</w:t>
            </w:r>
          </w:p>
          <w:p>
            <w:pPr>
              <w:pStyle w:val="TableParagraph"/>
              <w:spacing w:before="107"/>
              <w:ind w:left="103"/>
              <w:rPr>
                <w:sz w:val="16"/>
              </w:rPr>
            </w:pPr>
            <w:r>
              <w:rPr>
                <w:sz w:val="16"/>
              </w:rPr>
              <w:t>Ngualla 项目的建设和开发</w:t>
            </w:r>
          </w:p>
        </w:tc>
      </w:tr>
    </w:tbl>
    <w:p>
      <w:pPr>
        <w:pStyle w:val="BodyText"/>
        <w:spacing w:line="20" w:lineRule="exact"/>
        <w:ind w:left="187"/>
        <w:rPr>
          <w:sz w:val="2"/>
        </w:rPr>
      </w:pPr>
      <w:r>
        <w:rPr>
          <w:sz w:val="2"/>
        </w:rPr>
        <w:pict>
          <v:group id="_x0000_i1340" style="width:510.35pt;height:0.5pt;mso-position-horizontal-relative:char;mso-position-vertical-relative:line" coordorigin="0,0" coordsize="10207,10">
            <v:line id="_x0000_s1341" style="position:absolute" from="0,5" to="10207,5" stroked="t" strokecolor="#013e96" strokeweight="0.48pt">
              <v:stroke dashstyle="solid"/>
            </v:line>
            <w10:wrap type="none"/>
          </v:group>
        </w:pict>
      </w:r>
    </w:p>
    <w:p>
      <w:pPr>
        <w:spacing w:before="84" w:line="489" w:lineRule="auto"/>
        <w:ind w:left="300" w:right="443" w:firstLine="0"/>
        <w:jc w:val="left"/>
        <w:rPr>
          <w:sz w:val="15"/>
        </w:rPr>
        <w:sectPr>
          <w:headerReference w:type="default" r:id="rId85"/>
          <w:footerReference w:type="default" r:id="rId86"/>
          <w:pgSz w:w="11910" w:h="16840"/>
          <w:pgMar w:top="1360" w:right="520" w:bottom="660" w:left="660" w:header="708" w:footer="708"/>
          <w:pgNumType w:start="35"/>
          <w:cols w:space="708"/>
        </w:sectPr>
      </w:pPr>
      <w:r>
        <w:t xml:space="preserve">数据来源：各公司公告，各公司官网，稀土产业数字供应链，产业前沿，稀土在线，《世界稀土产业格局变化与中国稀土产业面临的问题》郑国栋等， </w:t>
      </w:r>
    </w:p>
    <w:p>
      <w:pPr>
        <w:pStyle w:val="ListParagraph"/>
        <w:numPr>
          <w:ilvl w:val="3"/>
          <w:numId w:val="2"/>
        </w:numPr>
        <w:tabs>
          <w:tab w:val="left" w:pos="3677"/>
        </w:tabs>
        <w:spacing w:before="113" w:after="0" w:line="240" w:lineRule="auto"/>
        <w:ind w:left="3676" w:right="0" w:hanging="542"/>
        <w:jc w:val="left"/>
        <w:rPr>
          <w:b/>
          <w:sz w:val="21"/>
        </w:rPr>
      </w:pPr>
      <w:r>
        <w:rPr>
          <w:rFonts w:ascii="Arial" w:eastAsia="Arial" w:hAnsi="Arial"/>
          <w:b/>
          <w:sz w:val="21"/>
        </w:rPr>
        <w:t>Mountain</w:t>
      </w:r>
      <w:r>
        <w:rPr>
          <w:rFonts w:ascii="Arial" w:eastAsia="Arial" w:hAnsi="Arial"/>
          <w:b/>
          <w:spacing w:val="-1"/>
          <w:sz w:val="21"/>
        </w:rPr>
        <w:t xml:space="preserve"> </w:t>
      </w:r>
      <w:r>
        <w:rPr>
          <w:rFonts w:ascii="Arial" w:eastAsia="Arial" w:hAnsi="Arial"/>
          <w:b/>
          <w:sz w:val="21"/>
        </w:rPr>
        <w:t>Pass</w:t>
      </w:r>
      <w:r>
        <w:rPr>
          <w:b/>
          <w:spacing w:val="-2"/>
          <w:sz w:val="21"/>
        </w:rPr>
        <w:t>——已经在美国本土分离出镨钕</w:t>
      </w:r>
    </w:p>
    <w:p>
      <w:pPr>
        <w:spacing w:after="0" w:line="240" w:lineRule="auto"/>
        <w:jc w:val="left"/>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7" w:history="1">
        <w:r>
          <w:rPr>
            <w:rFonts w:ascii="SimSun" w:eastAsia="SimSun" w:hAnsi="SimSun" w:cs="SimSun"/>
            <w:b/>
            <w:bCs/>
            <w:color w:val="0000EE"/>
            <w:sz w:val="30"/>
            <w:szCs w:val="30"/>
            <w:u w:val="single" w:color="0000EE"/>
          </w:rPr>
          <w:t>https://d.book118.com/398023122125006034</w:t>
        </w:r>
      </w:hyperlink>
    </w:p>
    <w:p>
      <w:pPr>
        <w:spacing w:after="0" w:line="240" w:lineRule="auto"/>
        <w:jc w:val="left"/>
        <w:rPr>
          <w:sz w:val="21"/>
        </w:rPr>
      </w:pPr>
    </w:p>
    <w:sectPr>
      <w:headerReference w:type="default" r:id="rId88"/>
      <w:footerReference w:type="default" r:id="rId89"/>
      <w:type w:val="nextPage"/>
      <w:pgSz w:w="11910" w:h="16840"/>
      <w:pgMar w:top="1360" w:right="520" w:bottom="660" w:left="660" w:header="708" w:footer="708"/>
      <w:pgNumType w:start="36"/>
      <w:cols w:space="708"/>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D759E2"/>
    <w:multiLevelType w:val="hybridMultilevel"/>
    <w:tmpl w:val="00000000"/>
    <w:lvl w:ilvl="0">
      <w:start w:val="1"/>
      <w:numFmt w:val="decimal"/>
      <w:lvlText w:val="%1"/>
      <w:lvlJc w:val="left"/>
      <w:pPr>
        <w:ind w:left="2712" w:hanging="515"/>
        <w:jc w:val="left"/>
      </w:pPr>
      <w:rPr>
        <w:rFonts w:hint="default"/>
        <w:lang w:val="zh-CN" w:eastAsia="zh-CN" w:bidi="zh-CN"/>
      </w:rPr>
    </w:lvl>
    <w:lvl w:ilvl="1">
      <w:start w:val="25"/>
      <w:numFmt w:val="decimal"/>
      <w:lvlText w:val="%1.%2"/>
      <w:lvlJc w:val="left"/>
      <w:pPr>
        <w:ind w:left="2712" w:hanging="515"/>
        <w:jc w:val="left"/>
      </w:pPr>
      <w:rPr>
        <w:rFonts w:ascii="Arial" w:eastAsia="Arial" w:hAnsi="Arial" w:cs="Arial" w:hint="default"/>
        <w:spacing w:val="-1"/>
        <w:w w:val="100"/>
        <w:sz w:val="21"/>
        <w:szCs w:val="21"/>
        <w:lang w:val="zh-CN" w:eastAsia="zh-CN" w:bidi="zh-CN"/>
      </w:rPr>
    </w:lvl>
    <w:lvl w:ilvl="2">
      <w:start w:val="1"/>
      <w:numFmt w:val="decimal"/>
      <w:lvlText w:val="（%3）"/>
      <w:lvlJc w:val="left"/>
      <w:pPr>
        <w:ind w:left="2712" w:hanging="544"/>
        <w:jc w:val="left"/>
      </w:pPr>
      <w:rPr>
        <w:rFonts w:ascii="楷体" w:eastAsia="楷体" w:hAnsi="楷体" w:cs="楷体" w:hint="default"/>
        <w:b/>
        <w:bCs/>
        <w:spacing w:val="-106"/>
        <w:w w:val="100"/>
        <w:sz w:val="19"/>
        <w:szCs w:val="19"/>
        <w:lang w:val="zh-CN" w:eastAsia="zh-CN" w:bidi="zh-CN"/>
      </w:rPr>
    </w:lvl>
    <w:lvl w:ilvl="3">
      <w:start w:val="0"/>
      <w:numFmt w:val="bullet"/>
      <w:lvlText w:val="•"/>
      <w:lvlJc w:val="left"/>
      <w:pPr>
        <w:ind w:left="5121" w:hanging="544"/>
      </w:pPr>
      <w:rPr>
        <w:rFonts w:hint="default"/>
        <w:lang w:val="zh-CN" w:eastAsia="zh-CN" w:bidi="zh-CN"/>
      </w:rPr>
    </w:lvl>
    <w:lvl w:ilvl="4">
      <w:start w:val="0"/>
      <w:numFmt w:val="bullet"/>
      <w:lvlText w:val="•"/>
      <w:lvlJc w:val="left"/>
      <w:pPr>
        <w:ind w:left="5922" w:hanging="544"/>
      </w:pPr>
      <w:rPr>
        <w:rFonts w:hint="default"/>
        <w:lang w:val="zh-CN" w:eastAsia="zh-CN" w:bidi="zh-CN"/>
      </w:rPr>
    </w:lvl>
    <w:lvl w:ilvl="5">
      <w:start w:val="0"/>
      <w:numFmt w:val="bullet"/>
      <w:lvlText w:val="•"/>
      <w:lvlJc w:val="left"/>
      <w:pPr>
        <w:ind w:left="6723" w:hanging="544"/>
      </w:pPr>
      <w:rPr>
        <w:rFonts w:hint="default"/>
        <w:lang w:val="zh-CN" w:eastAsia="zh-CN" w:bidi="zh-CN"/>
      </w:rPr>
    </w:lvl>
    <w:lvl w:ilvl="6">
      <w:start w:val="0"/>
      <w:numFmt w:val="bullet"/>
      <w:lvlText w:val="•"/>
      <w:lvlJc w:val="left"/>
      <w:pPr>
        <w:ind w:left="7523" w:hanging="544"/>
      </w:pPr>
      <w:rPr>
        <w:rFonts w:hint="default"/>
        <w:lang w:val="zh-CN" w:eastAsia="zh-CN" w:bidi="zh-CN"/>
      </w:rPr>
    </w:lvl>
    <w:lvl w:ilvl="7">
      <w:start w:val="0"/>
      <w:numFmt w:val="bullet"/>
      <w:lvlText w:val="•"/>
      <w:lvlJc w:val="left"/>
      <w:pPr>
        <w:ind w:left="8324" w:hanging="544"/>
      </w:pPr>
      <w:rPr>
        <w:rFonts w:hint="default"/>
        <w:lang w:val="zh-CN" w:eastAsia="zh-CN" w:bidi="zh-CN"/>
      </w:rPr>
    </w:lvl>
    <w:lvl w:ilvl="8">
      <w:start w:val="0"/>
      <w:numFmt w:val="bullet"/>
      <w:lvlText w:val="•"/>
      <w:lvlJc w:val="left"/>
      <w:pPr>
        <w:ind w:left="9125" w:hanging="544"/>
      </w:pPr>
      <w:rPr>
        <w:rFonts w:hint="default"/>
        <w:lang w:val="zh-CN" w:eastAsia="zh-CN" w:bidi="zh-CN"/>
      </w:rPr>
    </w:lvl>
  </w:abstractNum>
  <w:abstractNum w:abstractNumId="1">
    <w:nsid w:val="4A4E842D"/>
    <w:multiLevelType w:val="hybridMultilevel"/>
    <w:tmpl w:val="00000000"/>
    <w:lvl w:ilvl="0">
      <w:start w:val="1"/>
      <w:numFmt w:val="decimal"/>
      <w:lvlText w:val="%1"/>
      <w:lvlJc w:val="left"/>
      <w:pPr>
        <w:ind w:left="3596" w:hanging="853"/>
        <w:jc w:val="left"/>
      </w:pPr>
      <w:rPr>
        <w:rFonts w:ascii="Arial" w:eastAsia="Arial" w:hAnsi="Arial" w:cs="Arial" w:hint="default"/>
        <w:b/>
        <w:bCs/>
        <w:w w:val="99"/>
        <w:sz w:val="24"/>
        <w:szCs w:val="24"/>
        <w:lang w:val="zh-CN" w:eastAsia="zh-CN" w:bidi="zh-CN"/>
      </w:rPr>
    </w:lvl>
    <w:lvl w:ilvl="1">
      <w:start w:val="1"/>
      <w:numFmt w:val="decimal"/>
      <w:lvlText w:val="%1.%2"/>
      <w:lvlJc w:val="left"/>
      <w:pPr>
        <w:ind w:left="3596" w:hanging="853"/>
        <w:jc w:val="left"/>
      </w:pPr>
      <w:rPr>
        <w:rFonts w:ascii="Arial" w:eastAsia="Arial" w:hAnsi="Arial" w:cs="Arial" w:hint="default"/>
        <w:b/>
        <w:bCs/>
        <w:spacing w:val="-1"/>
        <w:w w:val="100"/>
        <w:sz w:val="21"/>
        <w:szCs w:val="21"/>
        <w:lang w:val="zh-CN" w:eastAsia="zh-CN" w:bidi="zh-CN"/>
      </w:rPr>
    </w:lvl>
    <w:lvl w:ilvl="2">
      <w:start w:val="1"/>
      <w:numFmt w:val="decimal"/>
      <w:lvlText w:val="%1.%2.%3"/>
      <w:lvlJc w:val="left"/>
      <w:pPr>
        <w:ind w:left="3596" w:hanging="853"/>
        <w:jc w:val="left"/>
      </w:pPr>
      <w:rPr>
        <w:rFonts w:ascii="Arial" w:eastAsia="Arial" w:hAnsi="Arial" w:cs="Arial" w:hint="default"/>
        <w:b/>
        <w:bCs/>
        <w:spacing w:val="-1"/>
        <w:w w:val="100"/>
        <w:sz w:val="21"/>
        <w:szCs w:val="21"/>
        <w:lang w:val="zh-CN" w:eastAsia="zh-CN" w:bidi="zh-CN"/>
      </w:rPr>
    </w:lvl>
    <w:lvl w:ilvl="3">
      <w:start w:val="1"/>
      <w:numFmt w:val="decimal"/>
      <w:lvlText w:val="（%4）"/>
      <w:lvlJc w:val="left"/>
      <w:pPr>
        <w:ind w:left="3676" w:hanging="541"/>
        <w:jc w:val="left"/>
      </w:pPr>
      <w:rPr>
        <w:rFonts w:ascii="楷体" w:eastAsia="楷体" w:hAnsi="楷体" w:cs="楷体" w:hint="default"/>
        <w:b/>
        <w:bCs/>
        <w:spacing w:val="-3"/>
        <w:w w:val="100"/>
        <w:sz w:val="19"/>
        <w:szCs w:val="19"/>
        <w:lang w:val="zh-CN" w:eastAsia="zh-CN" w:bidi="zh-CN"/>
      </w:rPr>
    </w:lvl>
    <w:lvl w:ilvl="4">
      <w:start w:val="0"/>
      <w:numFmt w:val="bullet"/>
      <w:lvlText w:val="•"/>
      <w:lvlJc w:val="left"/>
      <w:pPr>
        <w:ind w:left="5441" w:hanging="541"/>
      </w:pPr>
      <w:rPr>
        <w:rFonts w:hint="default"/>
        <w:lang w:val="zh-CN" w:eastAsia="zh-CN" w:bidi="zh-CN"/>
      </w:rPr>
    </w:lvl>
    <w:lvl w:ilvl="5">
      <w:start w:val="0"/>
      <w:numFmt w:val="bullet"/>
      <w:lvlText w:val="•"/>
      <w:lvlJc w:val="left"/>
      <w:pPr>
        <w:ind w:left="6322" w:hanging="541"/>
      </w:pPr>
      <w:rPr>
        <w:rFonts w:hint="default"/>
        <w:lang w:val="zh-CN" w:eastAsia="zh-CN" w:bidi="zh-CN"/>
      </w:rPr>
    </w:lvl>
    <w:lvl w:ilvl="6">
      <w:start w:val="0"/>
      <w:numFmt w:val="bullet"/>
      <w:lvlText w:val="•"/>
      <w:lvlJc w:val="left"/>
      <w:pPr>
        <w:ind w:left="7203" w:hanging="541"/>
      </w:pPr>
      <w:rPr>
        <w:rFonts w:hint="default"/>
        <w:lang w:val="zh-CN" w:eastAsia="zh-CN" w:bidi="zh-CN"/>
      </w:rPr>
    </w:lvl>
    <w:lvl w:ilvl="7">
      <w:start w:val="0"/>
      <w:numFmt w:val="bullet"/>
      <w:lvlText w:val="•"/>
      <w:lvlJc w:val="left"/>
      <w:pPr>
        <w:ind w:left="8084" w:hanging="541"/>
      </w:pPr>
      <w:rPr>
        <w:rFonts w:hint="default"/>
        <w:lang w:val="zh-CN" w:eastAsia="zh-CN" w:bidi="zh-CN"/>
      </w:rPr>
    </w:lvl>
    <w:lvl w:ilvl="8">
      <w:start w:val="0"/>
      <w:numFmt w:val="bullet"/>
      <w:lvlText w:val="•"/>
      <w:lvlJc w:val="left"/>
      <w:pPr>
        <w:ind w:left="8964" w:hanging="541"/>
      </w:pPr>
      <w:rPr>
        <w:rFonts w:hint="default"/>
        <w:lang w:val="zh-CN" w:eastAsia="zh-CN" w:bidi="zh-CN"/>
      </w:rPr>
    </w:lvl>
  </w:abstractNum>
  <w:abstractNum w:abstractNumId="2">
    <w:nsid w:val="4B44EA6B"/>
    <w:multiLevelType w:val="hybridMultilevel"/>
    <w:tmpl w:val="00000000"/>
    <w:lvl w:ilvl="0">
      <w:start w:val="1"/>
      <w:numFmt w:val="decimal"/>
      <w:lvlText w:val="%1"/>
      <w:lvlJc w:val="left"/>
      <w:pPr>
        <w:ind w:left="2712" w:hanging="420"/>
        <w:jc w:val="left"/>
      </w:pPr>
      <w:rPr>
        <w:rFonts w:ascii="楷体" w:eastAsia="楷体" w:hAnsi="楷体" w:cs="楷体" w:hint="default"/>
        <w:b/>
        <w:bCs/>
        <w:w w:val="99"/>
        <w:sz w:val="21"/>
        <w:szCs w:val="21"/>
        <w:lang w:val="zh-CN" w:eastAsia="zh-CN" w:bidi="zh-CN"/>
      </w:rPr>
    </w:lvl>
    <w:lvl w:ilvl="1">
      <w:start w:val="1"/>
      <w:numFmt w:val="decimal"/>
      <w:lvlText w:val="%1.%2"/>
      <w:lvlJc w:val="left"/>
      <w:pPr>
        <w:ind w:left="3133" w:hanging="841"/>
        <w:jc w:val="left"/>
      </w:pPr>
      <w:rPr>
        <w:rFonts w:ascii="楷体" w:eastAsia="楷体" w:hAnsi="楷体" w:cs="楷体" w:hint="default"/>
        <w:b/>
        <w:bCs/>
        <w:w w:val="99"/>
        <w:sz w:val="21"/>
        <w:szCs w:val="21"/>
        <w:lang w:val="zh-CN" w:eastAsia="zh-CN" w:bidi="zh-CN"/>
      </w:rPr>
    </w:lvl>
    <w:lvl w:ilvl="2">
      <w:start w:val="1"/>
      <w:numFmt w:val="decimal"/>
      <w:lvlText w:val="%1.%2.%3"/>
      <w:lvlJc w:val="left"/>
      <w:pPr>
        <w:ind w:left="3133" w:hanging="841"/>
        <w:jc w:val="left"/>
      </w:pPr>
      <w:rPr>
        <w:rFonts w:ascii="楷体" w:eastAsia="楷体" w:hAnsi="楷体" w:cs="楷体" w:hint="default"/>
        <w:b/>
        <w:bCs/>
        <w:w w:val="99"/>
        <w:sz w:val="21"/>
        <w:szCs w:val="21"/>
        <w:lang w:val="zh-CN" w:eastAsia="zh-CN" w:bidi="zh-CN"/>
      </w:rPr>
    </w:lvl>
    <w:lvl w:ilvl="3">
      <w:start w:val="0"/>
      <w:numFmt w:val="bullet"/>
      <w:lvlText w:val="•"/>
      <w:lvlJc w:val="left"/>
      <w:pPr>
        <w:ind w:left="4825" w:hanging="841"/>
      </w:pPr>
      <w:rPr>
        <w:rFonts w:hint="default"/>
        <w:lang w:val="zh-CN" w:eastAsia="zh-CN" w:bidi="zh-CN"/>
      </w:rPr>
    </w:lvl>
    <w:lvl w:ilvl="4">
      <w:start w:val="0"/>
      <w:numFmt w:val="bullet"/>
      <w:lvlText w:val="•"/>
      <w:lvlJc w:val="left"/>
      <w:pPr>
        <w:ind w:left="5668" w:hanging="841"/>
      </w:pPr>
      <w:rPr>
        <w:rFonts w:hint="default"/>
        <w:lang w:val="zh-CN" w:eastAsia="zh-CN" w:bidi="zh-CN"/>
      </w:rPr>
    </w:lvl>
    <w:lvl w:ilvl="5">
      <w:start w:val="0"/>
      <w:numFmt w:val="bullet"/>
      <w:lvlText w:val="•"/>
      <w:lvlJc w:val="left"/>
      <w:pPr>
        <w:ind w:left="6511" w:hanging="841"/>
      </w:pPr>
      <w:rPr>
        <w:rFonts w:hint="default"/>
        <w:lang w:val="zh-CN" w:eastAsia="zh-CN" w:bidi="zh-CN"/>
      </w:rPr>
    </w:lvl>
    <w:lvl w:ilvl="6">
      <w:start w:val="0"/>
      <w:numFmt w:val="bullet"/>
      <w:lvlText w:val="•"/>
      <w:lvlJc w:val="left"/>
      <w:pPr>
        <w:ind w:left="7354" w:hanging="841"/>
      </w:pPr>
      <w:rPr>
        <w:rFonts w:hint="default"/>
        <w:lang w:val="zh-CN" w:eastAsia="zh-CN" w:bidi="zh-CN"/>
      </w:rPr>
    </w:lvl>
    <w:lvl w:ilvl="7">
      <w:start w:val="0"/>
      <w:numFmt w:val="bullet"/>
      <w:lvlText w:val="•"/>
      <w:lvlJc w:val="left"/>
      <w:pPr>
        <w:ind w:left="8197" w:hanging="841"/>
      </w:pPr>
      <w:rPr>
        <w:rFonts w:hint="default"/>
        <w:lang w:val="zh-CN" w:eastAsia="zh-CN" w:bidi="zh-CN"/>
      </w:rPr>
    </w:lvl>
    <w:lvl w:ilvl="8">
      <w:start w:val="0"/>
      <w:numFmt w:val="bullet"/>
      <w:lvlText w:val="•"/>
      <w:lvlJc w:val="left"/>
      <w:pPr>
        <w:ind w:left="9040" w:hanging="841"/>
      </w:pPr>
      <w:rPr>
        <w:rFonts w:hint="default"/>
        <w:lang w:val="zh-CN" w:eastAsia="zh-CN" w:bidi="zh-CN"/>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lang w:val="zh-CN" w:eastAsia="zh-CN" w:bidi="zh-CN"/>
    </w:rPr>
  </w:style>
  <w:style w:type="paragraph" w:styleId="Heading1">
    <w:name w:val="heading 1"/>
    <w:basedOn w:val="Normal"/>
    <w:uiPriority w:val="1"/>
    <w:qFormat/>
    <w:pPr>
      <w:spacing w:before="78"/>
      <w:ind w:left="3596" w:hanging="854"/>
      <w:outlineLvl w:val="0"/>
    </w:pPr>
    <w:rPr>
      <w:rFonts w:ascii="楷体" w:eastAsia="楷体" w:hAnsi="楷体" w:cs="楷体"/>
      <w:b/>
      <w:bCs/>
      <w:sz w:val="24"/>
      <w:szCs w:val="24"/>
      <w:lang w:val="zh-CN" w:eastAsia="zh-CN" w:bidi="zh-CN"/>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43"/>
      <w:ind w:left="3133" w:hanging="841"/>
    </w:pPr>
    <w:rPr>
      <w:rFonts w:ascii="楷体" w:eastAsia="楷体" w:hAnsi="楷体" w:cs="楷体"/>
      <w:b/>
      <w:bCs/>
      <w:sz w:val="21"/>
      <w:szCs w:val="21"/>
      <w:lang w:val="zh-CN" w:eastAsia="zh-CN" w:bidi="zh-CN"/>
    </w:rPr>
  </w:style>
  <w:style w:type="paragraph" w:styleId="BodyText">
    <w:name w:val="Body Text"/>
    <w:basedOn w:val="Normal"/>
    <w:uiPriority w:val="1"/>
    <w:qFormat/>
    <w:rPr>
      <w:rFonts w:ascii="楷体" w:eastAsia="楷体" w:hAnsi="楷体" w:cs="楷体"/>
      <w:sz w:val="21"/>
      <w:szCs w:val="21"/>
      <w:lang w:val="zh-CN" w:eastAsia="zh-CN" w:bidi="zh-CN"/>
    </w:rPr>
  </w:style>
  <w:style w:type="paragraph" w:styleId="ListParagraph">
    <w:name w:val="List Paragraph"/>
    <w:basedOn w:val="Normal"/>
    <w:uiPriority w:val="1"/>
    <w:qFormat/>
    <w:pPr>
      <w:spacing w:before="43"/>
      <w:ind w:left="3596" w:hanging="854"/>
    </w:pPr>
    <w:rPr>
      <w:rFonts w:ascii="楷体" w:eastAsia="楷体" w:hAnsi="楷体" w:cs="楷体"/>
      <w:lang w:val="zh-CN" w:eastAsia="zh-CN" w:bidi="zh-CN"/>
    </w:rPr>
  </w:style>
  <w:style w:type="paragraph" w:customStyle="1" w:styleId="TableParagraph">
    <w:name w:val="Table Paragraph"/>
    <w:basedOn w:val="Normal"/>
    <w:uiPriority w:val="1"/>
    <w:qFormat/>
    <w:rPr>
      <w:rFonts w:ascii="楷体" w:eastAsia="楷体" w:hAnsi="楷体" w:cs="楷体"/>
      <w:lang w:val="zh-CN" w:eastAsia="zh-CN" w:bidi="zh-C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image" Target="media/image2.jpeg"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image" Target="media/image3.png" /><Relationship Id="rId31" Type="http://schemas.openxmlformats.org/officeDocument/2006/relationships/image" Target="media/image4.jpeg" /><Relationship Id="rId32" Type="http://schemas.openxmlformats.org/officeDocument/2006/relationships/header" Target="header13.xml" /><Relationship Id="rId33" Type="http://schemas.openxmlformats.org/officeDocument/2006/relationships/footer" Target="footer13.xml" /><Relationship Id="rId34" Type="http://schemas.openxmlformats.org/officeDocument/2006/relationships/header" Target="header14.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image" Target="media/image5.jpeg" /><Relationship Id="rId39" Type="http://schemas.openxmlformats.org/officeDocument/2006/relationships/image" Target="media/image6.jpeg" /><Relationship Id="rId4" Type="http://schemas.openxmlformats.org/officeDocument/2006/relationships/header" Target="header1.xml"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header" Target="header17.xml" /><Relationship Id="rId43" Type="http://schemas.openxmlformats.org/officeDocument/2006/relationships/footer" Target="footer17.xml" /><Relationship Id="rId44" Type="http://schemas.openxmlformats.org/officeDocument/2006/relationships/header" Target="header18.xml" /><Relationship Id="rId45" Type="http://schemas.openxmlformats.org/officeDocument/2006/relationships/footer" Target="footer18.xml" /><Relationship Id="rId46" Type="http://schemas.openxmlformats.org/officeDocument/2006/relationships/header" Target="header19.xml" /><Relationship Id="rId47" Type="http://schemas.openxmlformats.org/officeDocument/2006/relationships/footer" Target="footer19.xml" /><Relationship Id="rId48" Type="http://schemas.openxmlformats.org/officeDocument/2006/relationships/header" Target="header20.xml" /><Relationship Id="rId49" Type="http://schemas.openxmlformats.org/officeDocument/2006/relationships/footer" Target="footer20.xml" /><Relationship Id="rId5" Type="http://schemas.openxmlformats.org/officeDocument/2006/relationships/footer" Target="footer1.xml" /><Relationship Id="rId50" Type="http://schemas.openxmlformats.org/officeDocument/2006/relationships/header" Target="header21.xml" /><Relationship Id="rId51" Type="http://schemas.openxmlformats.org/officeDocument/2006/relationships/footer" Target="footer21.xml" /><Relationship Id="rId52" Type="http://schemas.openxmlformats.org/officeDocument/2006/relationships/header" Target="header22.xml" /><Relationship Id="rId53" Type="http://schemas.openxmlformats.org/officeDocument/2006/relationships/footer" Target="footer22.xml" /><Relationship Id="rId54" Type="http://schemas.openxmlformats.org/officeDocument/2006/relationships/header" Target="header23.xml" /><Relationship Id="rId55" Type="http://schemas.openxmlformats.org/officeDocument/2006/relationships/footer" Target="footer23.xml" /><Relationship Id="rId56" Type="http://schemas.openxmlformats.org/officeDocument/2006/relationships/header" Target="header24.xml" /><Relationship Id="rId57" Type="http://schemas.openxmlformats.org/officeDocument/2006/relationships/footer" Target="footer24.xml" /><Relationship Id="rId58" Type="http://schemas.openxmlformats.org/officeDocument/2006/relationships/image" Target="media/image7.png" /><Relationship Id="rId59" Type="http://schemas.openxmlformats.org/officeDocument/2006/relationships/image" Target="media/image8.png" /><Relationship Id="rId6" Type="http://schemas.openxmlformats.org/officeDocument/2006/relationships/image" Target="media/image1.png" /><Relationship Id="rId60" Type="http://schemas.openxmlformats.org/officeDocument/2006/relationships/image" Target="media/image9.png" /><Relationship Id="rId61" Type="http://schemas.openxmlformats.org/officeDocument/2006/relationships/header" Target="header25.xml" /><Relationship Id="rId62" Type="http://schemas.openxmlformats.org/officeDocument/2006/relationships/footer" Target="footer25.xml" /><Relationship Id="rId63" Type="http://schemas.openxmlformats.org/officeDocument/2006/relationships/header" Target="header26.xml" /><Relationship Id="rId64" Type="http://schemas.openxmlformats.org/officeDocument/2006/relationships/footer" Target="footer26.xml" /><Relationship Id="rId65" Type="http://schemas.openxmlformats.org/officeDocument/2006/relationships/header" Target="header27.xml" /><Relationship Id="rId66" Type="http://schemas.openxmlformats.org/officeDocument/2006/relationships/footer" Target="footer27.xml" /><Relationship Id="rId67" Type="http://schemas.openxmlformats.org/officeDocument/2006/relationships/image" Target="media/image10.png" /><Relationship Id="rId68" Type="http://schemas.openxmlformats.org/officeDocument/2006/relationships/image" Target="media/image11.png" /><Relationship Id="rId69" Type="http://schemas.openxmlformats.org/officeDocument/2006/relationships/image" Target="media/image12.png" /><Relationship Id="rId7" Type="http://schemas.openxmlformats.org/officeDocument/2006/relationships/header" Target="header2.xml" /><Relationship Id="rId70" Type="http://schemas.openxmlformats.org/officeDocument/2006/relationships/header" Target="header28.xml" /><Relationship Id="rId71" Type="http://schemas.openxmlformats.org/officeDocument/2006/relationships/footer" Target="footer28.xml" /><Relationship Id="rId72" Type="http://schemas.openxmlformats.org/officeDocument/2006/relationships/header" Target="header29.xml" /><Relationship Id="rId73" Type="http://schemas.openxmlformats.org/officeDocument/2006/relationships/footer" Target="footer29.xml" /><Relationship Id="rId74" Type="http://schemas.openxmlformats.org/officeDocument/2006/relationships/image" Target="media/image13.png" /><Relationship Id="rId75" Type="http://schemas.openxmlformats.org/officeDocument/2006/relationships/header" Target="header30.xml" /><Relationship Id="rId76" Type="http://schemas.openxmlformats.org/officeDocument/2006/relationships/footer" Target="footer30.xml" /><Relationship Id="rId77" Type="http://schemas.openxmlformats.org/officeDocument/2006/relationships/header" Target="header31.xml" /><Relationship Id="rId78" Type="http://schemas.openxmlformats.org/officeDocument/2006/relationships/footer" Target="footer31.xml" /><Relationship Id="rId79" Type="http://schemas.openxmlformats.org/officeDocument/2006/relationships/header" Target="header32.xml" /><Relationship Id="rId8" Type="http://schemas.openxmlformats.org/officeDocument/2006/relationships/footer" Target="footer2.xml" /><Relationship Id="rId80" Type="http://schemas.openxmlformats.org/officeDocument/2006/relationships/footer" Target="footer32.xml" /><Relationship Id="rId81" Type="http://schemas.openxmlformats.org/officeDocument/2006/relationships/header" Target="header33.xml" /><Relationship Id="rId82" Type="http://schemas.openxmlformats.org/officeDocument/2006/relationships/footer" Target="footer33.xml" /><Relationship Id="rId83" Type="http://schemas.openxmlformats.org/officeDocument/2006/relationships/header" Target="header34.xml" /><Relationship Id="rId84" Type="http://schemas.openxmlformats.org/officeDocument/2006/relationships/footer" Target="footer34.xml" /><Relationship Id="rId85" Type="http://schemas.openxmlformats.org/officeDocument/2006/relationships/header" Target="header35.xml" /><Relationship Id="rId86" Type="http://schemas.openxmlformats.org/officeDocument/2006/relationships/footer" Target="footer35.xml" /><Relationship Id="rId87" Type="http://schemas.openxmlformats.org/officeDocument/2006/relationships/hyperlink" Target="https://d.book118.com/398023122125006034" TargetMode="External" /><Relationship Id="rId88" Type="http://schemas.openxmlformats.org/officeDocument/2006/relationships/header" Target="header36.xml" /><Relationship Id="rId89" Type="http://schemas.openxmlformats.org/officeDocument/2006/relationships/footer" Target="footer36.xml" /><Relationship Id="rId9" Type="http://schemas.openxmlformats.org/officeDocument/2006/relationships/header" Target="header3.xml" /><Relationship Id="rId90" Type="http://schemas.openxmlformats.org/officeDocument/2006/relationships/theme" Target="theme/theme1.xml" /><Relationship Id="rId91" Type="http://schemas.openxmlformats.org/officeDocument/2006/relationships/numbering" Target="numbering.xml" /><Relationship Id="rId92"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2024-01-30T03:45:36Z</dcterms:created>
  <dcterms:modified xsi:type="dcterms:W3CDTF">2024-01-30T03:45:36Z</dcterms:modified>
</cp:coreProperties>
</file>