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固废处理设备项目规划设计纲要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99" w:history="1">
        <w:r>
          <w:rPr>
            <w:rFonts w:ascii="仿宋" w:eastAsia="仿宋" w:hAnsi="仿宋" w:cs="仿宋" w:hint="eastAsia"/>
            <w:lang w:eastAsia="zh-CN"/>
          </w:rPr>
          <w:t>概论</w:t>
        </w:r>
        <w:r>
          <w:tab/>
        </w:r>
        <w:r>
          <w:fldChar w:fldCharType="begin"/>
        </w:r>
        <w:r>
          <w:instrText xml:space="preserve"> PAGEREF _Toc15999 \h </w:instrText>
        </w:r>
        <w:r>
          <w:fldChar w:fldCharType="separate"/>
        </w:r>
        <w:r>
          <w:t>3</w:t>
        </w:r>
        <w:r>
          <w:fldChar w:fldCharType="end"/>
        </w:r>
      </w:hyperlink>
    </w:p>
    <w:p>
      <w:pPr>
        <w:pStyle w:val="TOC1"/>
        <w:tabs>
          <w:tab w:val="right" w:leader="dot" w:pos="8306"/>
        </w:tabs>
      </w:pPr>
      <w:hyperlink w:anchor="_Toc20940" w:history="1">
        <w:r>
          <w:rPr>
            <w:rFonts w:ascii="仿宋" w:eastAsia="仿宋" w:hAnsi="仿宋" w:cs="仿宋" w:hint="eastAsia"/>
            <w:lang w:eastAsia="zh-CN"/>
          </w:rPr>
          <w:t>一、固废处理设备项目建设背景及必要性分析</w:t>
        </w:r>
        <w:r>
          <w:tab/>
        </w:r>
        <w:r>
          <w:fldChar w:fldCharType="begin"/>
        </w:r>
        <w:r>
          <w:instrText xml:space="preserve"> PAGEREF _Toc20940 \h </w:instrText>
        </w:r>
        <w:r>
          <w:fldChar w:fldCharType="separate"/>
        </w:r>
        <w:r>
          <w:t>3</w:t>
        </w:r>
        <w:r>
          <w:fldChar w:fldCharType="end"/>
        </w:r>
      </w:hyperlink>
    </w:p>
    <w:p>
      <w:pPr>
        <w:pStyle w:val="TOC2"/>
        <w:tabs>
          <w:tab w:val="right" w:leader="dot" w:pos="8306"/>
        </w:tabs>
      </w:pPr>
      <w:hyperlink w:anchor="_Toc28646" w:history="1">
        <w:r>
          <w:rPr>
            <w:rFonts w:ascii="仿宋" w:eastAsia="仿宋" w:hAnsi="仿宋" w:cs="仿宋" w:hint="eastAsia"/>
            <w:lang w:eastAsia="zh-CN"/>
          </w:rPr>
          <w:t>(一)、固废处理设备项目背景分析</w:t>
        </w:r>
        <w:r>
          <w:tab/>
        </w:r>
        <w:r>
          <w:fldChar w:fldCharType="begin"/>
        </w:r>
        <w:r>
          <w:instrText xml:space="preserve"> PAGEREF _Toc28646 \h </w:instrText>
        </w:r>
        <w:r>
          <w:fldChar w:fldCharType="separate"/>
        </w:r>
        <w:r>
          <w:t>3</w:t>
        </w:r>
        <w:r>
          <w:fldChar w:fldCharType="end"/>
        </w:r>
      </w:hyperlink>
    </w:p>
    <w:p>
      <w:pPr>
        <w:pStyle w:val="TOC2"/>
        <w:tabs>
          <w:tab w:val="right" w:leader="dot" w:pos="8306"/>
        </w:tabs>
      </w:pPr>
      <w:hyperlink w:anchor="_Toc16198" w:history="1">
        <w:r>
          <w:rPr>
            <w:rFonts w:ascii="仿宋" w:eastAsia="仿宋" w:hAnsi="仿宋" w:cs="仿宋" w:hint="eastAsia"/>
            <w:lang w:eastAsia="zh-CN"/>
          </w:rPr>
          <w:t>(二)、固废处理设备项目建设必要性分析</w:t>
        </w:r>
        <w:r>
          <w:tab/>
        </w:r>
        <w:r>
          <w:fldChar w:fldCharType="begin"/>
        </w:r>
        <w:r>
          <w:instrText xml:space="preserve"> PAGEREF _Toc16198 \h </w:instrText>
        </w:r>
        <w:r>
          <w:fldChar w:fldCharType="separate"/>
        </w:r>
        <w:r>
          <w:t>5</w:t>
        </w:r>
        <w:r>
          <w:fldChar w:fldCharType="end"/>
        </w:r>
      </w:hyperlink>
    </w:p>
    <w:p>
      <w:pPr>
        <w:pStyle w:val="TOC1"/>
        <w:tabs>
          <w:tab w:val="right" w:leader="dot" w:pos="8306"/>
        </w:tabs>
      </w:pPr>
      <w:hyperlink w:anchor="_Toc32526" w:history="1">
        <w:r>
          <w:rPr>
            <w:rFonts w:ascii="仿宋" w:eastAsia="仿宋" w:hAnsi="仿宋" w:cs="仿宋" w:hint="eastAsia"/>
            <w:lang w:eastAsia="zh-CN"/>
          </w:rPr>
          <w:t>二、固废处理设备项目概论</w:t>
        </w:r>
        <w:r>
          <w:tab/>
        </w:r>
        <w:r>
          <w:fldChar w:fldCharType="begin"/>
        </w:r>
        <w:r>
          <w:instrText xml:space="preserve"> PAGEREF _Toc32526 \h </w:instrText>
        </w:r>
        <w:r>
          <w:fldChar w:fldCharType="separate"/>
        </w:r>
        <w:r>
          <w:t>6</w:t>
        </w:r>
        <w:r>
          <w:fldChar w:fldCharType="end"/>
        </w:r>
      </w:hyperlink>
    </w:p>
    <w:p>
      <w:pPr>
        <w:pStyle w:val="TOC2"/>
        <w:tabs>
          <w:tab w:val="right" w:leader="dot" w:pos="8306"/>
        </w:tabs>
      </w:pPr>
      <w:hyperlink w:anchor="_Toc30003" w:history="1">
        <w:r>
          <w:rPr>
            <w:rFonts w:ascii="仿宋" w:eastAsia="仿宋" w:hAnsi="仿宋" w:cs="仿宋" w:hint="eastAsia"/>
            <w:lang w:eastAsia="zh-CN"/>
          </w:rPr>
          <w:t>(一)、固废处理设备项目概况</w:t>
        </w:r>
        <w:r>
          <w:tab/>
        </w:r>
        <w:r>
          <w:fldChar w:fldCharType="begin"/>
        </w:r>
        <w:r>
          <w:instrText xml:space="preserve"> PAGEREF _Toc30003 \h </w:instrText>
        </w:r>
        <w:r>
          <w:fldChar w:fldCharType="separate"/>
        </w:r>
        <w:r>
          <w:t>6</w:t>
        </w:r>
        <w:r>
          <w:fldChar w:fldCharType="end"/>
        </w:r>
      </w:hyperlink>
    </w:p>
    <w:p>
      <w:pPr>
        <w:pStyle w:val="TOC2"/>
        <w:tabs>
          <w:tab w:val="right" w:leader="dot" w:pos="8306"/>
        </w:tabs>
      </w:pPr>
      <w:hyperlink w:anchor="_Toc29881" w:history="1">
        <w:r>
          <w:rPr>
            <w:rFonts w:ascii="仿宋" w:eastAsia="仿宋" w:hAnsi="仿宋" w:cs="仿宋" w:hint="eastAsia"/>
            <w:lang w:eastAsia="zh-CN"/>
          </w:rPr>
          <w:t>(二)、固废处理设备项目目标</w:t>
        </w:r>
        <w:r>
          <w:tab/>
        </w:r>
        <w:r>
          <w:fldChar w:fldCharType="begin"/>
        </w:r>
        <w:r>
          <w:instrText xml:space="preserve"> PAGEREF _Toc29881 \h </w:instrText>
        </w:r>
        <w:r>
          <w:fldChar w:fldCharType="separate"/>
        </w:r>
        <w:r>
          <w:t>8</w:t>
        </w:r>
        <w:r>
          <w:fldChar w:fldCharType="end"/>
        </w:r>
      </w:hyperlink>
    </w:p>
    <w:p>
      <w:pPr>
        <w:pStyle w:val="TOC2"/>
        <w:tabs>
          <w:tab w:val="right" w:leader="dot" w:pos="8306"/>
        </w:tabs>
      </w:pPr>
      <w:hyperlink w:anchor="_Toc2291" w:history="1">
        <w:r>
          <w:rPr>
            <w:rFonts w:ascii="仿宋" w:eastAsia="仿宋" w:hAnsi="仿宋" w:cs="仿宋" w:hint="eastAsia"/>
            <w:lang w:eastAsia="zh-CN"/>
          </w:rPr>
          <w:t>(三)、固废处理设备项目提出的理由</w:t>
        </w:r>
        <w:r>
          <w:tab/>
        </w:r>
        <w:r>
          <w:fldChar w:fldCharType="begin"/>
        </w:r>
        <w:r>
          <w:instrText xml:space="preserve"> PAGEREF _Toc2291 \h </w:instrText>
        </w:r>
        <w:r>
          <w:fldChar w:fldCharType="separate"/>
        </w:r>
        <w:r>
          <w:t>9</w:t>
        </w:r>
        <w:r>
          <w:fldChar w:fldCharType="end"/>
        </w:r>
      </w:hyperlink>
    </w:p>
    <w:p>
      <w:pPr>
        <w:pStyle w:val="TOC2"/>
        <w:tabs>
          <w:tab w:val="right" w:leader="dot" w:pos="8306"/>
        </w:tabs>
      </w:pPr>
      <w:hyperlink w:anchor="_Toc10705" w:history="1">
        <w:r>
          <w:rPr>
            <w:rFonts w:ascii="仿宋" w:eastAsia="仿宋" w:hAnsi="仿宋" w:cs="仿宋" w:hint="eastAsia"/>
            <w:lang w:eastAsia="zh-CN"/>
          </w:rPr>
          <w:t>(四)、固废处理设备项目意义</w:t>
        </w:r>
        <w:r>
          <w:tab/>
        </w:r>
        <w:r>
          <w:fldChar w:fldCharType="begin"/>
        </w:r>
        <w:r>
          <w:instrText xml:space="preserve"> PAGEREF _Toc10705 \h </w:instrText>
        </w:r>
        <w:r>
          <w:fldChar w:fldCharType="separate"/>
        </w:r>
        <w:r>
          <w:t>11</w:t>
        </w:r>
        <w:r>
          <w:fldChar w:fldCharType="end"/>
        </w:r>
      </w:hyperlink>
    </w:p>
    <w:p>
      <w:pPr>
        <w:pStyle w:val="TOC2"/>
        <w:tabs>
          <w:tab w:val="right" w:leader="dot" w:pos="8306"/>
        </w:tabs>
      </w:pPr>
      <w:hyperlink w:anchor="_Toc11466" w:history="1">
        <w:r>
          <w:rPr>
            <w:rFonts w:ascii="仿宋" w:eastAsia="仿宋" w:hAnsi="仿宋" w:cs="仿宋" w:hint="eastAsia"/>
            <w:lang w:eastAsia="zh-CN"/>
          </w:rPr>
          <w:t>(五)、固废处理设备项目背景</w:t>
        </w:r>
        <w:r>
          <w:tab/>
        </w:r>
        <w:r>
          <w:fldChar w:fldCharType="begin"/>
        </w:r>
        <w:r>
          <w:instrText xml:space="preserve"> PAGEREF _Toc11466 \h </w:instrText>
        </w:r>
        <w:r>
          <w:fldChar w:fldCharType="separate"/>
        </w:r>
        <w:r>
          <w:t>12</w:t>
        </w:r>
        <w:r>
          <w:fldChar w:fldCharType="end"/>
        </w:r>
      </w:hyperlink>
    </w:p>
    <w:p>
      <w:pPr>
        <w:pStyle w:val="TOC1"/>
        <w:tabs>
          <w:tab w:val="right" w:leader="dot" w:pos="8306"/>
        </w:tabs>
      </w:pPr>
      <w:hyperlink w:anchor="_Toc14486" w:history="1">
        <w:r>
          <w:rPr>
            <w:rFonts w:ascii="仿宋" w:eastAsia="仿宋" w:hAnsi="仿宋" w:cs="仿宋" w:hint="eastAsia"/>
            <w:lang w:eastAsia="zh-CN"/>
          </w:rPr>
          <w:t>三、固废处理设备项目危机管理</w:t>
        </w:r>
        <w:r>
          <w:tab/>
        </w:r>
        <w:r>
          <w:fldChar w:fldCharType="begin"/>
        </w:r>
        <w:r>
          <w:instrText xml:space="preserve"> PAGEREF _Toc14486 \h </w:instrText>
        </w:r>
        <w:r>
          <w:fldChar w:fldCharType="separate"/>
        </w:r>
        <w:r>
          <w:t>13</w:t>
        </w:r>
        <w:r>
          <w:fldChar w:fldCharType="end"/>
        </w:r>
      </w:hyperlink>
    </w:p>
    <w:p>
      <w:pPr>
        <w:pStyle w:val="TOC2"/>
        <w:tabs>
          <w:tab w:val="right" w:leader="dot" w:pos="8306"/>
        </w:tabs>
      </w:pPr>
      <w:hyperlink w:anchor="_Toc18107" w:history="1">
        <w:r>
          <w:rPr>
            <w:rFonts w:ascii="仿宋" w:eastAsia="仿宋" w:hAnsi="仿宋" w:cs="仿宋" w:hint="eastAsia"/>
            <w:lang w:eastAsia="zh-CN"/>
          </w:rPr>
          <w:t>(一)、危机预警与识别</w:t>
        </w:r>
        <w:r>
          <w:tab/>
        </w:r>
        <w:r>
          <w:fldChar w:fldCharType="begin"/>
        </w:r>
        <w:r>
          <w:instrText xml:space="preserve"> PAGEREF _Toc18107 \h </w:instrText>
        </w:r>
        <w:r>
          <w:fldChar w:fldCharType="separate"/>
        </w:r>
        <w:r>
          <w:t>13</w:t>
        </w:r>
        <w:r>
          <w:fldChar w:fldCharType="end"/>
        </w:r>
      </w:hyperlink>
    </w:p>
    <w:p>
      <w:pPr>
        <w:pStyle w:val="TOC2"/>
        <w:tabs>
          <w:tab w:val="right" w:leader="dot" w:pos="8306"/>
        </w:tabs>
      </w:pPr>
      <w:hyperlink w:anchor="_Toc30884" w:history="1">
        <w:r>
          <w:rPr>
            <w:rFonts w:ascii="仿宋" w:eastAsia="仿宋" w:hAnsi="仿宋" w:cs="仿宋" w:hint="eastAsia"/>
            <w:lang w:eastAsia="zh-CN"/>
          </w:rPr>
          <w:t>(二)、危机应对与恢复</w:t>
        </w:r>
        <w:r>
          <w:tab/>
        </w:r>
        <w:r>
          <w:fldChar w:fldCharType="begin"/>
        </w:r>
        <w:r>
          <w:instrText xml:space="preserve"> PAGEREF _Toc30884 \h </w:instrText>
        </w:r>
        <w:r>
          <w:fldChar w:fldCharType="separate"/>
        </w:r>
        <w:r>
          <w:t>14</w:t>
        </w:r>
        <w:r>
          <w:fldChar w:fldCharType="end"/>
        </w:r>
      </w:hyperlink>
    </w:p>
    <w:p>
      <w:pPr>
        <w:pStyle w:val="TOC1"/>
        <w:tabs>
          <w:tab w:val="right" w:leader="dot" w:pos="8306"/>
        </w:tabs>
      </w:pPr>
      <w:hyperlink w:anchor="_Toc15115" w:history="1">
        <w:r>
          <w:rPr>
            <w:rFonts w:ascii="仿宋" w:eastAsia="仿宋" w:hAnsi="仿宋" w:cs="仿宋" w:hint="eastAsia"/>
            <w:lang w:eastAsia="zh-CN"/>
          </w:rPr>
          <w:t>四、固废处理设备项目绩效评估</w:t>
        </w:r>
        <w:r>
          <w:tab/>
        </w:r>
        <w:r>
          <w:fldChar w:fldCharType="begin"/>
        </w:r>
        <w:r>
          <w:instrText xml:space="preserve"> PAGEREF _Toc15115 \h </w:instrText>
        </w:r>
        <w:r>
          <w:fldChar w:fldCharType="separate"/>
        </w:r>
        <w:r>
          <w:t>15</w:t>
        </w:r>
        <w:r>
          <w:fldChar w:fldCharType="end"/>
        </w:r>
      </w:hyperlink>
    </w:p>
    <w:p>
      <w:pPr>
        <w:pStyle w:val="TOC2"/>
        <w:tabs>
          <w:tab w:val="right" w:leader="dot" w:pos="8306"/>
        </w:tabs>
      </w:pPr>
      <w:hyperlink w:anchor="_Toc25565" w:history="1">
        <w:r>
          <w:rPr>
            <w:rFonts w:ascii="仿宋" w:eastAsia="仿宋" w:hAnsi="仿宋" w:cs="仿宋" w:hint="eastAsia"/>
            <w:lang w:eastAsia="zh-CN"/>
          </w:rPr>
          <w:t>(一)、绩效评估指标</w:t>
        </w:r>
        <w:r>
          <w:tab/>
        </w:r>
        <w:r>
          <w:fldChar w:fldCharType="begin"/>
        </w:r>
        <w:r>
          <w:instrText xml:space="preserve"> PAGEREF _Toc25565 \h </w:instrText>
        </w:r>
        <w:r>
          <w:fldChar w:fldCharType="separate"/>
        </w:r>
        <w:r>
          <w:t>15</w:t>
        </w:r>
        <w:r>
          <w:fldChar w:fldCharType="end"/>
        </w:r>
      </w:hyperlink>
    </w:p>
    <w:p>
      <w:pPr>
        <w:pStyle w:val="TOC2"/>
        <w:tabs>
          <w:tab w:val="right" w:leader="dot" w:pos="8306"/>
        </w:tabs>
      </w:pPr>
      <w:hyperlink w:anchor="_Toc28677" w:history="1">
        <w:r>
          <w:rPr>
            <w:rFonts w:ascii="仿宋" w:eastAsia="仿宋" w:hAnsi="仿宋" w:cs="仿宋" w:hint="eastAsia"/>
            <w:lang w:eastAsia="zh-CN"/>
          </w:rPr>
          <w:t>(二)、绩效评估方法</w:t>
        </w:r>
        <w:r>
          <w:tab/>
        </w:r>
        <w:r>
          <w:fldChar w:fldCharType="begin"/>
        </w:r>
        <w:r>
          <w:instrText xml:space="preserve"> PAGEREF _Toc28677 \h </w:instrText>
        </w:r>
        <w:r>
          <w:fldChar w:fldCharType="separate"/>
        </w:r>
        <w:r>
          <w:t>16</w:t>
        </w:r>
        <w:r>
          <w:fldChar w:fldCharType="end"/>
        </w:r>
      </w:hyperlink>
    </w:p>
    <w:p>
      <w:pPr>
        <w:pStyle w:val="TOC2"/>
        <w:tabs>
          <w:tab w:val="right" w:leader="dot" w:pos="8306"/>
        </w:tabs>
      </w:pPr>
      <w:hyperlink w:anchor="_Toc29603" w:history="1">
        <w:r>
          <w:rPr>
            <w:rFonts w:ascii="仿宋" w:eastAsia="仿宋" w:hAnsi="仿宋" w:cs="仿宋" w:hint="eastAsia"/>
            <w:lang w:eastAsia="zh-CN"/>
          </w:rPr>
          <w:t>(三)、绩效评估周期</w:t>
        </w:r>
        <w:r>
          <w:tab/>
        </w:r>
        <w:r>
          <w:fldChar w:fldCharType="begin"/>
        </w:r>
        <w:r>
          <w:instrText xml:space="preserve"> PAGEREF _Toc29603 \h </w:instrText>
        </w:r>
        <w:r>
          <w:fldChar w:fldCharType="separate"/>
        </w:r>
        <w:r>
          <w:t>17</w:t>
        </w:r>
        <w:r>
          <w:fldChar w:fldCharType="end"/>
        </w:r>
      </w:hyperlink>
    </w:p>
    <w:p>
      <w:pPr>
        <w:pStyle w:val="TOC1"/>
        <w:tabs>
          <w:tab w:val="right" w:leader="dot" w:pos="8306"/>
        </w:tabs>
      </w:pPr>
      <w:hyperlink w:anchor="_Toc31928" w:history="1">
        <w:r>
          <w:rPr>
            <w:rFonts w:ascii="仿宋" w:eastAsia="仿宋" w:hAnsi="仿宋" w:cs="仿宋" w:hint="eastAsia"/>
            <w:lang w:eastAsia="zh-CN"/>
          </w:rPr>
          <w:t>五、固废处理设备项目可持续发展</w:t>
        </w:r>
        <w:r>
          <w:tab/>
        </w:r>
        <w:r>
          <w:fldChar w:fldCharType="begin"/>
        </w:r>
        <w:r>
          <w:instrText xml:space="preserve"> PAGEREF _Toc31928 \h </w:instrText>
        </w:r>
        <w:r>
          <w:fldChar w:fldCharType="separate"/>
        </w:r>
        <w:r>
          <w:t>18</w:t>
        </w:r>
        <w:r>
          <w:fldChar w:fldCharType="end"/>
        </w:r>
      </w:hyperlink>
    </w:p>
    <w:p>
      <w:pPr>
        <w:pStyle w:val="TOC2"/>
        <w:tabs>
          <w:tab w:val="right" w:leader="dot" w:pos="8306"/>
        </w:tabs>
      </w:pPr>
      <w:hyperlink w:anchor="_Toc16667" w:history="1">
        <w:r>
          <w:rPr>
            <w:rFonts w:ascii="仿宋" w:eastAsia="仿宋" w:hAnsi="仿宋" w:cs="仿宋" w:hint="eastAsia"/>
            <w:lang w:eastAsia="zh-CN"/>
          </w:rPr>
          <w:t>(一)、可持续战略与实践</w:t>
        </w:r>
        <w:r>
          <w:tab/>
        </w:r>
        <w:r>
          <w:fldChar w:fldCharType="begin"/>
        </w:r>
        <w:r>
          <w:instrText xml:space="preserve"> PAGEREF _Toc16667 \h </w:instrText>
        </w:r>
        <w:r>
          <w:fldChar w:fldCharType="separate"/>
        </w:r>
        <w:r>
          <w:t>18</w:t>
        </w:r>
        <w:r>
          <w:fldChar w:fldCharType="end"/>
        </w:r>
      </w:hyperlink>
    </w:p>
    <w:p>
      <w:pPr>
        <w:pStyle w:val="TOC2"/>
        <w:tabs>
          <w:tab w:val="right" w:leader="dot" w:pos="8306"/>
        </w:tabs>
      </w:pPr>
      <w:hyperlink w:anchor="_Toc17090" w:history="1">
        <w:r>
          <w:rPr>
            <w:rFonts w:ascii="仿宋" w:eastAsia="仿宋" w:hAnsi="仿宋" w:cs="仿宋" w:hint="eastAsia"/>
            <w:lang w:eastAsia="zh-CN"/>
          </w:rPr>
          <w:t>(二)、环保与社会责任</w:t>
        </w:r>
        <w:r>
          <w:tab/>
        </w:r>
        <w:r>
          <w:fldChar w:fldCharType="begin"/>
        </w:r>
        <w:r>
          <w:instrText xml:space="preserve"> PAGEREF _Toc17090 \h </w:instrText>
        </w:r>
        <w:r>
          <w:fldChar w:fldCharType="separate"/>
        </w:r>
        <w:r>
          <w:t>19</w:t>
        </w:r>
        <w:r>
          <w:fldChar w:fldCharType="end"/>
        </w:r>
      </w:hyperlink>
    </w:p>
    <w:p>
      <w:pPr>
        <w:pStyle w:val="TOC1"/>
        <w:tabs>
          <w:tab w:val="right" w:leader="dot" w:pos="8306"/>
        </w:tabs>
      </w:pPr>
      <w:hyperlink w:anchor="_Toc18505" w:history="1">
        <w:r>
          <w:rPr>
            <w:rFonts w:ascii="仿宋" w:eastAsia="仿宋" w:hAnsi="仿宋" w:cs="仿宋" w:hint="eastAsia"/>
            <w:lang w:eastAsia="zh-CN"/>
          </w:rPr>
          <w:t>六、工艺说明</w:t>
        </w:r>
        <w:r>
          <w:tab/>
        </w:r>
        <w:r>
          <w:fldChar w:fldCharType="begin"/>
        </w:r>
        <w:r>
          <w:instrText xml:space="preserve"> PAGEREF _Toc18505 \h </w:instrText>
        </w:r>
        <w:r>
          <w:fldChar w:fldCharType="separate"/>
        </w:r>
        <w:r>
          <w:t>20</w:t>
        </w:r>
        <w:r>
          <w:fldChar w:fldCharType="end"/>
        </w:r>
      </w:hyperlink>
    </w:p>
    <w:p>
      <w:pPr>
        <w:pStyle w:val="TOC2"/>
        <w:tabs>
          <w:tab w:val="right" w:leader="dot" w:pos="8306"/>
        </w:tabs>
      </w:pPr>
      <w:hyperlink w:anchor="_Toc29550" w:history="1">
        <w:r>
          <w:rPr>
            <w:rFonts w:ascii="仿宋" w:eastAsia="仿宋" w:hAnsi="仿宋" w:cs="仿宋" w:hint="eastAsia"/>
            <w:lang w:eastAsia="zh-CN"/>
          </w:rPr>
          <w:t>(一)、技术管理特点</w:t>
        </w:r>
        <w:r>
          <w:tab/>
        </w:r>
        <w:r>
          <w:fldChar w:fldCharType="begin"/>
        </w:r>
        <w:r>
          <w:instrText xml:space="preserve"> PAGEREF _Toc29550 \h </w:instrText>
        </w:r>
        <w:r>
          <w:fldChar w:fldCharType="separate"/>
        </w:r>
        <w:r>
          <w:t>20</w:t>
        </w:r>
        <w:r>
          <w:fldChar w:fldCharType="end"/>
        </w:r>
      </w:hyperlink>
    </w:p>
    <w:p>
      <w:pPr>
        <w:pStyle w:val="TOC2"/>
        <w:tabs>
          <w:tab w:val="right" w:leader="dot" w:pos="8306"/>
        </w:tabs>
      </w:pPr>
      <w:hyperlink w:anchor="_Toc27971" w:history="1">
        <w:r>
          <w:rPr>
            <w:rFonts w:ascii="仿宋" w:eastAsia="仿宋" w:hAnsi="仿宋" w:cs="仿宋" w:hint="eastAsia"/>
            <w:lang w:eastAsia="zh-CN"/>
          </w:rPr>
          <w:t>(二)、固废处理设备项目工艺技术设计方案</w:t>
        </w:r>
        <w:r>
          <w:tab/>
        </w:r>
        <w:r>
          <w:fldChar w:fldCharType="begin"/>
        </w:r>
        <w:r>
          <w:instrText xml:space="preserve"> PAGEREF _Toc27971 \h </w:instrText>
        </w:r>
        <w:r>
          <w:fldChar w:fldCharType="separate"/>
        </w:r>
        <w:r>
          <w:t>21</w:t>
        </w:r>
        <w:r>
          <w:fldChar w:fldCharType="end"/>
        </w:r>
      </w:hyperlink>
    </w:p>
    <w:p>
      <w:pPr>
        <w:pStyle w:val="TOC2"/>
        <w:tabs>
          <w:tab w:val="right" w:leader="dot" w:pos="8306"/>
        </w:tabs>
      </w:pPr>
      <w:hyperlink w:anchor="_Toc17059" w:history="1">
        <w:r>
          <w:rPr>
            <w:rFonts w:ascii="仿宋" w:eastAsia="仿宋" w:hAnsi="仿宋" w:cs="仿宋" w:hint="eastAsia"/>
            <w:lang w:eastAsia="zh-CN"/>
          </w:rPr>
          <w:t>(三)、设备选型方案</w:t>
        </w:r>
        <w:r>
          <w:tab/>
        </w:r>
        <w:r>
          <w:fldChar w:fldCharType="begin"/>
        </w:r>
        <w:r>
          <w:instrText xml:space="preserve"> PAGEREF _Toc17059 \h </w:instrText>
        </w:r>
        <w:r>
          <w:fldChar w:fldCharType="separate"/>
        </w:r>
        <w:r>
          <w:t>22</w:t>
        </w:r>
        <w:r>
          <w:fldChar w:fldCharType="end"/>
        </w:r>
      </w:hyperlink>
    </w:p>
    <w:p>
      <w:pPr>
        <w:pStyle w:val="TOC1"/>
        <w:tabs>
          <w:tab w:val="right" w:leader="dot" w:pos="8306"/>
        </w:tabs>
      </w:pPr>
      <w:hyperlink w:anchor="_Toc7125" w:history="1">
        <w:r>
          <w:rPr>
            <w:rFonts w:ascii="仿宋" w:eastAsia="仿宋" w:hAnsi="仿宋" w:cs="仿宋" w:hint="eastAsia"/>
            <w:lang w:eastAsia="zh-CN"/>
          </w:rPr>
          <w:t>七、固废处理设备项目风险管理</w:t>
        </w:r>
        <w:r>
          <w:tab/>
        </w:r>
        <w:r>
          <w:fldChar w:fldCharType="begin"/>
        </w:r>
        <w:r>
          <w:instrText xml:space="preserve"> PAGEREF _Toc7125 \h </w:instrText>
        </w:r>
        <w:r>
          <w:fldChar w:fldCharType="separate"/>
        </w:r>
        <w:r>
          <w:t>24</w:t>
        </w:r>
        <w:r>
          <w:fldChar w:fldCharType="end"/>
        </w:r>
      </w:hyperlink>
    </w:p>
    <w:p>
      <w:pPr>
        <w:pStyle w:val="TOC2"/>
        <w:tabs>
          <w:tab w:val="right" w:leader="dot" w:pos="8306"/>
        </w:tabs>
      </w:pPr>
      <w:hyperlink w:anchor="_Toc24189" w:history="1">
        <w:r>
          <w:rPr>
            <w:rFonts w:ascii="仿宋" w:eastAsia="仿宋" w:hAnsi="仿宋" w:cs="仿宋" w:hint="eastAsia"/>
            <w:lang w:eastAsia="zh-CN"/>
          </w:rPr>
          <w:t>(一)、风险识别与评估</w:t>
        </w:r>
        <w:r>
          <w:tab/>
        </w:r>
        <w:r>
          <w:fldChar w:fldCharType="begin"/>
        </w:r>
        <w:r>
          <w:instrText xml:space="preserve"> PAGEREF _Toc24189 \h </w:instrText>
        </w:r>
        <w:r>
          <w:fldChar w:fldCharType="separate"/>
        </w:r>
        <w:r>
          <w:t>24</w:t>
        </w:r>
        <w:r>
          <w:fldChar w:fldCharType="end"/>
        </w:r>
      </w:hyperlink>
    </w:p>
    <w:p>
      <w:pPr>
        <w:pStyle w:val="TOC2"/>
        <w:tabs>
          <w:tab w:val="right" w:leader="dot" w:pos="8306"/>
        </w:tabs>
      </w:pPr>
      <w:hyperlink w:anchor="_Toc23868" w:history="1">
        <w:r>
          <w:rPr>
            <w:rFonts w:ascii="仿宋" w:eastAsia="仿宋" w:hAnsi="仿宋" w:cs="仿宋" w:hint="eastAsia"/>
            <w:lang w:eastAsia="zh-CN"/>
          </w:rPr>
          <w:t>(二)、风险应对策略</w:t>
        </w:r>
        <w:r>
          <w:tab/>
        </w:r>
        <w:r>
          <w:fldChar w:fldCharType="begin"/>
        </w:r>
        <w:r>
          <w:instrText xml:space="preserve"> PAGEREF _Toc23868 \h </w:instrText>
        </w:r>
        <w:r>
          <w:fldChar w:fldCharType="separate"/>
        </w:r>
        <w:r>
          <w:t>25</w:t>
        </w:r>
        <w:r>
          <w:fldChar w:fldCharType="end"/>
        </w:r>
      </w:hyperlink>
    </w:p>
    <w:p>
      <w:pPr>
        <w:pStyle w:val="TOC2"/>
        <w:tabs>
          <w:tab w:val="right" w:leader="dot" w:pos="8306"/>
        </w:tabs>
      </w:pPr>
      <w:hyperlink w:anchor="_Toc14473" w:history="1">
        <w:r>
          <w:rPr>
            <w:rFonts w:ascii="仿宋" w:eastAsia="仿宋" w:hAnsi="仿宋" w:cs="仿宋" w:hint="eastAsia"/>
            <w:lang w:eastAsia="zh-CN"/>
          </w:rPr>
          <w:t>(三)、风险监控与控制</w:t>
        </w:r>
        <w:r>
          <w:tab/>
        </w:r>
        <w:r>
          <w:fldChar w:fldCharType="begin"/>
        </w:r>
        <w:r>
          <w:instrText xml:space="preserve"> PAGEREF _Toc14473 \h </w:instrText>
        </w:r>
        <w:r>
          <w:fldChar w:fldCharType="separate"/>
        </w:r>
        <w:r>
          <w:t>27</w:t>
        </w:r>
        <w:r>
          <w:fldChar w:fldCharType="end"/>
        </w:r>
      </w:hyperlink>
    </w:p>
    <w:p>
      <w:pPr>
        <w:pStyle w:val="TOC1"/>
        <w:tabs>
          <w:tab w:val="right" w:leader="dot" w:pos="8306"/>
        </w:tabs>
      </w:pPr>
      <w:hyperlink w:anchor="_Toc23794" w:history="1">
        <w:r>
          <w:rPr>
            <w:rFonts w:ascii="仿宋" w:eastAsia="仿宋" w:hAnsi="仿宋" w:cs="仿宋" w:hint="eastAsia"/>
            <w:lang w:eastAsia="zh-CN"/>
          </w:rPr>
          <w:t>八、固废处理设备项目人力资源管理</w:t>
        </w:r>
        <w:r>
          <w:tab/>
        </w:r>
        <w:r>
          <w:fldChar w:fldCharType="begin"/>
        </w:r>
        <w:r>
          <w:instrText xml:space="preserve"> PAGEREF _Toc23794 \h </w:instrText>
        </w:r>
        <w:r>
          <w:fldChar w:fldCharType="separate"/>
        </w:r>
        <w:r>
          <w:t>28</w:t>
        </w:r>
        <w:r>
          <w:fldChar w:fldCharType="end"/>
        </w:r>
      </w:hyperlink>
    </w:p>
    <w:p>
      <w:pPr>
        <w:pStyle w:val="TOC2"/>
        <w:tabs>
          <w:tab w:val="right" w:leader="dot" w:pos="8306"/>
        </w:tabs>
      </w:pPr>
      <w:hyperlink w:anchor="_Toc22007" w:history="1">
        <w:r>
          <w:rPr>
            <w:rFonts w:ascii="仿宋" w:eastAsia="仿宋" w:hAnsi="仿宋" w:cs="仿宋" w:hint="eastAsia"/>
            <w:lang w:eastAsia="zh-CN"/>
          </w:rPr>
          <w:t>(一)、建立健全的预算管理制度</w:t>
        </w:r>
        <w:r>
          <w:tab/>
        </w:r>
        <w:r>
          <w:fldChar w:fldCharType="begin"/>
        </w:r>
        <w:r>
          <w:instrText xml:space="preserve"> PAGEREF _Toc22007 \h </w:instrText>
        </w:r>
        <w:r>
          <w:fldChar w:fldCharType="separate"/>
        </w:r>
        <w:r>
          <w:t>28</w:t>
        </w:r>
        <w:r>
          <w:fldChar w:fldCharType="end"/>
        </w:r>
      </w:hyperlink>
    </w:p>
    <w:p>
      <w:pPr>
        <w:pStyle w:val="TOC2"/>
        <w:tabs>
          <w:tab w:val="right" w:leader="dot" w:pos="8306"/>
        </w:tabs>
      </w:pPr>
      <w:hyperlink w:anchor="_Toc23708" w:history="1">
        <w:r>
          <w:rPr>
            <w:rFonts w:ascii="仿宋" w:eastAsia="仿宋" w:hAnsi="仿宋" w:cs="仿宋" w:hint="eastAsia"/>
            <w:lang w:eastAsia="zh-CN"/>
          </w:rPr>
          <w:t>(二)、加强资金流动监控</w:t>
        </w:r>
        <w:r>
          <w:tab/>
        </w:r>
        <w:r>
          <w:fldChar w:fldCharType="begin"/>
        </w:r>
        <w:r>
          <w:instrText xml:space="preserve"> PAGEREF _Toc23708 \h </w:instrText>
        </w:r>
        <w:r>
          <w:fldChar w:fldCharType="separate"/>
        </w:r>
        <w:r>
          <w:t>29</w:t>
        </w:r>
        <w:r>
          <w:fldChar w:fldCharType="end"/>
        </w:r>
      </w:hyperlink>
    </w:p>
    <w:p>
      <w:pPr>
        <w:pStyle w:val="TOC2"/>
        <w:tabs>
          <w:tab w:val="right" w:leader="dot" w:pos="8306"/>
        </w:tabs>
      </w:pPr>
      <w:hyperlink w:anchor="_Toc17982" w:history="1">
        <w:r>
          <w:rPr>
            <w:rFonts w:ascii="仿宋" w:eastAsia="仿宋" w:hAnsi="仿宋" w:cs="仿宋" w:hint="eastAsia"/>
            <w:lang w:eastAsia="zh-CN"/>
          </w:rPr>
          <w:t>(三)、制定完善的风险控制机制</w:t>
        </w:r>
        <w:r>
          <w:tab/>
        </w:r>
        <w:r>
          <w:fldChar w:fldCharType="begin"/>
        </w:r>
        <w:r>
          <w:instrText xml:space="preserve"> PAGEREF _Toc17982 \h </w:instrText>
        </w:r>
        <w:r>
          <w:fldChar w:fldCharType="separate"/>
        </w:r>
        <w:r>
          <w:t>31</w:t>
        </w:r>
        <w:r>
          <w:fldChar w:fldCharType="end"/>
        </w:r>
      </w:hyperlink>
    </w:p>
    <w:p>
      <w:pPr>
        <w:pStyle w:val="TOC2"/>
        <w:tabs>
          <w:tab w:val="right" w:leader="dot" w:pos="8306"/>
        </w:tabs>
      </w:pPr>
      <w:hyperlink w:anchor="_Toc22678" w:history="1">
        <w:r>
          <w:rPr>
            <w:rFonts w:ascii="仿宋" w:eastAsia="仿宋" w:hAnsi="仿宋" w:cs="仿宋" w:hint="eastAsia"/>
            <w:lang w:eastAsia="zh-CN"/>
          </w:rPr>
          <w:t>(四)、优化成本管理</w:t>
        </w:r>
        <w:r>
          <w:tab/>
        </w:r>
        <w:r>
          <w:fldChar w:fldCharType="begin"/>
        </w:r>
        <w:r>
          <w:instrText xml:space="preserve"> PAGEREF _Toc22678 \h </w:instrText>
        </w:r>
        <w:r>
          <w:fldChar w:fldCharType="separate"/>
        </w:r>
        <w:r>
          <w:t>32</w:t>
        </w:r>
        <w:r>
          <w:fldChar w:fldCharType="end"/>
        </w:r>
      </w:hyperlink>
    </w:p>
    <w:p>
      <w:pPr>
        <w:pStyle w:val="TOC1"/>
        <w:tabs>
          <w:tab w:val="right" w:leader="dot" w:pos="8306"/>
        </w:tabs>
      </w:pPr>
      <w:hyperlink w:anchor="_Toc7175" w:history="1">
        <w:r>
          <w:rPr>
            <w:rFonts w:ascii="仿宋" w:eastAsia="仿宋" w:hAnsi="仿宋" w:cs="仿宋" w:hint="eastAsia"/>
            <w:lang w:eastAsia="zh-CN"/>
          </w:rPr>
          <w:t>九、固废处理设备项目财务管理</w:t>
        </w:r>
        <w:r>
          <w:tab/>
        </w:r>
        <w:r>
          <w:fldChar w:fldCharType="begin"/>
        </w:r>
        <w:r>
          <w:instrText xml:space="preserve"> PAGEREF _Toc7175 \h </w:instrText>
        </w:r>
        <w:r>
          <w:fldChar w:fldCharType="separate"/>
        </w:r>
        <w:r>
          <w:t>33</w:t>
        </w:r>
        <w:r>
          <w:fldChar w:fldCharType="end"/>
        </w:r>
      </w:hyperlink>
    </w:p>
    <w:p>
      <w:pPr>
        <w:pStyle w:val="TOC2"/>
        <w:tabs>
          <w:tab w:val="right" w:leader="dot" w:pos="8306"/>
        </w:tabs>
      </w:pPr>
      <w:hyperlink w:anchor="_Toc27060" w:history="1">
        <w:r>
          <w:rPr>
            <w:rFonts w:ascii="仿宋" w:eastAsia="仿宋" w:hAnsi="仿宋" w:cs="仿宋" w:hint="eastAsia"/>
            <w:lang w:eastAsia="zh-CN"/>
          </w:rPr>
          <w:t>(一)、资金需求大</w:t>
        </w:r>
        <w:r>
          <w:tab/>
        </w:r>
        <w:r>
          <w:fldChar w:fldCharType="begin"/>
        </w:r>
        <w:r>
          <w:instrText xml:space="preserve"> PAGEREF _Toc27060 \h </w:instrText>
        </w:r>
        <w:r>
          <w:fldChar w:fldCharType="separate"/>
        </w:r>
        <w:r>
          <w:t>33</w:t>
        </w:r>
        <w:r>
          <w:fldChar w:fldCharType="end"/>
        </w:r>
      </w:hyperlink>
    </w:p>
    <w:p>
      <w:pPr>
        <w:pStyle w:val="TOC2"/>
        <w:tabs>
          <w:tab w:val="right" w:leader="dot" w:pos="8306"/>
        </w:tabs>
      </w:pPr>
      <w:hyperlink w:anchor="_Toc25186" w:history="1">
        <w:r>
          <w:rPr>
            <w:rFonts w:ascii="仿宋" w:eastAsia="仿宋" w:hAnsi="仿宋" w:cs="仿宋" w:hint="eastAsia"/>
            <w:lang w:eastAsia="zh-CN"/>
          </w:rPr>
          <w:t>(二)、研发周期长</w:t>
        </w:r>
        <w:r>
          <w:tab/>
        </w:r>
        <w:r>
          <w:fldChar w:fldCharType="begin"/>
        </w:r>
        <w:r>
          <w:instrText xml:space="preserve"> PAGEREF _Toc25186 \h </w:instrText>
        </w:r>
        <w:r>
          <w:fldChar w:fldCharType="separate"/>
        </w:r>
        <w:r>
          <w:t>34</w:t>
        </w:r>
        <w:r>
          <w:fldChar w:fldCharType="end"/>
        </w:r>
      </w:hyperlink>
    </w:p>
    <w:p>
      <w:pPr>
        <w:pStyle w:val="TOC2"/>
        <w:tabs>
          <w:tab w:val="right" w:leader="dot" w:pos="8306"/>
        </w:tabs>
      </w:pPr>
      <w:hyperlink w:anchor="_Toc5675" w:history="1">
        <w:r>
          <w:rPr>
            <w:rFonts w:ascii="仿宋" w:eastAsia="仿宋" w:hAnsi="仿宋" w:cs="仿宋" w:hint="eastAsia"/>
            <w:lang w:eastAsia="zh-CN"/>
          </w:rPr>
          <w:t>(三)、市场风险大</w:t>
        </w:r>
        <w:r>
          <w:tab/>
        </w:r>
        <w:r>
          <w:fldChar w:fldCharType="begin"/>
        </w:r>
        <w:r>
          <w:instrText xml:space="preserve"> PAGEREF _Toc5675 \h </w:instrText>
        </w:r>
        <w:r>
          <w:fldChar w:fldCharType="separate"/>
        </w:r>
        <w:r>
          <w:t>36</w:t>
        </w:r>
        <w:r>
          <w:fldChar w:fldCharType="end"/>
        </w:r>
      </w:hyperlink>
    </w:p>
    <w:p>
      <w:pPr>
        <w:pStyle w:val="TOC2"/>
        <w:tabs>
          <w:tab w:val="right" w:leader="dot" w:pos="8306"/>
        </w:tabs>
      </w:pPr>
      <w:hyperlink w:anchor="_Toc6276" w:history="1">
        <w:r>
          <w:rPr>
            <w:rFonts w:ascii="仿宋" w:eastAsia="仿宋" w:hAnsi="仿宋" w:cs="仿宋" w:hint="eastAsia"/>
            <w:lang w:eastAsia="zh-CN"/>
          </w:rPr>
          <w:t>(四)、利润率高</w:t>
        </w:r>
        <w:r>
          <w:tab/>
        </w:r>
        <w:r>
          <w:fldChar w:fldCharType="begin"/>
        </w:r>
        <w:r>
          <w:instrText xml:space="preserve"> PAGEREF _Toc6276 \h </w:instrText>
        </w:r>
        <w:r>
          <w:fldChar w:fldCharType="separate"/>
        </w:r>
        <w:r>
          <w:t>38</w:t>
        </w:r>
        <w:r>
          <w:fldChar w:fldCharType="end"/>
        </w:r>
      </w:hyperlink>
    </w:p>
    <w:p>
      <w:pPr>
        <w:pStyle w:val="TOC1"/>
        <w:tabs>
          <w:tab w:val="right" w:leader="dot" w:pos="8306"/>
        </w:tabs>
      </w:pPr>
      <w:hyperlink w:anchor="_Toc4812" w:history="1">
        <w:r>
          <w:rPr>
            <w:rFonts w:ascii="仿宋" w:eastAsia="仿宋" w:hAnsi="仿宋" w:cs="仿宋" w:hint="eastAsia"/>
            <w:lang w:eastAsia="zh-CN"/>
          </w:rPr>
          <w:t>十、固废处理设备项目创新与研发</w:t>
        </w:r>
        <w:r>
          <w:tab/>
        </w:r>
        <w:r>
          <w:fldChar w:fldCharType="begin"/>
        </w:r>
        <w:r>
          <w:instrText xml:space="preserve"> PAGEREF _Toc4812 \h </w:instrText>
        </w:r>
        <w:r>
          <w:fldChar w:fldCharType="separate"/>
        </w:r>
        <w:r>
          <w:t>41</w:t>
        </w:r>
        <w:r>
          <w:fldChar w:fldCharType="end"/>
        </w:r>
      </w:hyperlink>
    </w:p>
    <w:p>
      <w:pPr>
        <w:pStyle w:val="TOC2"/>
        <w:tabs>
          <w:tab w:val="right" w:leader="dot" w:pos="8306"/>
        </w:tabs>
      </w:pPr>
      <w:hyperlink w:anchor="_Toc20648" w:history="1">
        <w:r>
          <w:rPr>
            <w:rFonts w:ascii="仿宋" w:eastAsia="仿宋" w:hAnsi="仿宋" w:cs="仿宋" w:hint="eastAsia"/>
            <w:lang w:eastAsia="zh-CN"/>
          </w:rPr>
          <w:t>(一)、创新策略与方向</w:t>
        </w:r>
        <w:r>
          <w:tab/>
        </w:r>
        <w:r>
          <w:fldChar w:fldCharType="begin"/>
        </w:r>
        <w:r>
          <w:instrText xml:space="preserve"> PAGEREF _Toc20648 \h </w:instrText>
        </w:r>
        <w:r>
          <w:fldChar w:fldCharType="separate"/>
        </w:r>
        <w:r>
          <w:t>41</w:t>
        </w:r>
        <w:r>
          <w:fldChar w:fldCharType="end"/>
        </w:r>
      </w:hyperlink>
    </w:p>
    <w:p>
      <w:pPr>
        <w:pStyle w:val="TOC2"/>
        <w:tabs>
          <w:tab w:val="right" w:leader="dot" w:pos="8306"/>
        </w:tabs>
      </w:pPr>
      <w:hyperlink w:anchor="_Toc16109" w:history="1">
        <w:r>
          <w:rPr>
            <w:rFonts w:ascii="仿宋" w:eastAsia="仿宋" w:hAnsi="仿宋" w:cs="仿宋" w:hint="eastAsia"/>
            <w:lang w:eastAsia="zh-CN"/>
          </w:rPr>
          <w:t>(二)、研发规划与投入</w:t>
        </w:r>
        <w:r>
          <w:tab/>
        </w:r>
        <w:r>
          <w:fldChar w:fldCharType="begin"/>
        </w:r>
        <w:r>
          <w:instrText xml:space="preserve"> PAGEREF _Toc16109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98" w:history="1">
        <w:r>
          <w:rPr>
            <w:rFonts w:ascii="仿宋" w:eastAsia="仿宋" w:hAnsi="仿宋" w:cs="仿宋" w:hint="eastAsia"/>
            <w:lang w:eastAsia="zh-CN"/>
          </w:rPr>
          <w:t>十一、固废处理设备项目社会影响</w:t>
        </w:r>
        <w:r>
          <w:tab/>
        </w:r>
        <w:r>
          <w:fldChar w:fldCharType="begin"/>
        </w:r>
        <w:r>
          <w:instrText xml:space="preserve"> PAGEREF _Toc12998 \h </w:instrText>
        </w:r>
        <w:r>
          <w:fldChar w:fldCharType="separate"/>
        </w:r>
        <w:r>
          <w:t>44</w:t>
        </w:r>
        <w:r>
          <w:fldChar w:fldCharType="end"/>
        </w:r>
      </w:hyperlink>
    </w:p>
    <w:p>
      <w:pPr>
        <w:pStyle w:val="TOC2"/>
        <w:tabs>
          <w:tab w:val="right" w:leader="dot" w:pos="8306"/>
        </w:tabs>
      </w:pPr>
      <w:hyperlink w:anchor="_Toc14511" w:history="1">
        <w:r>
          <w:rPr>
            <w:rFonts w:ascii="仿宋" w:eastAsia="仿宋" w:hAnsi="仿宋" w:cs="仿宋" w:hint="eastAsia"/>
            <w:lang w:eastAsia="zh-CN"/>
          </w:rPr>
          <w:t>(一)、社会责任与义务</w:t>
        </w:r>
        <w:r>
          <w:tab/>
        </w:r>
        <w:r>
          <w:fldChar w:fldCharType="begin"/>
        </w:r>
        <w:r>
          <w:instrText xml:space="preserve"> PAGEREF _Toc14511 \h </w:instrText>
        </w:r>
        <w:r>
          <w:fldChar w:fldCharType="separate"/>
        </w:r>
        <w:r>
          <w:t>44</w:t>
        </w:r>
        <w:r>
          <w:fldChar w:fldCharType="end"/>
        </w:r>
      </w:hyperlink>
    </w:p>
    <w:p>
      <w:pPr>
        <w:pStyle w:val="TOC2"/>
        <w:tabs>
          <w:tab w:val="right" w:leader="dot" w:pos="8306"/>
        </w:tabs>
      </w:pPr>
      <w:hyperlink w:anchor="_Toc27202" w:history="1">
        <w:r>
          <w:rPr>
            <w:rFonts w:ascii="仿宋" w:eastAsia="仿宋" w:hAnsi="仿宋" w:cs="仿宋" w:hint="eastAsia"/>
            <w:lang w:eastAsia="zh-CN"/>
          </w:rPr>
          <w:t>(二)、社会参与与沟通</w:t>
        </w:r>
        <w:r>
          <w:tab/>
        </w:r>
        <w:r>
          <w:fldChar w:fldCharType="begin"/>
        </w:r>
        <w:r>
          <w:instrText xml:space="preserve"> PAGEREF _Toc27202 \h </w:instrText>
        </w:r>
        <w:r>
          <w:fldChar w:fldCharType="separate"/>
        </w:r>
        <w:r>
          <w:t>45</w:t>
        </w:r>
        <w:r>
          <w:fldChar w:fldCharType="end"/>
        </w:r>
      </w:hyperlink>
    </w:p>
    <w:p>
      <w:pPr>
        <w:pStyle w:val="TOC1"/>
        <w:tabs>
          <w:tab w:val="right" w:leader="dot" w:pos="8306"/>
        </w:tabs>
      </w:pPr>
      <w:hyperlink w:anchor="_Toc5267" w:history="1">
        <w:r>
          <w:rPr>
            <w:rFonts w:ascii="仿宋" w:eastAsia="仿宋" w:hAnsi="仿宋" w:cs="仿宋" w:hint="eastAsia"/>
            <w:lang w:eastAsia="zh-CN"/>
          </w:rPr>
          <w:t>十二、固废处理设备项目技术管理</w:t>
        </w:r>
        <w:r>
          <w:tab/>
        </w:r>
        <w:r>
          <w:fldChar w:fldCharType="begin"/>
        </w:r>
        <w:r>
          <w:instrText xml:space="preserve"> PAGEREF _Toc5267 \h </w:instrText>
        </w:r>
        <w:r>
          <w:fldChar w:fldCharType="separate"/>
        </w:r>
        <w:r>
          <w:t>45</w:t>
        </w:r>
        <w:r>
          <w:fldChar w:fldCharType="end"/>
        </w:r>
      </w:hyperlink>
    </w:p>
    <w:p>
      <w:pPr>
        <w:pStyle w:val="TOC2"/>
        <w:tabs>
          <w:tab w:val="right" w:leader="dot" w:pos="8306"/>
        </w:tabs>
      </w:pPr>
      <w:hyperlink w:anchor="_Toc32185" w:history="1">
        <w:r>
          <w:rPr>
            <w:rFonts w:ascii="仿宋" w:eastAsia="仿宋" w:hAnsi="仿宋" w:cs="仿宋" w:hint="eastAsia"/>
            <w:lang w:eastAsia="zh-CN"/>
          </w:rPr>
          <w:t>(一)、技术方案选用方向</w:t>
        </w:r>
        <w:r>
          <w:tab/>
        </w:r>
        <w:r>
          <w:fldChar w:fldCharType="begin"/>
        </w:r>
        <w:r>
          <w:instrText xml:space="preserve"> PAGEREF _Toc32185 \h </w:instrText>
        </w:r>
        <w:r>
          <w:fldChar w:fldCharType="separate"/>
        </w:r>
        <w:r>
          <w:t>45</w:t>
        </w:r>
        <w:r>
          <w:fldChar w:fldCharType="end"/>
        </w:r>
      </w:hyperlink>
    </w:p>
    <w:p>
      <w:pPr>
        <w:pStyle w:val="TOC2"/>
        <w:tabs>
          <w:tab w:val="right" w:leader="dot" w:pos="8306"/>
        </w:tabs>
      </w:pPr>
      <w:hyperlink w:anchor="_Toc23147" w:history="1">
        <w:r>
          <w:rPr>
            <w:rFonts w:ascii="仿宋" w:eastAsia="仿宋" w:hAnsi="仿宋" w:cs="仿宋" w:hint="eastAsia"/>
            <w:lang w:eastAsia="zh-CN"/>
          </w:rPr>
          <w:t>(二)、工艺技术方案选用原则</w:t>
        </w:r>
        <w:r>
          <w:tab/>
        </w:r>
        <w:r>
          <w:fldChar w:fldCharType="begin"/>
        </w:r>
        <w:r>
          <w:instrText xml:space="preserve"> PAGEREF _Toc23147 \h </w:instrText>
        </w:r>
        <w:r>
          <w:fldChar w:fldCharType="separate"/>
        </w:r>
        <w:r>
          <w:t>47</w:t>
        </w:r>
        <w:r>
          <w:fldChar w:fldCharType="end"/>
        </w:r>
      </w:hyperlink>
    </w:p>
    <w:p>
      <w:pPr>
        <w:pStyle w:val="TOC2"/>
        <w:tabs>
          <w:tab w:val="right" w:leader="dot" w:pos="8306"/>
        </w:tabs>
      </w:pPr>
      <w:hyperlink w:anchor="_Toc19097" w:history="1">
        <w:r>
          <w:rPr>
            <w:rFonts w:ascii="仿宋" w:eastAsia="仿宋" w:hAnsi="仿宋" w:cs="仿宋" w:hint="eastAsia"/>
            <w:lang w:eastAsia="zh-CN"/>
          </w:rPr>
          <w:t>(三)、工艺技术方案要求</w:t>
        </w:r>
        <w:r>
          <w:tab/>
        </w:r>
        <w:r>
          <w:fldChar w:fldCharType="begin"/>
        </w:r>
        <w:r>
          <w:instrText xml:space="preserve"> PAGEREF _Toc19097 \h </w:instrText>
        </w:r>
        <w:r>
          <w:fldChar w:fldCharType="separate"/>
        </w:r>
        <w:r>
          <w:t>49</w:t>
        </w:r>
        <w:r>
          <w:fldChar w:fldCharType="end"/>
        </w:r>
      </w:hyperlink>
    </w:p>
    <w:p>
      <w:pPr>
        <w:pStyle w:val="TOC1"/>
        <w:tabs>
          <w:tab w:val="right" w:leader="dot" w:pos="8306"/>
        </w:tabs>
      </w:pPr>
      <w:hyperlink w:anchor="_Toc15153" w:history="1">
        <w:r>
          <w:rPr>
            <w:rFonts w:ascii="仿宋" w:eastAsia="仿宋" w:hAnsi="仿宋" w:cs="仿宋" w:hint="eastAsia"/>
            <w:lang w:eastAsia="zh-CN"/>
          </w:rPr>
          <w:t>十三、利益相关者分析与沟通计划</w:t>
        </w:r>
        <w:r>
          <w:tab/>
        </w:r>
        <w:r>
          <w:fldChar w:fldCharType="begin"/>
        </w:r>
        <w:r>
          <w:instrText xml:space="preserve"> PAGEREF _Toc15153 \h </w:instrText>
        </w:r>
        <w:r>
          <w:fldChar w:fldCharType="separate"/>
        </w:r>
        <w:r>
          <w:t>52</w:t>
        </w:r>
        <w:r>
          <w:fldChar w:fldCharType="end"/>
        </w:r>
      </w:hyperlink>
    </w:p>
    <w:p>
      <w:pPr>
        <w:pStyle w:val="TOC2"/>
        <w:tabs>
          <w:tab w:val="right" w:leader="dot" w:pos="8306"/>
        </w:tabs>
      </w:pPr>
      <w:hyperlink w:anchor="_Toc27183" w:history="1">
        <w:r>
          <w:rPr>
            <w:rFonts w:ascii="仿宋" w:eastAsia="仿宋" w:hAnsi="仿宋" w:cs="仿宋" w:hint="eastAsia"/>
            <w:lang w:eastAsia="zh-CN"/>
          </w:rPr>
          <w:t>(一)、利益相关者分析</w:t>
        </w:r>
        <w:r>
          <w:tab/>
        </w:r>
        <w:r>
          <w:fldChar w:fldCharType="begin"/>
        </w:r>
        <w:r>
          <w:instrText xml:space="preserve"> PAGEREF _Toc27183 \h </w:instrText>
        </w:r>
        <w:r>
          <w:fldChar w:fldCharType="separate"/>
        </w:r>
        <w:r>
          <w:t>52</w:t>
        </w:r>
        <w:r>
          <w:fldChar w:fldCharType="end"/>
        </w:r>
      </w:hyperlink>
    </w:p>
    <w:p>
      <w:pPr>
        <w:pStyle w:val="TOC2"/>
        <w:tabs>
          <w:tab w:val="right" w:leader="dot" w:pos="8306"/>
        </w:tabs>
      </w:pPr>
      <w:hyperlink w:anchor="_Toc20050" w:history="1">
        <w:r>
          <w:rPr>
            <w:rFonts w:ascii="仿宋" w:eastAsia="仿宋" w:hAnsi="仿宋" w:cs="仿宋" w:hint="eastAsia"/>
            <w:lang w:eastAsia="zh-CN"/>
          </w:rPr>
          <w:t>(二)、沟通计划</w:t>
        </w:r>
        <w:r>
          <w:tab/>
        </w:r>
        <w:r>
          <w:fldChar w:fldCharType="begin"/>
        </w:r>
        <w:r>
          <w:instrText xml:space="preserve"> PAGEREF _Toc20050 \h </w:instrText>
        </w:r>
        <w:r>
          <w:fldChar w:fldCharType="separate"/>
        </w:r>
        <w:r>
          <w:t>53</w:t>
        </w:r>
        <w:r>
          <w:fldChar w:fldCharType="end"/>
        </w:r>
      </w:hyperlink>
    </w:p>
    <w:p>
      <w:pPr>
        <w:pStyle w:val="TOC1"/>
        <w:tabs>
          <w:tab w:val="right" w:leader="dot" w:pos="8306"/>
        </w:tabs>
      </w:pPr>
      <w:hyperlink w:anchor="_Toc13378" w:history="1">
        <w:r>
          <w:rPr>
            <w:rFonts w:ascii="仿宋" w:eastAsia="仿宋" w:hAnsi="仿宋" w:cs="仿宋" w:hint="eastAsia"/>
            <w:lang w:eastAsia="zh-CN"/>
          </w:rPr>
          <w:t>十四、风险识别与分类</w:t>
        </w:r>
        <w:r>
          <w:tab/>
        </w:r>
        <w:r>
          <w:fldChar w:fldCharType="begin"/>
        </w:r>
        <w:r>
          <w:instrText xml:space="preserve"> PAGEREF _Toc13378 \h </w:instrText>
        </w:r>
        <w:r>
          <w:fldChar w:fldCharType="separate"/>
        </w:r>
        <w:r>
          <w:t>54</w:t>
        </w:r>
        <w:r>
          <w:fldChar w:fldCharType="end"/>
        </w:r>
      </w:hyperlink>
    </w:p>
    <w:p>
      <w:pPr>
        <w:pStyle w:val="TOC2"/>
        <w:tabs>
          <w:tab w:val="right" w:leader="dot" w:pos="8306"/>
        </w:tabs>
      </w:pPr>
      <w:hyperlink w:anchor="_Toc23133" w:history="1">
        <w:r>
          <w:rPr>
            <w:rFonts w:ascii="仿宋" w:eastAsia="仿宋" w:hAnsi="仿宋" w:cs="仿宋" w:hint="eastAsia"/>
            <w:lang w:eastAsia="zh-CN"/>
          </w:rPr>
          <w:t>(一)、风险识别</w:t>
        </w:r>
        <w:r>
          <w:tab/>
        </w:r>
        <w:r>
          <w:fldChar w:fldCharType="begin"/>
        </w:r>
        <w:r>
          <w:instrText xml:space="preserve"> PAGEREF _Toc23133 \h </w:instrText>
        </w:r>
        <w:r>
          <w:fldChar w:fldCharType="separate"/>
        </w:r>
        <w:r>
          <w:t>54</w:t>
        </w:r>
        <w:r>
          <w:fldChar w:fldCharType="end"/>
        </w:r>
      </w:hyperlink>
    </w:p>
    <w:p>
      <w:pPr>
        <w:pStyle w:val="TOC2"/>
        <w:tabs>
          <w:tab w:val="right" w:leader="dot" w:pos="8306"/>
        </w:tabs>
      </w:pPr>
      <w:hyperlink w:anchor="_Toc29563" w:history="1">
        <w:r>
          <w:rPr>
            <w:rFonts w:ascii="仿宋" w:eastAsia="仿宋" w:hAnsi="仿宋" w:cs="仿宋" w:hint="eastAsia"/>
            <w:lang w:eastAsia="zh-CN"/>
          </w:rPr>
          <w:t>(二)、风险分类</w:t>
        </w:r>
        <w:r>
          <w:tab/>
        </w:r>
        <w:r>
          <w:fldChar w:fldCharType="begin"/>
        </w:r>
        <w:r>
          <w:instrText xml:space="preserve"> PAGEREF _Toc29563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940"/>
      <w:r>
        <w:rPr>
          <w:rFonts w:ascii="仿宋" w:eastAsia="仿宋" w:hAnsi="仿宋" w:cs="仿宋" w:hint="eastAsia"/>
          <w:sz w:val="28"/>
          <w:lang w:eastAsia="zh-CN"/>
        </w:rPr>
        <w:t>一、固废处理设备项目建设背景及必要性分析</w:t>
      </w:r>
      <w:bookmarkEnd w:id="2"/>
    </w:p>
    <w:p>
      <w:pPr>
        <w:pStyle w:val="Heading2"/>
        <w:rPr>
          <w:rFonts w:ascii="仿宋" w:eastAsia="仿宋" w:hAnsi="仿宋" w:cs="仿宋" w:hint="eastAsia"/>
          <w:lang w:eastAsia="zh-CN"/>
        </w:rPr>
      </w:pPr>
      <w:bookmarkStart w:id="3" w:name="_Toc28646"/>
      <w:r>
        <w:rPr>
          <w:rFonts w:ascii="仿宋" w:eastAsia="仿宋" w:hAnsi="仿宋" w:cs="仿宋" w:hint="eastAsia"/>
          <w:lang w:eastAsia="zh-CN"/>
        </w:rPr>
        <w:t>(一)、固废处理设备项目背景分析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固废处理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固废处理设备项目在这个潮流中的定位。同时，我们将关注行业内涌现的新兴机遇，以便固废处理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固废处理设备项目提供了强大的发展动力。我们将聚焦于行业内最新的技术发展趋势，包括但不限于人工智能、大数据分析、物联网等领域。通过深度的技术研究，我们将确保固废处理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固废处理设备项目发展的源泉。我们将投入更多的精力对市场需求进行深入剖析，超越表面的需求，深入挖掘潜在的市场痛点和机遇。通过对市场需求的细致了解，固废处理设备项目将更有针对性地设计解决方案，满足市场的多样化需求，从而更好地促进固废处理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固废处理设备项目战略至关重要。我们将对竞争态势进行更为深入的分析，包括但不限于市场份额、产品特点、客户满意度等多个维度。通过深度的竞争分析，固废处理设备项目将能够更准确地把握市场脉搏，制定具有竞争力的固废处理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固废处理设备项目的发展具有直接的影响。我们将进行更为全面的法规和政策分析，了解行业发展中的潜在法律风险和合规挑战。通过充分了解和遵守相关法规，固废处理设备项目将确保在法律框架内合法合规运营，为固废处理设备项目的稳健发展提供有力支持。</w:t>
      </w:r>
    </w:p>
    <w:p>
      <w:pPr>
        <w:pStyle w:val="Heading2"/>
        <w:ind w:firstLine="560" w:firstLineChars="200"/>
        <w:rPr>
          <w:rFonts w:ascii="仿宋" w:eastAsia="仿宋" w:hAnsi="仿宋" w:cs="仿宋" w:hint="eastAsia"/>
          <w:sz w:val="28"/>
          <w:lang w:eastAsia="zh-CN"/>
        </w:rPr>
      </w:pPr>
      <w:bookmarkStart w:id="4" w:name="_Toc16198"/>
      <w:r>
        <w:rPr>
          <w:rFonts w:ascii="仿宋" w:eastAsia="仿宋" w:hAnsi="仿宋" w:cs="仿宋" w:hint="eastAsia"/>
          <w:sz w:val="28"/>
          <w:lang w:eastAsia="zh-CN"/>
        </w:rPr>
        <w:t>(二)、固废处理设备项目建设必要性分析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建设的迫切性源于对行业发展趋势的深刻洞察。我们正处于一个行业变革的时代，科技创新、数字化转型成为企业发展的关键动力。固废处理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建设不仅仅是为了跟上潮流，更是为了通过技术创新推动企业的持续发展。通过引入先进的技术和解决方案，固废处理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固废处理设备项目的建设成为必然选择，通过提高产品质量、拓展服务领域，从而在竞争中获得更多的机会。固废处理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固废处理设备项目建设的必要性体现在对客户需求更精准的满足。通过固废处理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建设的背后是对企业持续创新的追求。只有通过不断创新，企业才能在竞争中立于不败之地。固废处理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2526"/>
      <w:r>
        <w:rPr>
          <w:rFonts w:ascii="仿宋" w:eastAsia="仿宋" w:hAnsi="仿宋" w:cs="仿宋" w:hint="eastAsia"/>
          <w:sz w:val="28"/>
          <w:lang w:eastAsia="zh-CN"/>
        </w:rPr>
        <w:t>二、固废处理设备项目概论</w:t>
      </w:r>
      <w:bookmarkEnd w:id="5"/>
    </w:p>
    <w:p>
      <w:pPr>
        <w:pStyle w:val="Heading2"/>
        <w:rPr>
          <w:rFonts w:ascii="仿宋" w:eastAsia="仿宋" w:hAnsi="仿宋" w:cs="仿宋" w:hint="eastAsia"/>
          <w:lang w:eastAsia="zh-CN"/>
        </w:rPr>
      </w:pPr>
      <w:bookmarkStart w:id="6" w:name="_Toc30003"/>
      <w:r>
        <w:rPr>
          <w:rFonts w:ascii="仿宋" w:eastAsia="仿宋" w:hAnsi="仿宋" w:cs="仿宋" w:hint="eastAsia"/>
          <w:lang w:eastAsia="zh-CN"/>
        </w:rPr>
        <w:t>(一)、固废处理设备项目概况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的起源追溯至对市场的深入洞察。市场的不断演变与变革为固废处理设备项目提供了难得的机遇。当前市场存在的需求缺口和变革的大环境共同构成了固废处理设备项目的背景。这个固废处理设备项目旨在充分利用市场机遇，填补行业中尚未满足的需求，为客户提供全新的解决方案。市场的变革和需求的增长使得这个固废处理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固废处理设备项目名称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正式命名为固废处理设备。这个名称不仅仅是一个标识，更代表了固废处理设备项目的核心理念和愿景。它蕴含着固废处理设备项目所要解决问题的关键字，具有强烈的表达和辨识度，为固废处理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固废处理设备项目目标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的核心目标是提供一种全新、高效的解决方案，满足客户日益增长的需求。固废处理设备项目追求的不仅仅是满足市场需求，更是在市场中获得卓越的竞争优势。通过不断提升产品或服务的质量和创新水平，固废处理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固废处理设备项目范围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全面涵盖了产品研发、制造、市场推广和售后服务，确保从产品设计到最终用户体验的全方位关注。这一全面的固废处理设备项目范围是为了确保固废处理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固废处理设备项目时间表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固废处理设备项目计划在未来18个月内完成，包括研发、测试、市场试点和正式推出等不同阶段。这个时间表的合理设计是为了确保固废处理设备项目各个阶段的顺利推进，以便按时交付高质量的成果。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固废处理设备项目预算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总预算估算为XX百万美元，主要分配在研发、市场推广、人员培训和运营等方面。这一充足的预算为固废处理设备项目提供了充足的资源，确保固废处理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固废处理设备项目风险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可能面临的风险包括市场接受度低、技术难题、竞争激烈等。固废处理设备项目团队已经制定了相应的风险应对计划，通过前瞻性的风险管理，确保固废处理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固废处理设备项目团队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固废处理设备项目汇聚了一支经验丰富、多领域专业素养的核心团队，确保固废处理设备项目在各个方面都能拥有高水平的执行力。团队的协同作战是固废处理设备项目成功的关键因素之一。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固废处理设备项目背景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固废处理设备项目的背景根植于市场对更高效、创新产品的渴望，同时也受到科技发展对行业格局的深刻改变的影响。这为固废处理设备项目提供了广阔的发展空间和市场需求。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固废处理设备项目现状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截至目前，固废处理设备项目已完成市场调研和技术验证，取得了初步的成功。这为固废处理设备项目在未来的发展奠定了坚实的基础，为更远大的目标打下了坚实的基石。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9881"/>
      <w:r>
        <w:rPr>
          <w:rFonts w:ascii="仿宋" w:eastAsia="仿宋" w:hAnsi="仿宋" w:cs="仿宋" w:hint="eastAsia"/>
          <w:sz w:val="28"/>
          <w:lang w:eastAsia="zh-CN"/>
        </w:rPr>
        <w:t>(二)、固废处理设备项目目标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keyword》固废处理设备项目首要业务目标是在市场中占据有利地位，实现产品/服务的成功推广和销售。通过不断提升产品质量、创新性，固废处理设备项目追求成为行业中的领导者，赢得更多客户的青睐。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在科技迅速发展的时代，固废处理设备项目着眼于技术创新。通过持续的研发和技术升级，固废处理设备项目旨在推出更具创新性的产品或服务，以满足市场对新鲜、先进解决方案的需求。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为了建立可持续的客户关系，固废处理设备项目设定了客户满意度目标。通过提供卓越的产品质量和优质的客户服务，固废处理设备项目追求赢得客户的信任和忠诚度，确保他们的满意度达到行业领先水平。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固废处理设备项目注重社会责任和可持续发展。通过实施环保、社会责任固废处理设备项目，固废处理设备项目致力于在经济发展的同时保护环境，促进社会公平，实现可持续经营。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固废处理设备项目的团队是实现目标的核心驱动力。因此，固废处理设备项目设定了团队发展目标，包括提升团队成员的专业技能、培养领导力，以及搭建协同高效的团队工作氛围。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291"/>
      <w:r>
        <w:rPr>
          <w:rFonts w:ascii="仿宋" w:eastAsia="仿宋" w:hAnsi="仿宋" w:cs="仿宋" w:hint="eastAsia"/>
          <w:sz w:val="28"/>
          <w:lang w:eastAsia="zh-CN"/>
        </w:rPr>
        <w:t>(三)、固废处理设备项目提出的理由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固废处理设备项目提出的理由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的提出源于对市场机遇的深刻洞察。当前市场中存在的需求缺口和行业发展趋势表明，有巨大的商业机会等待被开发。通过准确捕捉市场机遇，固废处理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的理念基于对技术创新的信仰。通过持续的研发和技术投入，固废处理设备项目有望推出更具创新性的产品或服务。在科技飞速发展的当下，固废处理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的提出是为了增强企业的行业竞争力。通过提升产品或服务的质量和独特性，固废处理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响应了消费者需求的变化。随着社会和科技的不断发展，消费者对产品和服务的需求也在发生变化。通过深入了解并及时回应消费者的新需求，固废处理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固废处理设备项目的提出是企业战略发展规划的一部分。在面对日益激烈的市场竞争和不断变化的商业环境中，固废处理设备项目作为企业战略的一环，旨在为企业开辟新的增长领域，巩固企业在行业中的地位。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的提出不仅仅是基于商业考量，还注重社会责任。通过推出环保、社会责任等方面的固废处理设备项目，固废处理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固废处理设备项目的提出反映了对利益相关者期望的关注。包括客户、员工、投资者等利益相关者在企业发展中都有着各自的期望，固废处理设备项目力求在满足这些期望的同时，取得更大的共赢。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0705"/>
      <w:r>
        <w:rPr>
          <w:rFonts w:ascii="仿宋" w:eastAsia="仿宋" w:hAnsi="仿宋" w:cs="仿宋" w:hint="eastAsia"/>
          <w:sz w:val="28"/>
          <w:lang w:eastAsia="zh-CN"/>
        </w:rPr>
        <w:t>(四)、固废处理设备项目意义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在实施固废处理设备项目的过程中，我们不仅仅是在追逐商业成功，更是为企业和社会的多个层面创造了深远的意义。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的首要意义在于提升企业的市场竞争力。通过持续的创新和对产品质量的高标准要求，固废处理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固废处理设备项目的推进将促使行业技术水平的提升。通过引入先进技术和创新性解决方案，固废处理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固废处理设备项目不仅创造了大量就业机会，提高了就业水平，还注重社会责任和环保。通过参与社会公益事业和推动环保固废处理设备项目，固废处理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综合而言，固废处理设备项目意义重大，不仅推动了企业的发展，也为行业和社会的进步贡献了积极力量。这是一个全面而深刻的影响，将在未来产生可持续的正面效应。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1466"/>
      <w:r>
        <w:rPr>
          <w:rFonts w:ascii="仿宋" w:eastAsia="仿宋" w:hAnsi="仿宋" w:cs="仿宋" w:hint="eastAsia"/>
          <w:sz w:val="28"/>
          <w:lang w:eastAsia="zh-CN"/>
        </w:rPr>
        <w:t>(五)、固废处理设备项目背景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在当今迅猛发展的商业环境中，固废处理设备项目的动因根植于对多方面因素的审慎考量。这个固废处理设备项目的提出并非孤立的决策，而是对企业所处背景深入思考的产物。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固废处理设备项目背后的首要原因。科技的迅速发展和全球市场的快速变化使得企业必须灵活应对。固废处理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竞争的激烈程度也是固废处理设备项目背景中不可忽视的一环。企业需要在激烈竞争中脱颖而出，为此，固废处理设备项目致力于打破常规，提供独特的价值主张，以吸引客户并确保市场份额的增长。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技术的迅速发展为企业带来了机遇与挑战。作为固废处理设备项目启动的背景之一，对新兴技术的应用将有助于提升企业的技术水平，使其在不断演进的商业环境中保持竞争优势。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此外，社会对企业责任的期望也在逐渐升高。固废处理设备项目充分融入了社会责任的理念，通过可持续经营和社会公益固废处理设备项目，企图为社会贡献一份力量，在商业成功的同时关注社会价值。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4486"/>
      <w:r>
        <w:rPr>
          <w:rFonts w:ascii="仿宋" w:eastAsia="仿宋" w:hAnsi="仿宋" w:cs="仿宋" w:hint="eastAsia"/>
          <w:sz w:val="28"/>
          <w:lang w:eastAsia="zh-CN"/>
        </w:rPr>
        <w:t>三、固废处理设备项目危机管理</w:t>
      </w:r>
      <w:bookmarkEnd w:id="11"/>
    </w:p>
    <w:p>
      <w:pPr>
        <w:pStyle w:val="Heading2"/>
        <w:rPr>
          <w:rFonts w:ascii="仿宋" w:eastAsia="仿宋" w:hAnsi="仿宋" w:cs="仿宋" w:hint="eastAsia"/>
          <w:lang w:eastAsia="zh-CN"/>
        </w:rPr>
      </w:pPr>
      <w:bookmarkStart w:id="12" w:name="_Toc18107"/>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固废处理设备项目危机管理中，危机预警与识别是确保固废处理设备项目稳健运行的核心步骤。通过建立全面的监测机制，固废处理设备项目团队旨在及时发现和理解潜在的风险和危机因素，以便采取及时的预防和应对措施，确保固废处理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首先，通过深入的风险评估，固废处理设备项目团队全面分析了整个固废处理设备项目和各个阶段可能存在的威胁。这包括准确评估每个潜在风险的发生概率和可能影响的程度，为后续危机预警提供了有力支持。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固废处理设备项目团队着重于明确定义固废处理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固废处理设备项目进展的持续监控，团队能够及时发现潜在问题并作出迅速反应。固废处理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在这一阶段，团队的专业素养和反应速度将发挥至关重要的作用，以确保潜在危机能够在初期得到有效的处理，最大程度地减轻负面影响。通过危机预警与识别，固废处理设备项目得以更有序、可控地推进。</w:t>
      </w:r>
    </w:p>
    <w:p>
      <w:pPr>
        <w:pStyle w:val="Heading2"/>
        <w:ind w:firstLine="560" w:firstLineChars="200"/>
        <w:rPr>
          <w:rFonts w:ascii="仿宋" w:eastAsia="仿宋" w:hAnsi="仿宋" w:cs="仿宋" w:hint="eastAsia"/>
          <w:sz w:val="28"/>
          <w:lang w:eastAsia="zh-CN"/>
        </w:rPr>
      </w:pPr>
      <w:bookmarkStart w:id="13" w:name="_Toc30884"/>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在危机发生时，固废处理设备项目团队立即行动，成立了应急小组。该小组的任务是迅速制定并实施紧急应对措施，以最小化潜在损失。以下是采取的主要措施：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暂停固废处理设备项目进度：为遏制危机蔓延，固废处理设备项目暂时停止进行，以便全面评估当前状况。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资源重新分配：重新评估固废处理设备项目资源的分配，确保最大限度地减小损失。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实时沟通：与关键利益相关者建立实时沟通机制，向他们传递固废处理设备项目危机的实际状况，保障固废处理设备项目核心利益。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在紧急应对的同时，固废处理设备项目团队强调了团队协作和有效沟通的重要性。以下是团队协作的关键举措：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信息共享机制：建立了信息共享平台，确保团队成员能够及时获取固废处理设备项目危机的实时信息。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领导者沟通：固废处理设备项目领导者通过定期会议和即时沟通工具，指导团队应对危机，保持团队稳定运行。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随着危机得到初步控制，固废处理设备项目团队转向制定恢复计划，以确保固废处理设备项目能够从中迅速恢复。主要恢复计划包括：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修复受损的进度计划：重新评估固废处理设备项目进度，制定修复计划，确保固废处理设备项目尽快回归正常进程。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重新调整资源分配：优化资源分配，确保固废处理设备项目在有限资源下高效运转。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风险管理机制加强：对固废处理设备项目风险进行全面评估，制定更强化的风险管理策略，以预防未来可能的危机。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5115"/>
      <w:r>
        <w:rPr>
          <w:rFonts w:ascii="仿宋" w:eastAsia="仿宋" w:hAnsi="仿宋" w:cs="仿宋" w:hint="eastAsia"/>
          <w:sz w:val="28"/>
          <w:lang w:eastAsia="zh-CN"/>
        </w:rPr>
        <w:t>四、固废处理设备项目绩效评估</w:t>
      </w:r>
      <w:bookmarkEnd w:id="14"/>
    </w:p>
    <w:p>
      <w:pPr>
        <w:pStyle w:val="Heading2"/>
        <w:rPr>
          <w:rFonts w:ascii="仿宋" w:eastAsia="仿宋" w:hAnsi="仿宋" w:cs="仿宋" w:hint="eastAsia"/>
          <w:lang w:eastAsia="zh-CN"/>
        </w:rPr>
      </w:pPr>
      <w:bookmarkStart w:id="15" w:name="_Toc25565"/>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固废处理设备项目中，我们设计了一套全面的绩效评估指标，以确保固废处理设备项目的可控和成功交付。这些指标跨足固废处理设备项目目标、成本、进度和质量等多个维度，为我们提供了全面洞察固废处理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目标达成率是我们关注的首要指标。我们设定了明确的目标，并通过定期监测和评估，迅速发现并应对潜在的目标偏差。这为固废处理设备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成本绩效是另一个核心关注点。通过实际成本与预算成本的对比分析，我们深入了解成本差异的原因，及时调整资源分配，保持固废处理设备项目在经济效益方面的合理水平。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固废处理设备项目进度作为关键的绩效指标之一，得到了精心的关注。我们制定了详细的固废处理设备项目进度计划，并设立了进度符合度指标，确保实际进度与计划进度保持一致。这使我们能够快速发现和解决潜在的进度问题，保持固废处理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固废处理设备项目绩效的不可或缺的一环。我们引入了一系列的质量标准和客户满意度指标，以确保固废处理设备项目交付的成果在质量上达到或超越预期水平。通过持续监测这些指标，我们努力提升固废处理设备项目整体质量水平，为固废处理设备项目的成功交付提供有力保障。通过这些科学且全面的绩效评估，我们能够更好地引导固废处理设备项目的持续改进，确保固废处理设备项目目标的顺利达成。</w:t>
      </w:r>
    </w:p>
    <w:p>
      <w:pPr>
        <w:pStyle w:val="Heading2"/>
        <w:ind w:firstLine="560" w:firstLineChars="200"/>
        <w:rPr>
          <w:rFonts w:ascii="仿宋" w:eastAsia="仿宋" w:hAnsi="仿宋" w:cs="仿宋" w:hint="eastAsia"/>
          <w:sz w:val="28"/>
          <w:lang w:eastAsia="zh-CN"/>
        </w:rPr>
      </w:pPr>
      <w:bookmarkStart w:id="16" w:name="_Toc28677"/>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绩效评估是固废处理设备项目中的关键环节，为确保固废处理设备项目达到预期目标，我们采用了多层次、多维度的绩效评估方法。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固废处理设备项目的战略目标对齐，确保每个决策和行动都与固废处理设备项目整体目标保持一致。团队会定期召开战略对齐会议，审视当前工作与固废处理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https://d.book118.com/398063062112006045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固废处理设备项目规划设计纲要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205C4D"/>
    <w:rsid w:val="03205C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806306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2024-03-01T21:22:00Z</dcterms:created>
  <dcterms:modified xsi:type="dcterms:W3CDTF">2024-03-01T21:22:31Z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BBB87C2FA7AA41308649CCA9DCD47E05_11</vt:lpwstr>
  </property>
  <property fmtid="{D5CDD505-2E9C-101B-9397-08002B2CF9AE}" pid="3" name="KSOProductBuildVer">
    <vt:lpwstr>2052-12.1.0.16388</vt:lpwstr>
  </property>
</Properties>
</file>