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07" w:line="602" w:lineRule="exact"/>
        <w:ind w:left="13"/>
      </w:pPr>
      <w:r>
        <w:rPr>
          <w:spacing w:val="9"/>
          <w:position w:val="25"/>
        </w:rPr>
        <w:t>2024凝胶过滤层析结合液相色谱-串联质谱法测定血清中游离甲状腺</w:t>
      </w:r>
    </w:p>
    <w:p>
      <w:pPr>
        <w:pStyle w:val="BodyText"/>
        <w:spacing w:line="222" w:lineRule="auto"/>
        <w:ind w:left="3873"/>
      </w:pPr>
      <w:r>
        <w:rPr>
          <w:spacing w:val="19"/>
        </w:rPr>
        <w:t>激素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88" w:line="426" w:lineRule="auto"/>
        <w:ind w:left="13" w:right="15" w:firstLine="430"/>
      </w:pPr>
      <w:r>
        <w:rPr>
          <w:spacing w:val="17"/>
        </w:rPr>
        <w:t>基于凝胶过滤层析</w:t>
      </w:r>
      <w:r>
        <w:rPr>
          <w:rFonts w:ascii="SimSun" w:eastAsia="SimSun" w:hAnsi="SimSun" w:cs="SimSun"/>
          <w:spacing w:val="17"/>
        </w:rPr>
        <w:t>(</w:t>
      </w:r>
      <w:r>
        <w:rPr>
          <w:rFonts w:ascii="SimSun" w:eastAsia="SimSun" w:hAnsi="SimSun" w:cs="SimSun"/>
        </w:rPr>
        <w:t>GFC</w:t>
      </w:r>
      <w:r>
        <w:rPr>
          <w:rFonts w:ascii="SimSun" w:eastAsia="SimSun" w:hAnsi="SimSun" w:cs="SimSun"/>
          <w:spacing w:val="17"/>
        </w:rPr>
        <w:t>)</w:t>
      </w:r>
      <w:r>
        <w:rPr>
          <w:rFonts w:ascii="SimSun" w:eastAsia="SimSun" w:hAnsi="SimSun" w:cs="SimSun"/>
          <w:spacing w:val="-16"/>
        </w:rPr>
        <w:t xml:space="preserve"> </w:t>
      </w:r>
      <w:r>
        <w:rPr>
          <w:spacing w:val="17"/>
        </w:rPr>
        <w:t>进行前处理，结合液相色谱-串联质谱</w:t>
      </w:r>
      <w:r>
        <w:t xml:space="preserve"> </w:t>
      </w:r>
      <w:r>
        <w:rPr>
          <w:rFonts w:ascii="Times New Roman" w:eastAsia="Times New Roman" w:hAnsi="Times New Roman" w:cs="Times New Roman"/>
          <w:spacing w:val="8"/>
        </w:rPr>
        <w:t>(</w:t>
      </w:r>
      <w:r>
        <w:rPr>
          <w:rFonts w:ascii="Times New Roman" w:eastAsia="Times New Roman" w:hAnsi="Times New Roman" w:cs="Times New Roman"/>
        </w:rPr>
        <w:t>LC</w:t>
      </w:r>
      <w:r>
        <w:rPr>
          <w:rFonts w:ascii="Times New Roman" w:eastAsia="Times New Roman" w:hAnsi="Times New Roman" w:cs="Times New Roman"/>
          <w:spacing w:val="8"/>
        </w:rPr>
        <w:t>-</w:t>
      </w:r>
      <w:r>
        <w:rPr>
          <w:rFonts w:ascii="Times New Roman" w:eastAsia="Times New Roman" w:hAnsi="Times New Roman" w:cs="Times New Roman"/>
        </w:rPr>
        <w:t>MS</w:t>
      </w:r>
      <w:r>
        <w:rPr>
          <w:rFonts w:ascii="Times New Roman" w:eastAsia="Times New Roman" w:hAnsi="Times New Roman" w:cs="Times New Roman"/>
          <w:spacing w:val="8"/>
        </w:rPr>
        <w:t>/</w:t>
      </w:r>
      <w:r>
        <w:rPr>
          <w:rFonts w:ascii="Times New Roman" w:eastAsia="Times New Roman" w:hAnsi="Times New Roman" w:cs="Times New Roman"/>
        </w:rPr>
        <w:t>MS</w:t>
      </w:r>
      <w:r>
        <w:rPr>
          <w:rFonts w:ascii="Times New Roman" w:eastAsia="Times New Roman" w:hAnsi="Times New Roman" w:cs="Times New Roman"/>
          <w:spacing w:val="8"/>
        </w:rPr>
        <w:t>)</w:t>
      </w:r>
      <w:r>
        <w:rPr>
          <w:rFonts w:ascii="Times New Roman" w:eastAsia="Times New Roman" w:hAnsi="Times New Roman" w:cs="Times New Roman"/>
          <w:spacing w:val="46"/>
          <w:w w:val="101"/>
        </w:rPr>
        <w:t xml:space="preserve"> </w:t>
      </w:r>
      <w:r>
        <w:rPr>
          <w:spacing w:val="8"/>
        </w:rPr>
        <w:t>建立了血清中游离三碘甲腺原氨酸</w:t>
      </w:r>
      <w:r>
        <w:rPr>
          <w:rFonts w:ascii="Times New Roman" w:eastAsia="Times New Roman" w:hAnsi="Times New Roman" w:cs="Times New Roman"/>
          <w:spacing w:val="8"/>
        </w:rPr>
        <w:t>(</w:t>
      </w:r>
      <w:r>
        <w:rPr>
          <w:rFonts w:ascii="Times New Roman" w:eastAsia="Times New Roman" w:hAnsi="Times New Roman" w:cs="Times New Roman"/>
        </w:rPr>
        <w:t>FT</w:t>
      </w:r>
      <w:r>
        <w:rPr>
          <w:rFonts w:ascii="Times New Roman" w:eastAsia="Times New Roman" w:hAnsi="Times New Roman" w:cs="Times New Roman"/>
          <w:spacing w:val="8"/>
        </w:rPr>
        <w:t xml:space="preserve">3)  </w:t>
      </w:r>
      <w:r>
        <w:rPr>
          <w:spacing w:val="8"/>
        </w:rPr>
        <w:t>和游离甲状腺</w:t>
      </w:r>
      <w:r>
        <w:t xml:space="preserve"> </w:t>
      </w:r>
      <w:r>
        <w:rPr>
          <w:spacing w:val="2"/>
        </w:rPr>
        <w:t>素</w:t>
      </w:r>
      <w:r>
        <w:rPr>
          <w:rFonts w:ascii="SimSun" w:eastAsia="SimSun" w:hAnsi="SimSun" w:cs="SimSun"/>
          <w:spacing w:val="2"/>
        </w:rPr>
        <w:t>(</w:t>
      </w:r>
      <w:r>
        <w:rPr>
          <w:rFonts w:ascii="SimSun" w:eastAsia="SimSun" w:hAnsi="SimSun" w:cs="SimSun"/>
        </w:rPr>
        <w:t>FT</w:t>
      </w:r>
      <w:r>
        <w:rPr>
          <w:rFonts w:ascii="SimSun" w:eastAsia="SimSun" w:hAnsi="SimSun" w:cs="SimSun"/>
          <w:spacing w:val="2"/>
        </w:rPr>
        <w:t>4)</w:t>
      </w:r>
      <w:r>
        <w:rPr>
          <w:spacing w:val="2"/>
        </w:rPr>
        <w:t>的高通量、高灵敏检测新方法。选用</w:t>
      </w:r>
      <w:r>
        <w:rPr>
          <w:spacing w:val="2"/>
        </w:rPr>
        <w:t xml:space="preserve"> </w:t>
      </w:r>
      <w:r>
        <w:rPr>
          <w:rFonts w:ascii="SimSun" w:eastAsia="SimSun" w:hAnsi="SimSun" w:cs="SimSun"/>
        </w:rPr>
        <w:t>Sephadex</w:t>
      </w:r>
      <w:r>
        <w:rPr>
          <w:rFonts w:ascii="SimSun" w:eastAsia="SimSun" w:hAnsi="SimSun" w:cs="SimSun"/>
          <w:spacing w:val="2"/>
        </w:rPr>
        <w:t xml:space="preserve">   </w:t>
      </w:r>
      <w:r>
        <w:rPr>
          <w:rFonts w:ascii="SimSun" w:eastAsia="SimSun" w:hAnsi="SimSun" w:cs="SimSun"/>
        </w:rPr>
        <w:t>LH</w:t>
      </w:r>
      <w:r>
        <w:rPr>
          <w:rFonts w:ascii="SimSun" w:eastAsia="SimSun" w:hAnsi="SimSun" w:cs="SimSun"/>
          <w:spacing w:val="2"/>
        </w:rPr>
        <w:t>-20</w:t>
      </w:r>
      <w:r>
        <w:rPr>
          <w:rFonts w:ascii="SimSun" w:eastAsia="SimSun" w:hAnsi="SimSun" w:cs="SimSun"/>
          <w:spacing w:val="-22"/>
        </w:rPr>
        <w:t xml:space="preserve"> </w:t>
      </w:r>
      <w:r>
        <w:rPr>
          <w:spacing w:val="2"/>
        </w:rPr>
        <w:t>凝胶</w:t>
      </w:r>
      <w:r>
        <w:t xml:space="preserve"> </w:t>
      </w:r>
      <w:r>
        <w:rPr>
          <w:spacing w:val="5"/>
        </w:rPr>
        <w:t>小柱对150</w:t>
      </w:r>
      <w:r>
        <w:rPr>
          <w:spacing w:val="5"/>
        </w:rPr>
        <w:t xml:space="preserve"> </w:t>
      </w:r>
      <w:r>
        <w:rPr>
          <w:spacing w:val="5"/>
        </w:rPr>
        <w:t>μ</w:t>
      </w:r>
      <w:r>
        <w:rPr>
          <w:rFonts w:ascii="SimSun" w:eastAsia="SimSun" w:hAnsi="SimSun" w:cs="SimSun"/>
          <w:spacing w:val="5"/>
        </w:rPr>
        <w:t xml:space="preserve">L </w:t>
      </w:r>
      <w:r>
        <w:rPr>
          <w:spacing w:val="5"/>
        </w:rPr>
        <w:t>血清样本进行过滤分离，先用</w:t>
      </w:r>
      <w:r>
        <w:rPr>
          <w:spacing w:val="5"/>
        </w:rPr>
        <w:t xml:space="preserve"> </w:t>
      </w:r>
      <w:r>
        <w:rPr>
          <w:rFonts w:ascii="SimSun" w:eastAsia="SimSun" w:hAnsi="SimSun" w:cs="SimSun"/>
        </w:rPr>
        <w:t>Tris</w:t>
      </w:r>
      <w:r>
        <w:rPr>
          <w:rFonts w:ascii="SimSun" w:eastAsia="SimSun" w:hAnsi="SimSun" w:cs="SimSun"/>
          <w:spacing w:val="5"/>
        </w:rPr>
        <w:t>-</w:t>
      </w:r>
      <w:r>
        <w:rPr>
          <w:rFonts w:ascii="SimSun" w:eastAsia="SimSun" w:hAnsi="SimSun" w:cs="SimSun"/>
        </w:rPr>
        <w:t>HCl</w:t>
      </w:r>
      <w:r>
        <w:rPr>
          <w:rFonts w:ascii="SimSun" w:eastAsia="SimSun" w:hAnsi="SimSun" w:cs="SimSun"/>
          <w:spacing w:val="5"/>
        </w:rPr>
        <w:t xml:space="preserve"> </w:t>
      </w:r>
      <w:r>
        <w:rPr>
          <w:spacing w:val="5"/>
        </w:rPr>
        <w:t>缓冲液(</w:t>
      </w:r>
      <w:r>
        <w:rPr>
          <w:spacing w:val="4"/>
        </w:rPr>
        <w:t>0.1</w:t>
      </w:r>
      <w:r>
        <w:t xml:space="preserve"> </w:t>
      </w:r>
      <w:r>
        <w:rPr>
          <w:rFonts w:ascii="SimSun" w:eastAsia="SimSun" w:hAnsi="SimSun" w:cs="SimSun"/>
        </w:rPr>
        <w:t>mol/L,pH</w:t>
      </w:r>
      <w:r>
        <w:rPr>
          <w:rFonts w:ascii="SimSun" w:eastAsia="SimSun" w:hAnsi="SimSun" w:cs="SimSun"/>
          <w:spacing w:val="45"/>
        </w:rPr>
        <w:t xml:space="preserve"> </w:t>
      </w:r>
      <w:r>
        <w:rPr>
          <w:rFonts w:ascii="SimSun" w:eastAsia="SimSun" w:hAnsi="SimSun" w:cs="SimSun"/>
        </w:rPr>
        <w:t>7.4)</w:t>
      </w:r>
      <w:r>
        <w:t>淋洗去除结合蛋白的甲状腺激素，然</w:t>
      </w:r>
      <w:r>
        <w:rPr>
          <w:spacing w:val="-1"/>
        </w:rPr>
        <w:t>后用甲醇对游离的</w:t>
      </w:r>
      <w:r>
        <w:t xml:space="preserve"> </w:t>
      </w:r>
      <w:r>
        <w:rPr>
          <w:spacing w:val="-1"/>
        </w:rPr>
        <w:t>甲状腺激素进行洗脱，采用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LC-MS/MS  </w:t>
      </w:r>
      <w:r>
        <w:rPr>
          <w:spacing w:val="-1"/>
        </w:rPr>
        <w:t>法进行检测和定量，并进行方</w:t>
      </w:r>
      <w:r>
        <w:t xml:space="preserve"> </w:t>
      </w:r>
      <w:r>
        <w:rPr>
          <w:spacing w:val="2"/>
        </w:rPr>
        <w:t>法学验证。结果显示：</w:t>
      </w:r>
      <w:r>
        <w:rPr>
          <w:rFonts w:ascii="Times New Roman" w:eastAsia="Times New Roman" w:hAnsi="Times New Roman" w:cs="Times New Roman"/>
        </w:rPr>
        <w:t>FT</w:t>
      </w:r>
      <w:r>
        <w:rPr>
          <w:rFonts w:ascii="Times New Roman" w:eastAsia="Times New Roman" w:hAnsi="Times New Roman" w:cs="Times New Roman"/>
          <w:spacing w:val="2"/>
        </w:rPr>
        <w:t xml:space="preserve">3 </w:t>
      </w:r>
      <w:r>
        <w:rPr>
          <w:spacing w:val="2"/>
        </w:rPr>
        <w:t>和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</w:rPr>
        <w:t>FT</w:t>
      </w:r>
      <w:r>
        <w:rPr>
          <w:rFonts w:ascii="Times New Roman" w:eastAsia="Times New Roman" w:hAnsi="Times New Roman" w:cs="Times New Roman"/>
          <w:spacing w:val="2"/>
        </w:rPr>
        <w:t xml:space="preserve">4 </w:t>
      </w:r>
      <w:r>
        <w:rPr>
          <w:spacing w:val="2"/>
        </w:rPr>
        <w:t>的线性相关系数</w:t>
      </w:r>
      <w:r>
        <w:rPr>
          <w:rFonts w:ascii="Times New Roman" w:eastAsia="Times New Roman" w:hAnsi="Times New Roman" w:cs="Times New Roman"/>
          <w:spacing w:val="2"/>
        </w:rPr>
        <w:t>(r2)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2"/>
        </w:rPr>
        <w:t>均不小于0.999</w:t>
      </w:r>
      <w:r>
        <w:t xml:space="preserve"> </w:t>
      </w:r>
      <w:r>
        <w:rPr>
          <w:spacing w:val="40"/>
        </w:rPr>
        <w:t>5,批内及批间相对标准偏差为1</w:t>
      </w:r>
      <w:r>
        <w:rPr>
          <w:spacing w:val="-59"/>
        </w:rPr>
        <w:t xml:space="preserve"> </w:t>
      </w:r>
      <w:r>
        <w:rPr>
          <w:spacing w:val="40"/>
        </w:rPr>
        <w:t>.8%～10%,准确度为85</w:t>
      </w:r>
      <w:r>
        <w:rPr>
          <w:spacing w:val="-72"/>
        </w:rPr>
        <w:t xml:space="preserve"> </w:t>
      </w:r>
      <w:r>
        <w:rPr>
          <w:spacing w:val="40"/>
        </w:rPr>
        <w:t>.4%~</w:t>
      </w:r>
      <w:r>
        <w:t xml:space="preserve"> </w:t>
      </w:r>
      <w:r>
        <w:rPr>
          <w:spacing w:val="30"/>
        </w:rPr>
        <w:t>110%,基质效应为85</w:t>
      </w:r>
      <w:r>
        <w:rPr>
          <w:spacing w:val="-64"/>
        </w:rPr>
        <w:t xml:space="preserve"> </w:t>
      </w:r>
      <w:r>
        <w:rPr>
          <w:spacing w:val="30"/>
        </w:rPr>
        <w:t>.8%～114%,回收率为85</w:t>
      </w:r>
      <w:r>
        <w:rPr>
          <w:spacing w:val="-79"/>
        </w:rPr>
        <w:t xml:space="preserve"> </w:t>
      </w:r>
      <w:r>
        <w:rPr>
          <w:spacing w:val="30"/>
        </w:rPr>
        <w:t>.8%～107%。采用</w:t>
      </w:r>
      <w:r>
        <w:t xml:space="preserve"> </w:t>
      </w:r>
      <w:r>
        <w:rPr>
          <w:spacing w:val="10"/>
        </w:rPr>
        <w:t>该方法与平衡透析法</w:t>
      </w:r>
      <w:r>
        <w:rPr>
          <w:rFonts w:ascii="Times New Roman" w:eastAsia="Times New Roman" w:hAnsi="Times New Roman" w:cs="Times New Roman"/>
          <w:spacing w:val="10"/>
        </w:rPr>
        <w:t>(</w:t>
      </w:r>
      <w:r>
        <w:rPr>
          <w:rFonts w:ascii="Times New Roman" w:eastAsia="Times New Roman" w:hAnsi="Times New Roman" w:cs="Times New Roman"/>
        </w:rPr>
        <w:t>ED</w:t>
      </w:r>
      <w:r>
        <w:rPr>
          <w:rFonts w:ascii="Times New Roman" w:eastAsia="Times New Roman" w:hAnsi="Times New Roman" w:cs="Times New Roman"/>
          <w:spacing w:val="10"/>
        </w:rPr>
        <w:t>)</w:t>
      </w:r>
      <w:r>
        <w:rPr>
          <w:spacing w:val="10"/>
        </w:rPr>
        <w:t>同时检测了95份血清样本，使用</w:t>
      </w:r>
      <w:r>
        <w:rPr>
          <w:rFonts w:ascii="Times New Roman" w:eastAsia="Times New Roman" w:hAnsi="Times New Roman" w:cs="Times New Roman"/>
        </w:rPr>
        <w:t>IBM</w:t>
      </w:r>
      <w:r>
        <w:rPr>
          <w:rFonts w:ascii="Times New Roman" w:eastAsia="Times New Roman" w:hAnsi="Times New Roman" w:cs="Times New Roman"/>
          <w:spacing w:val="61"/>
        </w:rPr>
        <w:t xml:space="preserve"> </w:t>
      </w:r>
      <w:r>
        <w:rPr>
          <w:rFonts w:ascii="Times New Roman" w:eastAsia="Times New Roman" w:hAnsi="Times New Roman" w:cs="Times New Roman"/>
        </w:rPr>
        <w:t>SPSS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SimSun" w:eastAsia="SimSun" w:hAnsi="SimSun" w:cs="SimSun"/>
          <w:spacing w:val="-2"/>
        </w:rPr>
        <w:t>Statistics 26</w:t>
      </w:r>
      <w:r>
        <w:rPr>
          <w:spacing w:val="-2"/>
        </w:rPr>
        <w:t>和</w:t>
      </w:r>
      <w:r>
        <w:rPr>
          <w:spacing w:val="-2"/>
        </w:rPr>
        <w:t xml:space="preserve"> </w:t>
      </w:r>
      <w:r>
        <w:rPr>
          <w:rFonts w:ascii="SimSun" w:eastAsia="SimSun" w:hAnsi="SimSun" w:cs="SimSun"/>
          <w:spacing w:val="-2"/>
        </w:rPr>
        <w:t>MedCalc</w:t>
      </w:r>
      <w:r>
        <w:rPr>
          <w:rFonts w:ascii="SimSun" w:eastAsia="SimSun" w:hAnsi="SimSun" w:cs="SimSun"/>
          <w:spacing w:val="92"/>
        </w:rPr>
        <w:t xml:space="preserve"> </w:t>
      </w:r>
      <w:r>
        <w:rPr>
          <w:spacing w:val="-2"/>
        </w:rPr>
        <w:t>统计软件</w:t>
      </w:r>
      <w:r>
        <w:rPr>
          <w:rFonts w:ascii="SimSun" w:eastAsia="SimSun" w:hAnsi="SimSun" w:cs="SimSun"/>
          <w:spacing w:val="-2"/>
        </w:rPr>
        <w:t>(v</w:t>
      </w:r>
      <w:r>
        <w:rPr>
          <w:rFonts w:ascii="SimSun" w:eastAsia="SimSun" w:hAnsi="SimSun" w:cs="SimSun"/>
          <w:spacing w:val="-3"/>
        </w:rPr>
        <w:t>.20.0.0)</w:t>
      </w:r>
      <w:r>
        <w:rPr>
          <w:spacing w:val="-3"/>
        </w:rPr>
        <w:t>对检测结果进行配对</w:t>
      </w:r>
      <w:r>
        <w:rPr>
          <w:spacing w:val="-45"/>
        </w:rPr>
        <w:t xml:space="preserve"> </w:t>
      </w:r>
      <w:r>
        <w:rPr>
          <w:rFonts w:ascii="SimSun" w:eastAsia="SimSun" w:hAnsi="SimSun" w:cs="SimSun"/>
          <w:spacing w:val="-3"/>
        </w:rPr>
        <w:t>t</w:t>
      </w:r>
      <w:r>
        <w:rPr>
          <w:rFonts w:ascii="SimSun" w:eastAsia="SimSun" w:hAnsi="SimSun" w:cs="SimSun"/>
        </w:rPr>
        <w:t xml:space="preserve"> </w:t>
      </w:r>
      <w:r>
        <w:rPr>
          <w:spacing w:val="-4"/>
        </w:rPr>
        <w:t>检验分析、</w:t>
      </w:r>
      <w:r>
        <w:rPr>
          <w:spacing w:val="74"/>
        </w:rPr>
        <w:t xml:space="preserve"> </w:t>
      </w:r>
      <w:r>
        <w:rPr>
          <w:rFonts w:ascii="Arial" w:eastAsia="Arial" w:hAnsi="Arial" w:cs="Arial"/>
          <w:spacing w:val="-4"/>
        </w:rPr>
        <w:t>PassingBablok</w:t>
      </w:r>
      <w:r>
        <w:rPr>
          <w:rFonts w:ascii="Arial" w:eastAsia="Arial" w:hAnsi="Arial" w:cs="Arial"/>
          <w:spacing w:val="18"/>
        </w:rPr>
        <w:t xml:space="preserve">  </w:t>
      </w:r>
      <w:r>
        <w:rPr>
          <w:spacing w:val="-4"/>
        </w:rPr>
        <w:t>回归分析和</w:t>
      </w:r>
      <w:r>
        <w:rPr>
          <w:spacing w:val="-27"/>
        </w:rPr>
        <w:t xml:space="preserve"> </w:t>
      </w:r>
      <w:r>
        <w:rPr>
          <w:rFonts w:ascii="Arial" w:eastAsia="Arial" w:hAnsi="Arial" w:cs="Arial"/>
          <w:spacing w:val="-4"/>
        </w:rPr>
        <w:t>Bland-</w:t>
      </w:r>
      <w:r>
        <w:rPr>
          <w:rFonts w:ascii="Arial" w:eastAsia="Arial" w:hAnsi="Arial" w:cs="Arial"/>
          <w:spacing w:val="-5"/>
        </w:rPr>
        <w:t xml:space="preserve">Altman   </w:t>
      </w:r>
      <w:r>
        <w:rPr>
          <w:spacing w:val="-5"/>
        </w:rPr>
        <w:t>一致性分析。</w:t>
      </w:r>
      <w:r>
        <w:t xml:space="preserve"> </w:t>
      </w:r>
      <w:r>
        <w:t>结果表明，</w:t>
      </w:r>
      <w:r>
        <w:rPr>
          <w:rFonts w:ascii="SimSun" w:eastAsia="SimSun" w:hAnsi="SimSun" w:cs="SimSun"/>
        </w:rPr>
        <w:t>GFC/LC-MS/MS</w:t>
      </w:r>
      <w:r>
        <w:rPr>
          <w:rFonts w:ascii="SimSun" w:eastAsia="SimSun" w:hAnsi="SimSun" w:cs="SimSun"/>
          <w:spacing w:val="27"/>
        </w:rPr>
        <w:t xml:space="preserve">   </w:t>
      </w:r>
      <w:r>
        <w:t>与</w:t>
      </w:r>
      <w:r>
        <w:t xml:space="preserve"> </w:t>
      </w:r>
      <w:r>
        <w:rPr>
          <w:rFonts w:ascii="SimSun" w:eastAsia="SimSun" w:hAnsi="SimSun" w:cs="SimSun"/>
        </w:rPr>
        <w:t>ED/LC-MS/</w:t>
      </w:r>
      <w:r>
        <w:rPr>
          <w:rFonts w:ascii="SimSun" w:eastAsia="SimSun" w:hAnsi="SimSun" w:cs="SimSun"/>
          <w:spacing w:val="-1"/>
        </w:rPr>
        <w:t xml:space="preserve">MS   </w:t>
      </w:r>
      <w:r>
        <w:rPr>
          <w:spacing w:val="-1"/>
        </w:rPr>
        <w:t>法对血清中</w:t>
      </w:r>
      <w:r>
        <w:rPr>
          <w:spacing w:val="-27"/>
        </w:rPr>
        <w:t xml:space="preserve"> </w:t>
      </w:r>
      <w:r>
        <w:rPr>
          <w:rFonts w:ascii="SimSun" w:eastAsia="SimSun" w:hAnsi="SimSun" w:cs="SimSun"/>
          <w:spacing w:val="-1"/>
        </w:rPr>
        <w:t>FT3、FT4</w:t>
      </w:r>
      <w:r>
        <w:rPr>
          <w:rFonts w:ascii="SimSun" w:eastAsia="SimSun" w:hAnsi="SimSun" w:cs="SimSun"/>
        </w:rPr>
        <w:t xml:space="preserve"> </w:t>
      </w:r>
      <w:r>
        <w:rPr>
          <w:spacing w:val="-1"/>
        </w:rPr>
        <w:t>的测定结果无统计学差异</w:t>
      </w:r>
      <w:r>
        <w:rPr>
          <w:rFonts w:ascii="SimSun" w:eastAsia="SimSun" w:hAnsi="SimSun" w:cs="SimSun"/>
          <w:spacing w:val="-1"/>
        </w:rPr>
        <w:t>(P&gt;0.05)。</w:t>
      </w:r>
      <w:r>
        <w:rPr>
          <w:rFonts w:ascii="SimSun" w:eastAsia="SimSun" w:hAnsi="SimSun" w:cs="SimSun"/>
          <w:spacing w:val="64"/>
        </w:rPr>
        <w:t xml:space="preserve"> </w:t>
      </w:r>
      <w:r>
        <w:rPr>
          <w:spacing w:val="-1"/>
        </w:rPr>
        <w:t>所建立的方法快速、简便，受干</w:t>
      </w:r>
      <w:r>
        <w:t xml:space="preserve"> </w:t>
      </w:r>
      <w:r>
        <w:rPr>
          <w:spacing w:val="6"/>
        </w:rPr>
        <w:t>扰因素相对较少，便于临床推广，可为临床实验</w:t>
      </w:r>
      <w:r>
        <w:rPr>
          <w:spacing w:val="5"/>
        </w:rPr>
        <w:t>室游离甲状腺激素的</w:t>
      </w:r>
      <w:r>
        <w:t xml:space="preserve"> </w:t>
      </w:r>
      <w:r>
        <w:rPr>
          <w:spacing w:val="5"/>
        </w:rPr>
        <w:t>快速、高效、准确检测提供参考方法，同时为其它游离激素的检测提</w:t>
      </w:r>
    </w:p>
    <w:p>
      <w:pPr>
        <w:pStyle w:val="BodyText"/>
        <w:spacing w:before="1" w:line="220" w:lineRule="auto"/>
        <w:ind w:left="13"/>
      </w:pPr>
      <w:r>
        <w:rPr>
          <w:spacing w:val="-2"/>
        </w:rPr>
        <w:t>供了一种新的思路。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88" w:line="603" w:lineRule="exact"/>
        <w:ind w:left="423"/>
        <w:rPr>
          <w:rFonts w:ascii="SimSun" w:eastAsia="SimSun" w:hAnsi="SimSun" w:cs="SimSun"/>
        </w:rPr>
      </w:pPr>
      <w:r>
        <w:rPr>
          <w:spacing w:val="-4"/>
          <w:position w:val="25"/>
        </w:rPr>
        <w:t>三碘甲腺原氨酸</w:t>
      </w:r>
      <w:r>
        <w:rPr>
          <w:rFonts w:ascii="SimSun" w:eastAsia="SimSun" w:hAnsi="SimSun" w:cs="SimSun"/>
          <w:spacing w:val="-4"/>
          <w:position w:val="25"/>
        </w:rPr>
        <w:t xml:space="preserve">(Triiodothyronine ,T3 </w:t>
      </w:r>
      <w:r>
        <w:rPr>
          <w:rFonts w:ascii="SimSun" w:eastAsia="SimSun" w:hAnsi="SimSun" w:cs="SimSun"/>
          <w:spacing w:val="-5"/>
          <w:position w:val="25"/>
        </w:rPr>
        <w:t>)</w:t>
      </w:r>
      <w:r>
        <w:rPr>
          <w:rFonts w:ascii="SimSun" w:eastAsia="SimSun" w:hAnsi="SimSun" w:cs="SimSun"/>
          <w:spacing w:val="-62"/>
          <w:position w:val="25"/>
        </w:rPr>
        <w:t xml:space="preserve"> </w:t>
      </w:r>
      <w:r>
        <w:rPr>
          <w:spacing w:val="-5"/>
          <w:position w:val="25"/>
        </w:rPr>
        <w:t>和甲状腺素</w:t>
      </w:r>
      <w:r>
        <w:rPr>
          <w:rFonts w:ascii="SimSun" w:eastAsia="SimSun" w:hAnsi="SimSun" w:cs="SimSun"/>
          <w:spacing w:val="-5"/>
          <w:position w:val="25"/>
        </w:rPr>
        <w:t>(Thyroxine,</w:t>
      </w:r>
    </w:p>
    <w:p>
      <w:pPr>
        <w:pStyle w:val="BodyText"/>
        <w:spacing w:before="1" w:line="212" w:lineRule="auto"/>
        <w:ind w:left="13"/>
      </w:pPr>
      <w:r>
        <w:rPr>
          <w:rFonts w:ascii="SimSun" w:eastAsia="SimSun" w:hAnsi="SimSun" w:cs="SimSun"/>
          <w:spacing w:val="6"/>
        </w:rPr>
        <w:t xml:space="preserve">T4) </w:t>
      </w:r>
      <w:r>
        <w:rPr>
          <w:spacing w:val="6"/>
        </w:rPr>
        <w:t>是两种主要的甲状腺激素，其分泌量</w:t>
      </w:r>
      <w:r>
        <w:rPr>
          <w:spacing w:val="5"/>
        </w:rPr>
        <w:t>的增多或减少均可导致甲状</w:t>
      </w:r>
    </w:p>
    <w:p>
      <w:pPr>
        <w:spacing w:line="212" w:lineRule="auto"/>
        <w:sectPr>
          <w:pgSz w:w="11910" w:h="16840"/>
          <w:pgMar w:top="1431" w:right="1786" w:bottom="0" w:left="1786" w:header="0" w:footer="0" w:gutter="0"/>
          <w:cols w:space="708"/>
        </w:sectPr>
      </w:pPr>
    </w:p>
    <w:p>
      <w:pPr>
        <w:pStyle w:val="BodyText"/>
        <w:spacing w:before="163" w:line="429" w:lineRule="auto"/>
        <w:ind w:right="51"/>
      </w:pPr>
      <w:r>
        <w:rPr>
          <w:spacing w:val="6"/>
        </w:rPr>
        <w:t>腺功能障碍，并可增加心血管疾病、糖尿病并发症和妊娠并发</w:t>
      </w:r>
      <w:r>
        <w:rPr>
          <w:spacing w:val="5"/>
        </w:rPr>
        <w:t>症的发</w:t>
      </w:r>
      <w:r>
        <w:t xml:space="preserve"> </w:t>
      </w:r>
      <w:r>
        <w:rPr>
          <w:spacing w:val="11"/>
        </w:rPr>
        <w:t>生风险。正常情况下，</w:t>
      </w:r>
      <w:r>
        <w:rPr>
          <w:rFonts w:ascii="Times New Roman" w:eastAsia="Times New Roman" w:hAnsi="Times New Roman" w:cs="Times New Roman"/>
          <w:spacing w:val="11"/>
        </w:rPr>
        <w:t>T3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rFonts w:ascii="SimSun" w:eastAsia="SimSun" w:hAnsi="SimSun" w:cs="SimSun"/>
          <w:spacing w:val="11"/>
        </w:rPr>
        <w:t>、</w:t>
      </w:r>
      <w:r>
        <w:rPr>
          <w:rFonts w:ascii="Times New Roman" w:eastAsia="Times New Roman" w:hAnsi="Times New Roman" w:cs="Times New Roman"/>
          <w:spacing w:val="11"/>
        </w:rPr>
        <w:t>T4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</w:t>
      </w:r>
      <w:r>
        <w:rPr>
          <w:spacing w:val="11"/>
        </w:rPr>
        <w:t>分别约99.7%和9</w:t>
      </w:r>
      <w:r>
        <w:rPr>
          <w:spacing w:val="10"/>
        </w:rPr>
        <w:t>9.97%与特异的血浆</w:t>
      </w:r>
      <w:r>
        <w:t xml:space="preserve"> </w:t>
      </w:r>
      <w:r>
        <w:rPr>
          <w:spacing w:val="12"/>
        </w:rPr>
        <w:t>蛋白相结合，仅有0.3%和0.03%为游离状态，简称为</w:t>
      </w:r>
      <w:r>
        <w:rPr>
          <w:spacing w:val="12"/>
        </w:rPr>
        <w:t xml:space="preserve"> </w:t>
      </w:r>
      <w:r>
        <w:rPr>
          <w:rFonts w:ascii="SimSun" w:eastAsia="SimSun" w:hAnsi="SimSun" w:cs="SimSun"/>
        </w:rPr>
        <w:t>FT</w:t>
      </w:r>
      <w:r>
        <w:rPr>
          <w:rFonts w:ascii="SimSun" w:eastAsia="SimSun" w:hAnsi="SimSun" w:cs="SimSun"/>
          <w:spacing w:val="12"/>
        </w:rPr>
        <w:t>3</w:t>
      </w:r>
      <w:r>
        <w:rPr>
          <w:rFonts w:ascii="SimSun" w:eastAsia="SimSun" w:hAnsi="SimSun" w:cs="SimSun"/>
          <w:spacing w:val="-24"/>
        </w:rPr>
        <w:t xml:space="preserve"> </w:t>
      </w:r>
      <w:r>
        <w:rPr>
          <w:spacing w:val="11"/>
        </w:rPr>
        <w:t>和</w:t>
      </w:r>
      <w:r>
        <w:rPr>
          <w:spacing w:val="11"/>
        </w:rPr>
        <w:t xml:space="preserve"> </w:t>
      </w:r>
      <w:r>
        <w:rPr>
          <w:rFonts w:ascii="SimSun" w:eastAsia="SimSun" w:hAnsi="SimSun" w:cs="SimSun"/>
        </w:rPr>
        <w:t>FT</w:t>
      </w:r>
      <w:r>
        <w:rPr>
          <w:rFonts w:ascii="SimSun" w:eastAsia="SimSun" w:hAnsi="SimSun" w:cs="SimSun"/>
          <w:spacing w:val="11"/>
        </w:rPr>
        <w:t>4。</w:t>
      </w:r>
      <w:r>
        <w:rPr>
          <w:rFonts w:ascii="SimSun" w:eastAsia="SimSun" w:hAnsi="SimSun" w:cs="SimSun"/>
        </w:rPr>
        <w:t xml:space="preserve"> </w:t>
      </w:r>
      <w:r>
        <w:rPr>
          <w:spacing w:val="6"/>
        </w:rPr>
        <w:t>而游离激素假说认为，甲状腺激素的游离形式才是其活性部分，与生</w:t>
      </w:r>
      <w:r>
        <w:rPr>
          <w:spacing w:val="1"/>
        </w:rPr>
        <w:t xml:space="preserve"> </w:t>
      </w:r>
      <w:r>
        <w:rPr>
          <w:spacing w:val="-2"/>
        </w:rPr>
        <w:t>物效应密切相关。</w:t>
      </w:r>
      <w:r>
        <w:rPr>
          <w:spacing w:val="44"/>
        </w:rPr>
        <w:t xml:space="preserve"> </w:t>
      </w:r>
      <w:r>
        <w:rPr>
          <w:rFonts w:ascii="SimSun" w:eastAsia="SimSun" w:hAnsi="SimSun" w:cs="SimSun"/>
          <w:spacing w:val="-2"/>
        </w:rPr>
        <w:t>FT3</w:t>
      </w:r>
      <w:r>
        <w:rPr>
          <w:rFonts w:ascii="SimSun" w:eastAsia="SimSun" w:hAnsi="SimSun" w:cs="SimSun"/>
          <w:spacing w:val="-24"/>
        </w:rPr>
        <w:t xml:space="preserve"> </w:t>
      </w:r>
      <w:r>
        <w:rPr>
          <w:spacing w:val="-2"/>
        </w:rPr>
        <w:t>和</w:t>
      </w:r>
      <w:r>
        <w:rPr>
          <w:spacing w:val="-2"/>
        </w:rPr>
        <w:t xml:space="preserve"> </w:t>
      </w:r>
      <w:r>
        <w:rPr>
          <w:rFonts w:ascii="SimSun" w:eastAsia="SimSun" w:hAnsi="SimSun" w:cs="SimSun"/>
          <w:spacing w:val="-2"/>
        </w:rPr>
        <w:t>FT4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spacing w:val="-2"/>
        </w:rPr>
        <w:t>的测定不受血清结合蛋白的影响，是甲</w:t>
      </w:r>
      <w:r>
        <w:t xml:space="preserve"> </w:t>
      </w:r>
      <w:r>
        <w:rPr>
          <w:spacing w:val="6"/>
        </w:rPr>
        <w:t>状腺功能体外实验的灵敏指标，可作为甲亢、</w:t>
      </w:r>
      <w:r>
        <w:rPr>
          <w:spacing w:val="5"/>
        </w:rPr>
        <w:t>甲减、甲状腺肿、重症</w:t>
      </w:r>
    </w:p>
    <w:p>
      <w:pPr>
        <w:pStyle w:val="BodyText"/>
        <w:spacing w:before="1" w:line="220" w:lineRule="auto"/>
      </w:pPr>
      <w:r>
        <w:rPr>
          <w:spacing w:val="-2"/>
        </w:rPr>
        <w:t>感染发热等疾病的辅助诊断。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88" w:line="427" w:lineRule="auto"/>
        <w:ind w:right="32" w:firstLine="470"/>
      </w:pPr>
      <w:r>
        <w:rPr>
          <w:spacing w:val="4"/>
        </w:rPr>
        <w:t>由于血清中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</w:rPr>
        <w:t>FT</w:t>
      </w:r>
      <w:r>
        <w:rPr>
          <w:rFonts w:ascii="SimSun" w:eastAsia="SimSun" w:hAnsi="SimSun" w:cs="SimSun"/>
          <w:spacing w:val="4"/>
        </w:rPr>
        <w:t>3</w:t>
      </w:r>
      <w:r>
        <w:rPr>
          <w:rFonts w:ascii="SimSun" w:eastAsia="SimSun" w:hAnsi="SimSun" w:cs="SimSun"/>
          <w:spacing w:val="-54"/>
        </w:rPr>
        <w:t xml:space="preserve"> </w:t>
      </w:r>
      <w:r>
        <w:rPr>
          <w:spacing w:val="4"/>
        </w:rPr>
        <w:t>和</w:t>
      </w:r>
      <w:r>
        <w:rPr>
          <w:spacing w:val="4"/>
        </w:rPr>
        <w:t xml:space="preserve"> </w:t>
      </w:r>
      <w:r>
        <w:rPr>
          <w:rFonts w:ascii="SimSun" w:eastAsia="SimSun" w:hAnsi="SimSun" w:cs="SimSun"/>
        </w:rPr>
        <w:t>FT</w:t>
      </w:r>
      <w:r>
        <w:rPr>
          <w:rFonts w:ascii="SimSun" w:eastAsia="SimSun" w:hAnsi="SimSun" w:cs="SimSun"/>
          <w:spacing w:val="4"/>
        </w:rPr>
        <w:t>4</w:t>
      </w:r>
      <w:r>
        <w:rPr>
          <w:rFonts w:ascii="SimSun" w:eastAsia="SimSun" w:hAnsi="SimSun" w:cs="SimSun"/>
          <w:spacing w:val="-24"/>
        </w:rPr>
        <w:t xml:space="preserve"> </w:t>
      </w:r>
      <w:r>
        <w:rPr>
          <w:spacing w:val="4"/>
        </w:rPr>
        <w:t>临床检测的重要性，50多年来研究者们相</w:t>
      </w:r>
      <w:r>
        <w:t xml:space="preserve"> </w:t>
      </w:r>
      <w:r>
        <w:rPr>
          <w:spacing w:val="-1"/>
        </w:rPr>
        <w:t>继开发了测定</w:t>
      </w:r>
      <w:r>
        <w:rPr>
          <w:spacing w:val="-1"/>
        </w:rPr>
        <w:t xml:space="preserve"> </w:t>
      </w:r>
      <w:r>
        <w:rPr>
          <w:rFonts w:ascii="SimSun" w:eastAsia="SimSun" w:hAnsi="SimSun" w:cs="SimSun"/>
          <w:spacing w:val="-1"/>
        </w:rPr>
        <w:t>FT3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spacing w:val="-1"/>
        </w:rPr>
        <w:t>和</w:t>
      </w:r>
      <w:r>
        <w:rPr>
          <w:spacing w:val="-1"/>
        </w:rPr>
        <w:t xml:space="preserve"> </w:t>
      </w:r>
      <w:r>
        <w:rPr>
          <w:rFonts w:ascii="SimSun" w:eastAsia="SimSun" w:hAnsi="SimSun" w:cs="SimSun"/>
          <w:spacing w:val="-1"/>
        </w:rPr>
        <w:t>FT4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spacing w:val="-1"/>
        </w:rPr>
        <w:t>的不同方法。但由于游离甲状腺激素的浓度</w:t>
      </w:r>
      <w:r>
        <w:t xml:space="preserve"> </w:t>
      </w:r>
      <w:r>
        <w:t>极</w:t>
      </w:r>
      <w:r>
        <w:rPr>
          <w:spacing w:val="-59"/>
        </w:rPr>
        <w:t xml:space="preserve"> </w:t>
      </w:r>
      <w:r>
        <w:t>低</w:t>
      </w:r>
      <w:r>
        <w:rPr>
          <w:spacing w:val="-68"/>
        </w:rPr>
        <w:t xml:space="preserve"> </w:t>
      </w:r>
      <w:r>
        <w:t>，</w:t>
      </w:r>
      <w:r>
        <w:rPr>
          <w:rFonts w:ascii="SimSun" w:eastAsia="SimSun" w:hAnsi="SimSun" w:cs="SimSun"/>
        </w:rPr>
        <w:t xml:space="preserve">FT3 </w:t>
      </w:r>
      <w:r>
        <w:t>的血液浓度为1.4~6.0</w:t>
      </w:r>
      <w:r>
        <w:t xml:space="preserve"> </w:t>
      </w:r>
      <w:r>
        <w:rPr>
          <w:rFonts w:ascii="SimSun" w:eastAsia="SimSun" w:hAnsi="SimSun" w:cs="SimSun"/>
        </w:rPr>
        <w:t xml:space="preserve">pg/mL,FT4   </w:t>
      </w:r>
      <w:r>
        <w:t>为8.0~20.0</w:t>
      </w:r>
      <w:r>
        <w:t xml:space="preserve"> </w:t>
      </w:r>
      <w:r>
        <w:rPr>
          <w:rFonts w:ascii="SimSun" w:eastAsia="SimSun" w:hAnsi="SimSun" w:cs="SimSun"/>
          <w:spacing w:val="-1"/>
        </w:rPr>
        <w:t>pg/mL。</w:t>
      </w:r>
      <w:r>
        <w:rPr>
          <w:rFonts w:ascii="SimSun" w:eastAsia="SimSun" w:hAnsi="SimSun" w:cs="SimSun"/>
        </w:rPr>
        <w:t xml:space="preserve"> </w:t>
      </w:r>
      <w:r>
        <w:rPr>
          <w:spacing w:val="6"/>
        </w:rPr>
        <w:t>并且结合态与游离态之间的内源性平衡易受到扰乱，</w:t>
      </w:r>
      <w:r>
        <w:rPr>
          <w:spacing w:val="5"/>
        </w:rPr>
        <w:t>使得其检测结果</w:t>
      </w:r>
      <w:r>
        <w:t xml:space="preserve"> </w:t>
      </w:r>
      <w:r>
        <w:rPr>
          <w:spacing w:val="5"/>
        </w:rPr>
        <w:t>的重复性、稳定性较差。因此，临床上准确检测游离甲状腺激素仍然</w:t>
      </w:r>
      <w:r>
        <w:t xml:space="preserve"> </w:t>
      </w:r>
      <w:r>
        <w:rPr>
          <w:spacing w:val="6"/>
        </w:rPr>
        <w:t>十分困难，极具挑战性。目前，临床实验室通常</w:t>
      </w:r>
      <w:r>
        <w:rPr>
          <w:spacing w:val="5"/>
        </w:rPr>
        <w:t>通过免疫分析方法或</w:t>
      </w:r>
      <w:r>
        <w:t xml:space="preserve"> </w:t>
      </w:r>
      <w:r>
        <w:t>物理分离方法检测</w:t>
      </w:r>
      <w:r>
        <w:t xml:space="preserve"> </w:t>
      </w:r>
      <w:r>
        <w:rPr>
          <w:rFonts w:ascii="Times New Roman" w:eastAsia="Times New Roman" w:hAnsi="Times New Roman" w:cs="Times New Roman"/>
        </w:rPr>
        <w:t>FT3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t>或</w:t>
      </w:r>
      <w:r>
        <w:t xml:space="preserve"> </w:t>
      </w:r>
      <w:r>
        <w:rPr>
          <w:rFonts w:ascii="Times New Roman" w:eastAsia="Times New Roman" w:hAnsi="Times New Roman" w:cs="Times New Roman"/>
        </w:rPr>
        <w:t>FT4</w:t>
      </w:r>
      <w:r>
        <w:rPr>
          <w:rFonts w:ascii="SimSun" w:eastAsia="SimSun" w:hAnsi="SimSun" w:cs="SimSun"/>
        </w:rPr>
        <w:t>。</w:t>
      </w:r>
      <w:r>
        <w:t>通过免疫法间接测定</w:t>
      </w:r>
      <w:r>
        <w:rPr>
          <w:spacing w:val="-1"/>
        </w:rPr>
        <w:t>的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FT3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rFonts w:ascii="SimSun" w:eastAsia="SimSun" w:hAnsi="SimSun" w:cs="SimSun"/>
          <w:spacing w:val="-1"/>
        </w:rPr>
        <w:t>、</w:t>
      </w:r>
      <w:r>
        <w:rPr>
          <w:rFonts w:ascii="Times New Roman" w:eastAsia="Times New Roman" w:hAnsi="Times New Roman" w:cs="Times New Roman"/>
          <w:spacing w:val="-1"/>
        </w:rPr>
        <w:t>FT4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-1"/>
        </w:rPr>
        <w:t>含</w:t>
      </w:r>
      <w:r>
        <w:t xml:space="preserve"> </w:t>
      </w:r>
      <w:r>
        <w:rPr>
          <w:spacing w:val="6"/>
        </w:rPr>
        <w:t>量易因其动态平衡被破坏而有误。尤其是在妊娠期，由于其结合蛋白</w:t>
      </w:r>
      <w:r>
        <w:rPr>
          <w:spacing w:val="15"/>
        </w:rPr>
        <w:t xml:space="preserve"> </w:t>
      </w:r>
      <w:r>
        <w:rPr>
          <w:spacing w:val="6"/>
        </w:rPr>
        <w:t>的显著变化和嗜异性抗体的存在，使得免疫测</w:t>
      </w:r>
      <w:r>
        <w:rPr>
          <w:spacing w:val="5"/>
        </w:rPr>
        <w:t>定结果不准确。美国甲</w:t>
      </w:r>
      <w:r>
        <w:t xml:space="preserve"> </w:t>
      </w:r>
      <w:r>
        <w:rPr>
          <w:spacing w:val="4"/>
        </w:rPr>
        <w:t>状腺协会建议，在妊娠期测定</w:t>
      </w:r>
      <w:r>
        <w:rPr>
          <w:spacing w:val="4"/>
        </w:rPr>
        <w:t xml:space="preserve"> </w:t>
      </w:r>
      <w:r>
        <w:rPr>
          <w:rFonts w:ascii="SimSun" w:eastAsia="SimSun" w:hAnsi="SimSun" w:cs="SimSun"/>
        </w:rPr>
        <w:t>FT</w:t>
      </w:r>
      <w:r>
        <w:rPr>
          <w:rFonts w:ascii="SimSun" w:eastAsia="SimSun" w:hAnsi="SimSun" w:cs="SimSun"/>
          <w:spacing w:val="4"/>
        </w:rPr>
        <w:t>4</w:t>
      </w:r>
      <w:r>
        <w:rPr>
          <w:rFonts w:ascii="SimSun" w:eastAsia="SimSun" w:hAnsi="SimSun" w:cs="SimSun"/>
          <w:spacing w:val="48"/>
        </w:rPr>
        <w:t xml:space="preserve"> </w:t>
      </w:r>
      <w:r>
        <w:rPr>
          <w:spacing w:val="4"/>
        </w:rPr>
        <w:t>的最佳检测方法为液相色谱-串联</w:t>
      </w:r>
      <w:r>
        <w:t xml:space="preserve"> </w:t>
      </w:r>
      <w:r>
        <w:rPr>
          <w:spacing w:val="4"/>
        </w:rPr>
        <w:t>质谱</w:t>
      </w:r>
      <w:r>
        <w:rPr>
          <w:spacing w:val="-58"/>
        </w:rPr>
        <w:t xml:space="preserve"> </w:t>
      </w:r>
      <w:r>
        <w:rPr>
          <w:rFonts w:ascii="Arial" w:eastAsia="Arial" w:hAnsi="Arial" w:cs="Arial"/>
          <w:spacing w:val="4"/>
        </w:rPr>
        <w:t>(</w:t>
      </w:r>
      <w:r>
        <w:rPr>
          <w:rFonts w:ascii="Arial" w:eastAsia="Arial" w:hAnsi="Arial" w:cs="Arial"/>
        </w:rPr>
        <w:t>LC</w:t>
      </w:r>
      <w:r>
        <w:rPr>
          <w:rFonts w:ascii="Arial" w:eastAsia="Arial" w:hAnsi="Arial" w:cs="Arial"/>
          <w:spacing w:val="4"/>
        </w:rPr>
        <w:t>-</w:t>
      </w:r>
      <w:r>
        <w:rPr>
          <w:rFonts w:ascii="Arial" w:eastAsia="Arial" w:hAnsi="Arial" w:cs="Arial"/>
        </w:rPr>
        <w:t>MS</w:t>
      </w:r>
      <w:r>
        <w:rPr>
          <w:rFonts w:ascii="Arial" w:eastAsia="Arial" w:hAnsi="Arial" w:cs="Arial"/>
          <w:spacing w:val="4"/>
        </w:rPr>
        <w:t>/</w:t>
      </w:r>
      <w:r>
        <w:rPr>
          <w:rFonts w:ascii="Arial" w:eastAsia="Arial" w:hAnsi="Arial" w:cs="Arial"/>
        </w:rPr>
        <w:t>MS</w:t>
      </w:r>
      <w:r>
        <w:rPr>
          <w:rFonts w:ascii="Arial" w:eastAsia="Arial" w:hAnsi="Arial" w:cs="Arial"/>
          <w:spacing w:val="4"/>
        </w:rPr>
        <w:t>)</w:t>
      </w:r>
      <w:r>
        <w:rPr>
          <w:rFonts w:ascii="Arial" w:eastAsia="Arial" w:hAnsi="Arial" w:cs="Arial"/>
        </w:rPr>
        <w:t xml:space="preserve">     </w:t>
      </w:r>
      <w:r>
        <w:rPr>
          <w:spacing w:val="4"/>
        </w:rPr>
        <w:t>法。该法分析灵敏度高、特异性好，已成为国外</w:t>
      </w:r>
      <w:r>
        <w:rPr>
          <w:spacing w:val="2"/>
        </w:rPr>
        <w:t xml:space="preserve"> </w:t>
      </w:r>
      <w:r>
        <w:rPr>
          <w:spacing w:val="1"/>
        </w:rPr>
        <w:t>检测人血清中</w:t>
      </w:r>
      <w:r>
        <w:rPr>
          <w:spacing w:val="1"/>
        </w:rPr>
        <w:t xml:space="preserve"> </w:t>
      </w:r>
      <w:r>
        <w:rPr>
          <w:rFonts w:ascii="Arial" w:eastAsia="Arial" w:hAnsi="Arial" w:cs="Arial"/>
        </w:rPr>
        <w:t>FT</w:t>
      </w:r>
      <w:r>
        <w:rPr>
          <w:rFonts w:ascii="Arial" w:eastAsia="Arial" w:hAnsi="Arial" w:cs="Arial"/>
          <w:spacing w:val="1"/>
        </w:rPr>
        <w:t>3</w:t>
      </w:r>
      <w:r>
        <w:rPr>
          <w:rFonts w:ascii="SimSun" w:eastAsia="SimSun" w:hAnsi="SimSun" w:cs="SimSun"/>
          <w:spacing w:val="1"/>
        </w:rPr>
        <w:t>、</w:t>
      </w:r>
      <w:r>
        <w:rPr>
          <w:rFonts w:ascii="Arial" w:eastAsia="Arial" w:hAnsi="Arial" w:cs="Arial"/>
        </w:rPr>
        <w:t>FT</w:t>
      </w:r>
      <w:r>
        <w:rPr>
          <w:rFonts w:ascii="Arial" w:eastAsia="Arial" w:hAnsi="Arial" w:cs="Arial"/>
          <w:spacing w:val="1"/>
        </w:rPr>
        <w:t>4</w:t>
      </w:r>
      <w:r>
        <w:rPr>
          <w:rFonts w:ascii="Arial" w:eastAsia="Arial" w:hAnsi="Arial" w:cs="Arial"/>
          <w:spacing w:val="66"/>
        </w:rPr>
        <w:t xml:space="preserve"> </w:t>
      </w:r>
      <w:r>
        <w:rPr>
          <w:spacing w:val="1"/>
        </w:rPr>
        <w:t>的金标准方法。在结合态与游离态之间的内</w:t>
      </w:r>
      <w:r>
        <w:t xml:space="preserve"> </w:t>
      </w:r>
      <w:r>
        <w:rPr>
          <w:spacing w:val="-1"/>
        </w:rPr>
        <w:t>源性平衡受干扰最小的情况下，从血清中分离出</w:t>
      </w:r>
      <w:r>
        <w:rPr>
          <w:spacing w:val="-26"/>
        </w:rPr>
        <w:t xml:space="preserve"> </w:t>
      </w:r>
      <w:r>
        <w:rPr>
          <w:rFonts w:ascii="SimSun" w:eastAsia="SimSun" w:hAnsi="SimSun" w:cs="SimSun"/>
          <w:spacing w:val="-1"/>
        </w:rPr>
        <w:t>FT3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spacing w:val="-1"/>
        </w:rPr>
        <w:t>和</w:t>
      </w:r>
      <w:r>
        <w:rPr>
          <w:spacing w:val="-1"/>
        </w:rPr>
        <w:t xml:space="preserve"> </w:t>
      </w:r>
      <w:r>
        <w:rPr>
          <w:rFonts w:ascii="SimSun" w:eastAsia="SimSun" w:hAnsi="SimSun" w:cs="SimSun"/>
          <w:spacing w:val="-1"/>
        </w:rPr>
        <w:t xml:space="preserve">FT4 </w:t>
      </w:r>
      <w:r>
        <w:rPr>
          <w:spacing w:val="-1"/>
        </w:rPr>
        <w:t>是该方法</w:t>
      </w:r>
    </w:p>
    <w:p>
      <w:pPr>
        <w:pStyle w:val="BodyText"/>
        <w:spacing w:before="1" w:line="212" w:lineRule="auto"/>
      </w:pPr>
      <w:r>
        <w:rPr>
          <w:spacing w:val="5"/>
        </w:rPr>
        <w:t>前处理环节的关键。经过多年的发展与改进，平衡透析和超滤已成为</w:t>
      </w:r>
    </w:p>
    <w:p>
      <w:pPr>
        <w:spacing w:line="212" w:lineRule="auto"/>
        <w:sectPr>
          <w:pgSz w:w="11910" w:h="16840"/>
          <w:pgMar w:top="1431" w:right="1786" w:bottom="0" w:left="1779" w:header="0" w:footer="0" w:gutter="0"/>
          <w:pgNumType w:start="2"/>
          <w:cols w:space="708"/>
        </w:sectPr>
      </w:pPr>
    </w:p>
    <w:p>
      <w:pPr>
        <w:pStyle w:val="BodyText"/>
        <w:spacing w:before="195" w:line="610" w:lineRule="exact"/>
        <w:ind w:left="3"/>
      </w:pPr>
      <w:r>
        <w:rPr>
          <w:spacing w:val="5"/>
          <w:position w:val="26"/>
        </w:rPr>
        <w:t>较为成熟和完善的物理分离技术，然而这两种方法均因其自身的局限</w:t>
      </w:r>
    </w:p>
    <w:p>
      <w:pPr>
        <w:pStyle w:val="BodyText"/>
        <w:spacing w:before="1" w:line="212" w:lineRule="auto"/>
        <w:ind w:left="3"/>
      </w:pPr>
      <w:r>
        <w:rPr>
          <w:spacing w:val="-1"/>
        </w:rPr>
        <w:t>性，尚未推广到大多数临床实验室。</w:t>
      </w:r>
    </w:p>
    <w:p>
      <w:pPr>
        <w:spacing w:line="443" w:lineRule="auto"/>
        <w:rPr>
          <w:rFonts w:ascii="Arial"/>
          <w:sz w:val="21"/>
        </w:rPr>
      </w:pPr>
    </w:p>
    <w:p>
      <w:pPr>
        <w:pStyle w:val="BodyText"/>
        <w:spacing w:before="88" w:line="426" w:lineRule="auto"/>
        <w:ind w:left="3" w:firstLine="430"/>
        <w:jc w:val="both"/>
      </w:pPr>
      <w:r>
        <w:rPr>
          <w:spacing w:val="5"/>
        </w:rPr>
        <w:t>凝胶过滤层析</w:t>
      </w:r>
      <w:r>
        <w:rPr>
          <w:rFonts w:ascii="Arial" w:eastAsia="Arial" w:hAnsi="Arial" w:cs="Arial"/>
          <w:spacing w:val="5"/>
        </w:rPr>
        <w:t>(</w:t>
      </w:r>
      <w:r>
        <w:rPr>
          <w:rFonts w:ascii="Arial" w:eastAsia="Arial" w:hAnsi="Arial" w:cs="Arial"/>
        </w:rPr>
        <w:t>GFC</w:t>
      </w:r>
      <w:r>
        <w:rPr>
          <w:rFonts w:ascii="Arial" w:eastAsia="Arial" w:hAnsi="Arial" w:cs="Arial"/>
          <w:spacing w:val="5"/>
        </w:rPr>
        <w:t xml:space="preserve">),     </w:t>
      </w:r>
      <w:r>
        <w:rPr>
          <w:spacing w:val="5"/>
        </w:rPr>
        <w:t>利用分子筛作用和选择性洗脱，可以实现</w:t>
      </w:r>
      <w:r>
        <w:rPr>
          <w:spacing w:val="9"/>
        </w:rPr>
        <w:t xml:space="preserve">  </w:t>
      </w:r>
      <w:r>
        <w:rPr>
          <w:spacing w:val="1"/>
        </w:rPr>
        <w:t>蛋白结合态和游离态的快速分离，加之凝胶载体的惰性高、吸附力弱，</w:t>
      </w:r>
      <w:r>
        <w:rPr>
          <w:spacing w:val="13"/>
        </w:rPr>
        <w:t xml:space="preserve"> </w:t>
      </w:r>
      <w:r>
        <w:rPr>
          <w:spacing w:val="7"/>
        </w:rPr>
        <w:t>能够减小对内源性平衡的干扰。1979年，</w:t>
      </w:r>
      <w:r>
        <w:rPr>
          <w:rFonts w:ascii="SimSun" w:eastAsia="SimSun" w:hAnsi="SimSun" w:cs="SimSun"/>
        </w:rPr>
        <w:t>Romelli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spacing w:val="7"/>
        </w:rPr>
        <w:t>等将凝胶过滤层析</w:t>
      </w:r>
      <w:r>
        <w:t xml:space="preserve">  </w:t>
      </w:r>
      <w:r>
        <w:rPr>
          <w:spacing w:val="6"/>
        </w:rPr>
        <w:t>用于游离甲状腺激素测定，证实了该方法不会显著改变血清中</w:t>
      </w:r>
      <w:r>
        <w:rPr>
          <w:spacing w:val="5"/>
        </w:rPr>
        <w:t>的游离</w:t>
      </w:r>
      <w:r>
        <w:t xml:space="preserve">  </w:t>
      </w:r>
      <w:r>
        <w:rPr>
          <w:spacing w:val="8"/>
        </w:rPr>
        <w:t>激素水平。在此基础上，本研究拟采用</w:t>
      </w:r>
      <w:r>
        <w:rPr>
          <w:rFonts w:ascii="Times New Roman" w:eastAsia="Times New Roman" w:hAnsi="Times New Roman" w:cs="Times New Roman"/>
        </w:rPr>
        <w:t>GFC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spacing w:val="8"/>
        </w:rPr>
        <w:t>技术，通过进一步优化，</w:t>
      </w:r>
      <w:r>
        <w:rPr>
          <w:spacing w:val="9"/>
        </w:rPr>
        <w:t xml:space="preserve"> </w:t>
      </w:r>
      <w:r>
        <w:rPr>
          <w:spacing w:val="6"/>
        </w:rPr>
        <w:t>减少样本量，简化操作步骤，建立可靠的快</w:t>
      </w:r>
      <w:r>
        <w:rPr>
          <w:spacing w:val="5"/>
        </w:rPr>
        <w:t>速前处理方法，实现高通</w:t>
      </w:r>
      <w:r>
        <w:t xml:space="preserve">  </w:t>
      </w:r>
      <w:r>
        <w:rPr>
          <w:spacing w:val="36"/>
        </w:rPr>
        <w:t>量样本检测，使其适用于临床检测实验室。在此基础上，基于</w:t>
      </w:r>
      <w:r>
        <w:rPr>
          <w:spacing w:val="6"/>
        </w:rPr>
        <w:t xml:space="preserve">  </w:t>
      </w:r>
      <w:r>
        <w:rPr>
          <w:rFonts w:ascii="SimSun" w:eastAsia="SimSun" w:hAnsi="SimSun" w:cs="SimSun"/>
        </w:rPr>
        <w:t>LC</w:t>
      </w:r>
      <w:r>
        <w:rPr>
          <w:rFonts w:ascii="SimSun" w:eastAsia="SimSun" w:hAnsi="SimSun" w:cs="SimSun"/>
          <w:spacing w:val="3"/>
        </w:rPr>
        <w:t>-</w:t>
      </w:r>
      <w:r>
        <w:rPr>
          <w:rFonts w:ascii="SimSun" w:eastAsia="SimSun" w:hAnsi="SimSun" w:cs="SimSun"/>
        </w:rPr>
        <w:t>MS</w:t>
      </w:r>
      <w:r>
        <w:rPr>
          <w:rFonts w:ascii="SimSun" w:eastAsia="SimSun" w:hAnsi="SimSun" w:cs="SimSun"/>
          <w:spacing w:val="3"/>
        </w:rPr>
        <w:t>/</w:t>
      </w:r>
      <w:r>
        <w:rPr>
          <w:rFonts w:ascii="SimSun" w:eastAsia="SimSun" w:hAnsi="SimSun" w:cs="SimSun"/>
        </w:rPr>
        <w:t>MS</w:t>
      </w:r>
      <w:r>
        <w:rPr>
          <w:rFonts w:ascii="SimSun" w:eastAsia="SimSun" w:hAnsi="SimSun" w:cs="SimSun"/>
          <w:spacing w:val="44"/>
        </w:rPr>
        <w:t xml:space="preserve">  </w:t>
      </w:r>
      <w:r>
        <w:rPr>
          <w:spacing w:val="3"/>
        </w:rPr>
        <w:t>技术建立高灵敏检测方法，以实现临床</w:t>
      </w:r>
      <w:r>
        <w:rPr>
          <w:spacing w:val="2"/>
        </w:rPr>
        <w:t>游离甲状腺激素的</w:t>
      </w:r>
      <w:r>
        <w:t xml:space="preserve">  </w:t>
      </w:r>
      <w:r>
        <w:t>高灵敏、稳定、快速检测，为甲状腺激素临床相关疾病的诊断、预防、</w:t>
      </w:r>
    </w:p>
    <w:p>
      <w:pPr>
        <w:pStyle w:val="BodyText"/>
        <w:spacing w:line="221" w:lineRule="auto"/>
        <w:ind w:left="3"/>
      </w:pPr>
      <w:r>
        <w:rPr>
          <w:spacing w:val="-1"/>
        </w:rPr>
        <w:t>治疗、预后和监测等提供支撑。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7"/>
        <w:outlineLvl w:val="0"/>
      </w:pPr>
      <w:r>
        <w:rPr>
          <w:b/>
          <w:bCs/>
          <w:spacing w:val="10"/>
        </w:rPr>
        <w:t>1</w:t>
      </w:r>
      <w:r>
        <w:rPr>
          <w:spacing w:val="10"/>
        </w:rPr>
        <w:t xml:space="preserve"> </w:t>
      </w:r>
      <w:r>
        <w:rPr>
          <w:b/>
          <w:bCs/>
          <w:spacing w:val="10"/>
        </w:rPr>
        <w:t>实验部分1.1</w:t>
      </w:r>
      <w:r>
        <w:rPr>
          <w:spacing w:val="120"/>
        </w:rPr>
        <w:t xml:space="preserve"> </w:t>
      </w:r>
      <w:r>
        <w:rPr>
          <w:b/>
          <w:bCs/>
          <w:spacing w:val="10"/>
        </w:rPr>
        <w:t>仪器与装置</w:t>
      </w:r>
    </w:p>
    <w:p>
      <w:pPr>
        <w:pStyle w:val="BodyText"/>
        <w:spacing w:before="300" w:line="424" w:lineRule="auto"/>
        <w:ind w:left="3" w:right="106" w:firstLine="430"/>
      </w:pPr>
      <w:r>
        <w:rPr>
          <w:rFonts w:ascii="SimSun" w:eastAsia="SimSun" w:hAnsi="SimSun" w:cs="SimSun"/>
        </w:rPr>
        <w:t>LCMS-8050</w:t>
      </w:r>
      <w:r>
        <w:rPr>
          <w:rFonts w:ascii="SimSun" w:eastAsia="SimSun" w:hAnsi="SimSun" w:cs="SimSun"/>
          <w:spacing w:val="69"/>
        </w:rPr>
        <w:t xml:space="preserve">  </w:t>
      </w:r>
      <w:r>
        <w:rPr>
          <w:rFonts w:ascii="SimSun" w:eastAsia="SimSun" w:hAnsi="SimSun" w:cs="SimSun"/>
        </w:rPr>
        <w:t>CL</w:t>
      </w:r>
      <w:r>
        <w:rPr>
          <w:rFonts w:ascii="SimSun" w:eastAsia="SimSun" w:hAnsi="SimSun" w:cs="SimSun"/>
          <w:spacing w:val="-32"/>
        </w:rPr>
        <w:t xml:space="preserve"> </w:t>
      </w:r>
      <w:r>
        <w:t>岛津液相色谱三重四极杆质谱仪(日本</w:t>
      </w:r>
      <w:r>
        <w:rPr>
          <w:spacing w:val="-39"/>
        </w:rPr>
        <w:t xml:space="preserve"> </w:t>
      </w:r>
      <w:r>
        <w:rPr>
          <w:rFonts w:ascii="SimSun" w:eastAsia="SimSun" w:hAnsi="SimSun" w:cs="SimSun"/>
        </w:rPr>
        <w:t xml:space="preserve">Shimadzu  </w:t>
      </w:r>
      <w:r>
        <w:rPr>
          <w:spacing w:val="11"/>
        </w:rPr>
        <w:t>公</w:t>
      </w:r>
      <w:r>
        <w:rPr>
          <w:spacing w:val="-18"/>
        </w:rPr>
        <w:t xml:space="preserve"> </w:t>
      </w:r>
      <w:r>
        <w:rPr>
          <w:spacing w:val="11"/>
        </w:rPr>
        <w:t>司</w:t>
      </w:r>
      <w:r>
        <w:rPr>
          <w:spacing w:val="-35"/>
        </w:rPr>
        <w:t xml:space="preserve"> </w:t>
      </w:r>
      <w:r>
        <w:rPr>
          <w:spacing w:val="11"/>
        </w:rPr>
        <w:t>)</w:t>
      </w:r>
      <w:r>
        <w:rPr>
          <w:spacing w:val="11"/>
        </w:rPr>
        <w:t xml:space="preserve"> </w:t>
      </w:r>
      <w:r>
        <w:rPr>
          <w:spacing w:val="11"/>
        </w:rPr>
        <w:t>;</w:t>
      </w:r>
      <w:r>
        <w:rPr>
          <w:rFonts w:ascii="Arial" w:eastAsia="Arial" w:hAnsi="Arial" w:cs="Arial"/>
        </w:rPr>
        <w:t>PCWJ</w:t>
      </w:r>
      <w:r>
        <w:rPr>
          <w:rFonts w:ascii="Arial" w:eastAsia="Arial" w:hAnsi="Arial" w:cs="Arial"/>
          <w:spacing w:val="11"/>
        </w:rPr>
        <w:t xml:space="preserve">-10 </w:t>
      </w:r>
      <w:r>
        <w:rPr>
          <w:spacing w:val="11"/>
        </w:rPr>
        <w:t>超纯水机(成都品成科技有限公司);涡旋混匀仪</w:t>
      </w:r>
      <w:r>
        <w:t xml:space="preserve"> </w:t>
      </w:r>
      <w:r>
        <w:rPr>
          <w:spacing w:val="22"/>
        </w:rPr>
        <w:t>(金坛区白塔新宝仪器厂);</w:t>
      </w:r>
      <w:r>
        <w:t>QB</w:t>
      </w:r>
      <w:r>
        <w:rPr>
          <w:spacing w:val="22"/>
        </w:rPr>
        <w:t>-800296</w:t>
      </w:r>
      <w:r>
        <w:rPr>
          <w:spacing w:val="22"/>
        </w:rPr>
        <w:t xml:space="preserve">   </w:t>
      </w:r>
      <w:r>
        <w:rPr>
          <w:spacing w:val="22"/>
        </w:rPr>
        <w:t>孔板混匀仪(海门市其林</w:t>
      </w:r>
    </w:p>
    <w:p>
      <w:pPr>
        <w:pStyle w:val="BodyText"/>
        <w:spacing w:before="1" w:line="221" w:lineRule="auto"/>
        <w:ind w:left="3"/>
      </w:pPr>
      <w:r>
        <w:rPr>
          <w:spacing w:val="29"/>
        </w:rPr>
        <w:t>贝尔仪器制造有限公司);</w:t>
      </w:r>
      <w:r>
        <w:rPr>
          <w:spacing w:val="-53"/>
        </w:rPr>
        <w:t xml:space="preserve"> </w:t>
      </w:r>
      <w:r>
        <w:rPr>
          <w:rFonts w:ascii="Arial" w:eastAsia="Arial" w:hAnsi="Arial" w:cs="Arial"/>
        </w:rPr>
        <w:t>BT</w:t>
      </w:r>
      <w:r>
        <w:rPr>
          <w:rFonts w:ascii="Arial" w:eastAsia="Arial" w:hAnsi="Arial" w:cs="Arial"/>
          <w:spacing w:val="29"/>
        </w:rPr>
        <w:t>25S</w:t>
      </w:r>
      <w:r>
        <w:rPr>
          <w:rFonts w:ascii="Arial" w:eastAsia="Arial" w:hAnsi="Arial" w:cs="Arial"/>
          <w:spacing w:val="7"/>
        </w:rPr>
        <w:t xml:space="preserve">  </w:t>
      </w:r>
      <w:r>
        <w:rPr>
          <w:spacing w:val="29"/>
        </w:rPr>
        <w:t>型十万分</w:t>
      </w:r>
      <w:r>
        <w:rPr>
          <w:spacing w:val="28"/>
        </w:rPr>
        <w:t>之一</w:t>
      </w:r>
      <w:r>
        <w:rPr>
          <w:spacing w:val="-70"/>
        </w:rPr>
        <w:t xml:space="preserve"> </w:t>
      </w:r>
      <w:r>
        <w:rPr>
          <w:spacing w:val="28"/>
        </w:rPr>
        <w:t>电子天平(德国</w:t>
      </w:r>
    </w:p>
    <w:p>
      <w:pPr>
        <w:pStyle w:val="BodyText"/>
        <w:spacing w:before="295" w:line="222" w:lineRule="auto"/>
        <w:ind w:left="3"/>
      </w:pPr>
      <w:r>
        <w:rPr>
          <w:rFonts w:ascii="Arial" w:eastAsia="Arial" w:hAnsi="Arial" w:cs="Arial"/>
          <w:spacing w:val="-3"/>
        </w:rPr>
        <w:t>Sartorius</w:t>
      </w:r>
      <w:r>
        <w:rPr>
          <w:rFonts w:ascii="Arial" w:eastAsia="Arial" w:hAnsi="Arial" w:cs="Arial"/>
          <w:spacing w:val="81"/>
        </w:rPr>
        <w:t xml:space="preserve"> </w:t>
      </w:r>
      <w:r>
        <w:rPr>
          <w:spacing w:val="-3"/>
        </w:rPr>
        <w:t>公</w:t>
      </w:r>
      <w:r>
        <w:rPr>
          <w:spacing w:val="-40"/>
        </w:rPr>
        <w:t xml:space="preserve"> </w:t>
      </w:r>
      <w:r>
        <w:rPr>
          <w:spacing w:val="-3"/>
        </w:rPr>
        <w:t>司</w:t>
      </w:r>
      <w:r>
        <w:rPr>
          <w:spacing w:val="-52"/>
        </w:rPr>
        <w:t xml:space="preserve"> </w:t>
      </w:r>
      <w:r>
        <w:rPr>
          <w:spacing w:val="-3"/>
        </w:rPr>
        <w:t>)</w:t>
      </w:r>
      <w:r>
        <w:rPr>
          <w:spacing w:val="-3"/>
        </w:rPr>
        <w:t xml:space="preserve"> </w:t>
      </w:r>
      <w:r>
        <w:rPr>
          <w:spacing w:val="-3"/>
        </w:rPr>
        <w:t>;BCY960296</w:t>
      </w:r>
      <w:r>
        <w:rPr>
          <w:spacing w:val="63"/>
        </w:rPr>
        <w:t xml:space="preserve">  </w:t>
      </w:r>
      <w:r>
        <w:rPr>
          <w:spacing w:val="-3"/>
        </w:rPr>
        <w:t>孔正压装置、BCN960296</w:t>
      </w:r>
      <w:r>
        <w:rPr>
          <w:spacing w:val="-3"/>
        </w:rPr>
        <w:t xml:space="preserve">    </w:t>
      </w:r>
      <w:r>
        <w:rPr>
          <w:spacing w:val="-3"/>
        </w:rPr>
        <w:t>孔氮吹仪</w:t>
      </w:r>
    </w:p>
    <w:p>
      <w:pPr>
        <w:pStyle w:val="BodyText"/>
        <w:spacing w:before="290" w:line="427" w:lineRule="auto"/>
        <w:ind w:left="3" w:right="118" w:firstLine="110"/>
        <w:jc w:val="both"/>
      </w:pPr>
      <w:r>
        <w:rPr>
          <w:spacing w:val="24"/>
        </w:rPr>
        <w:t>(深圳逗点生物技术有限公司);</w:t>
      </w:r>
      <w:r>
        <w:rPr>
          <w:rFonts w:ascii="SimSun" w:eastAsia="SimSun" w:hAnsi="SimSun" w:cs="SimSun"/>
        </w:rPr>
        <w:t>FiveEasy</w:t>
      </w:r>
      <w:r>
        <w:rPr>
          <w:rFonts w:ascii="SimSun" w:eastAsia="SimSun" w:hAnsi="SimSun" w:cs="SimSun"/>
          <w:spacing w:val="57"/>
        </w:rPr>
        <w:t xml:space="preserve"> </w:t>
      </w:r>
      <w:r>
        <w:rPr>
          <w:rFonts w:ascii="SimSun" w:eastAsia="SimSun" w:hAnsi="SimSun" w:cs="SimSun"/>
        </w:rPr>
        <w:t>Plus</w:t>
      </w:r>
      <w:r>
        <w:rPr>
          <w:rFonts w:ascii="SimSun" w:eastAsia="SimSun" w:hAnsi="SimSun" w:cs="SimSun"/>
          <w:spacing w:val="52"/>
        </w:rPr>
        <w:t xml:space="preserve"> </w:t>
      </w:r>
      <w:r>
        <w:rPr>
          <w:rFonts w:ascii="SimSun" w:eastAsia="SimSun" w:hAnsi="SimSun" w:cs="SimSun"/>
        </w:rPr>
        <w:t>FE</w:t>
      </w:r>
      <w:r>
        <w:rPr>
          <w:rFonts w:ascii="SimSun" w:eastAsia="SimSun" w:hAnsi="SimSun" w:cs="SimSun"/>
          <w:spacing w:val="24"/>
        </w:rPr>
        <w:t>28</w:t>
      </w:r>
      <w:r>
        <w:rPr>
          <w:rFonts w:ascii="SimSun" w:eastAsia="SimSun" w:hAnsi="SimSun" w:cs="SimSun"/>
          <w:spacing w:val="53"/>
        </w:rPr>
        <w:t xml:space="preserve"> </w:t>
      </w:r>
      <w:r>
        <w:rPr>
          <w:rFonts w:ascii="SimSun" w:eastAsia="SimSun" w:hAnsi="SimSun" w:cs="SimSun"/>
        </w:rPr>
        <w:t>pH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spacing w:val="24"/>
        </w:rPr>
        <w:t>计(上海</w:t>
      </w:r>
      <w:r>
        <w:t xml:space="preserve"> </w:t>
      </w:r>
      <w:r>
        <w:rPr>
          <w:spacing w:val="14"/>
        </w:rPr>
        <w:t>梅特勒-托利多仪器有限公司);平衡透析装置(北京汇智和源生物技</w:t>
      </w:r>
    </w:p>
    <w:p>
      <w:pPr>
        <w:pStyle w:val="BodyText"/>
        <w:spacing w:before="1" w:line="223" w:lineRule="auto"/>
        <w:ind w:left="3"/>
      </w:pPr>
      <w:r>
        <w:rPr>
          <w:spacing w:val="14"/>
        </w:rPr>
        <w:t>术有限公司)。</w:t>
      </w:r>
    </w:p>
    <w:p>
      <w:pPr>
        <w:spacing w:line="223" w:lineRule="auto"/>
        <w:sectPr>
          <w:pgSz w:w="11910" w:h="16840"/>
          <w:pgMar w:top="1431" w:right="1704" w:bottom="0" w:left="1786" w:header="0" w:footer="0" w:gutter="0"/>
          <w:pgNumType w:start="3"/>
          <w:cols w:space="708"/>
        </w:sectPr>
      </w:pPr>
    </w:p>
    <w:p>
      <w:pPr>
        <w:pStyle w:val="BodyText"/>
        <w:spacing w:before="173" w:line="221" w:lineRule="auto"/>
        <w:ind w:left="7"/>
        <w:outlineLvl w:val="0"/>
      </w:pPr>
      <w:r>
        <w:rPr>
          <w:b/>
          <w:bCs/>
          <w:spacing w:val="-4"/>
        </w:rPr>
        <w:t>1.2</w:t>
      </w:r>
      <w:r>
        <w:rPr>
          <w:spacing w:val="141"/>
        </w:rPr>
        <w:t xml:space="preserve"> </w:t>
      </w:r>
      <w:r>
        <w:rPr>
          <w:b/>
          <w:bCs/>
          <w:spacing w:val="-4"/>
        </w:rPr>
        <w:t>试剂与材料</w:t>
      </w:r>
    </w:p>
    <w:p>
      <w:pPr>
        <w:spacing w:line="460" w:lineRule="auto"/>
        <w:rPr>
          <w:rFonts w:ascii="Arial"/>
          <w:sz w:val="21"/>
        </w:rPr>
      </w:pPr>
    </w:p>
    <w:p>
      <w:pPr>
        <w:pStyle w:val="BodyText"/>
        <w:spacing w:before="88" w:line="425" w:lineRule="auto"/>
        <w:ind w:left="3" w:right="72" w:firstLine="470"/>
        <w:jc w:val="both"/>
      </w:pPr>
      <w:r>
        <w:rPr>
          <w:spacing w:val="22"/>
        </w:rPr>
        <w:t>甲醇、甲酸(色谱纯，美国</w:t>
      </w:r>
      <w:r>
        <w:rPr>
          <w:spacing w:val="22"/>
        </w:rPr>
        <w:t xml:space="preserve"> </w:t>
      </w:r>
      <w:r>
        <w:rPr>
          <w:rFonts w:ascii="Times New Roman" w:eastAsia="Times New Roman" w:hAnsi="Times New Roman" w:cs="Times New Roman"/>
        </w:rPr>
        <w:t>Fisher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spacing w:val="22"/>
        </w:rPr>
        <w:t>公司);超纯水(杭州娃哈哈</w:t>
      </w:r>
      <w:r>
        <w:t xml:space="preserve"> </w:t>
      </w:r>
      <w:r>
        <w:rPr>
          <w:spacing w:val="29"/>
        </w:rPr>
        <w:t>公司);氢氧化钠(分析纯，成都金山化学</w:t>
      </w:r>
      <w:r>
        <w:rPr>
          <w:spacing w:val="28"/>
        </w:rPr>
        <w:t>试剂有限公司);磷酸二</w:t>
      </w:r>
      <w:r>
        <w:t xml:space="preserve"> </w:t>
      </w:r>
      <w:r>
        <w:rPr>
          <w:spacing w:val="18"/>
        </w:rPr>
        <w:t>氢钠二水合物和三(羟甲基)氨基甲烷盐酸盐</w:t>
      </w:r>
      <w:r>
        <w:rPr>
          <w:spacing w:val="-48"/>
        </w:rPr>
        <w:t xml:space="preserve"> </w:t>
      </w:r>
      <w:r>
        <w:rPr>
          <w:rFonts w:ascii="Arial" w:eastAsia="Arial" w:hAnsi="Arial" w:cs="Arial"/>
          <w:spacing w:val="18"/>
        </w:rPr>
        <w:t>(</w:t>
      </w:r>
      <w:r>
        <w:rPr>
          <w:rFonts w:ascii="Arial" w:eastAsia="Arial" w:hAnsi="Arial" w:cs="Arial"/>
        </w:rPr>
        <w:t>Tris</w:t>
      </w:r>
      <w:r>
        <w:rPr>
          <w:rFonts w:ascii="Arial" w:eastAsia="Arial" w:hAnsi="Arial" w:cs="Arial"/>
          <w:spacing w:val="18"/>
        </w:rPr>
        <w:t>-</w:t>
      </w:r>
      <w:r>
        <w:rPr>
          <w:rFonts w:ascii="Arial" w:eastAsia="Arial" w:hAnsi="Arial" w:cs="Arial"/>
        </w:rPr>
        <w:t>HCl</w:t>
      </w:r>
      <w:r>
        <w:rPr>
          <w:rFonts w:ascii="Arial" w:eastAsia="Arial" w:hAnsi="Arial" w:cs="Arial"/>
          <w:spacing w:val="18"/>
        </w:rPr>
        <w:t xml:space="preserve">)     </w:t>
      </w:r>
      <w:r>
        <w:rPr>
          <w:spacing w:val="18"/>
        </w:rPr>
        <w:t>(上海阿</w:t>
      </w:r>
      <w:r>
        <w:t xml:space="preserve"> </w:t>
      </w:r>
      <w:r>
        <w:rPr>
          <w:spacing w:val="20"/>
        </w:rPr>
        <w:t>拉丁生化科技股份有限公司);无水磷酸氢二钠</w:t>
      </w:r>
      <w:r>
        <w:rPr>
          <w:spacing w:val="19"/>
        </w:rPr>
        <w:t>(分析纯，上海迈瑞</w:t>
      </w:r>
      <w:r>
        <w:t xml:space="preserve"> </w:t>
      </w:r>
      <w:r>
        <w:rPr>
          <w:spacing w:val="9"/>
        </w:rPr>
        <w:t>尔化学技术有限公司);</w:t>
      </w:r>
      <w:r>
        <w:rPr>
          <w:rFonts w:ascii="SimSun" w:eastAsia="SimSun" w:hAnsi="SimSun" w:cs="SimSun"/>
        </w:rPr>
        <w:t>Proclin</w:t>
      </w:r>
      <w:r>
        <w:rPr>
          <w:rFonts w:ascii="SimSun" w:eastAsia="SimSun" w:hAnsi="SimSun" w:cs="SimSun"/>
          <w:spacing w:val="9"/>
        </w:rPr>
        <w:t xml:space="preserve"> 300</w:t>
      </w:r>
      <w:r>
        <w:rPr>
          <w:rFonts w:ascii="SimSun" w:eastAsia="SimSun" w:hAnsi="SimSun" w:cs="SimSun"/>
          <w:spacing w:val="-57"/>
        </w:rPr>
        <w:t xml:space="preserve"> </w:t>
      </w:r>
      <w:r>
        <w:rPr>
          <w:spacing w:val="9"/>
        </w:rPr>
        <w:t>抑菌剂、羟乙基淀粉和牛血清白</w:t>
      </w:r>
      <w:r>
        <w:t xml:space="preserve"> </w:t>
      </w:r>
      <w:r>
        <w:rPr>
          <w:spacing w:val="22"/>
        </w:rPr>
        <w:t>蛋白(上海源叶科技有限公司);表面活性剂</w:t>
      </w:r>
      <w:r>
        <w:rPr>
          <w:spacing w:val="-47"/>
        </w:rPr>
        <w:t xml:space="preserve"> </w:t>
      </w:r>
      <w:r>
        <w:rPr>
          <w:rFonts w:ascii="SimSun" w:eastAsia="SimSun" w:hAnsi="SimSun" w:cs="SimSun"/>
        </w:rPr>
        <w:t>Triton</w:t>
      </w:r>
      <w:r>
        <w:rPr>
          <w:rFonts w:ascii="SimSun" w:eastAsia="SimSun" w:hAnsi="SimSun" w:cs="SimSun"/>
          <w:spacing w:val="22"/>
        </w:rPr>
        <w:t xml:space="preserve"> </w:t>
      </w:r>
      <w:r>
        <w:rPr>
          <w:rFonts w:ascii="SimSun" w:eastAsia="SimSun" w:hAnsi="SimSun" w:cs="SimSun"/>
        </w:rPr>
        <w:t>X</w:t>
      </w:r>
      <w:r>
        <w:rPr>
          <w:rFonts w:ascii="SimSun" w:eastAsia="SimSun" w:hAnsi="SimSun" w:cs="SimSun"/>
          <w:spacing w:val="22"/>
        </w:rPr>
        <w:t>-1</w:t>
      </w:r>
      <w:r>
        <w:rPr>
          <w:rFonts w:ascii="SimSun" w:eastAsia="SimSun" w:hAnsi="SimSun" w:cs="SimSun"/>
          <w:spacing w:val="21"/>
        </w:rPr>
        <w:t>00</w:t>
      </w:r>
      <w:r>
        <w:rPr>
          <w:spacing w:val="21"/>
        </w:rPr>
        <w:t>(上海毕</w:t>
      </w:r>
      <w:r>
        <w:t xml:space="preserve"> </w:t>
      </w:r>
      <w:r>
        <w:rPr>
          <w:spacing w:val="19"/>
        </w:rPr>
        <w:t>得医药科技股份有限公司);纳他霉素(上海麦克林生化科技有限公</w:t>
      </w:r>
      <w:r>
        <w:rPr>
          <w:spacing w:val="15"/>
        </w:rPr>
        <w:t xml:space="preserve"> </w:t>
      </w:r>
      <w:r>
        <w:rPr>
          <w:spacing w:val="24"/>
        </w:rPr>
        <w:t>司);氯化钠(成都市科龙化工试剂厂);</w:t>
      </w:r>
      <w:r>
        <w:rPr>
          <w:rFonts w:ascii="Arial" w:eastAsia="Arial" w:hAnsi="Arial" w:cs="Arial"/>
        </w:rPr>
        <w:t>SephadexLH</w:t>
      </w:r>
      <w:r>
        <w:rPr>
          <w:rFonts w:ascii="Arial" w:eastAsia="Arial" w:hAnsi="Arial" w:cs="Arial"/>
          <w:spacing w:val="24"/>
        </w:rPr>
        <w:t xml:space="preserve">-2096    </w:t>
      </w:r>
      <w:r>
        <w:rPr>
          <w:spacing w:val="24"/>
        </w:rPr>
        <w:t>孔过</w:t>
      </w:r>
      <w:r>
        <w:rPr>
          <w:spacing w:val="11"/>
        </w:rPr>
        <w:t xml:space="preserve"> </w:t>
      </w:r>
      <w:r>
        <w:rPr>
          <w:spacing w:val="22"/>
        </w:rPr>
        <w:t>滤板、96孔提取板、96孔收集板、96孔进样板(纳谱分析技术(苏</w:t>
      </w:r>
    </w:p>
    <w:p>
      <w:pPr>
        <w:pStyle w:val="BodyText"/>
        <w:spacing w:before="1" w:line="223" w:lineRule="auto"/>
        <w:ind w:left="3"/>
      </w:pPr>
      <w:r>
        <w:rPr>
          <w:spacing w:val="33"/>
        </w:rPr>
        <w:t>州)有限公司)。</w:t>
      </w:r>
    </w:p>
    <w:p>
      <w:pPr>
        <w:spacing w:line="477" w:lineRule="auto"/>
        <w:rPr>
          <w:rFonts w:ascii="Arial"/>
          <w:sz w:val="21"/>
        </w:rPr>
      </w:pPr>
    </w:p>
    <w:p>
      <w:pPr>
        <w:pStyle w:val="BodyText"/>
        <w:spacing w:before="88" w:line="224" w:lineRule="auto"/>
        <w:ind w:left="7"/>
        <w:outlineLvl w:val="0"/>
      </w:pPr>
      <w:r>
        <w:rPr>
          <w:b/>
          <w:bCs/>
          <w:spacing w:val="-7"/>
        </w:rPr>
        <w:t>1.3</w:t>
      </w:r>
      <w:r>
        <w:rPr>
          <w:spacing w:val="-7"/>
        </w:rPr>
        <w:t xml:space="preserve">  </w:t>
      </w:r>
      <w:r>
        <w:rPr>
          <w:b/>
          <w:bCs/>
          <w:spacing w:val="-7"/>
        </w:rPr>
        <w:t>样</w:t>
      </w:r>
      <w:r>
        <w:rPr>
          <w:spacing w:val="14"/>
        </w:rPr>
        <w:t xml:space="preserve">  </w:t>
      </w:r>
      <w:r>
        <w:rPr>
          <w:b/>
          <w:bCs/>
          <w:spacing w:val="-7"/>
        </w:rPr>
        <w:t>品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88" w:line="424" w:lineRule="auto"/>
        <w:ind w:left="3" w:firstLine="440"/>
      </w:pPr>
      <w:r>
        <w:rPr>
          <w:rFonts w:ascii="SimSun" w:eastAsia="SimSun" w:hAnsi="SimSun" w:cs="SimSun"/>
          <w:spacing w:val="17"/>
        </w:rPr>
        <w:t>T3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spacing w:val="17"/>
        </w:rPr>
        <w:t>标准品(98%,批号：21A043-C3,</w:t>
      </w:r>
      <w:r>
        <w:rPr>
          <w:spacing w:val="17"/>
        </w:rPr>
        <w:t xml:space="preserve">  </w:t>
      </w:r>
      <w:r>
        <w:rPr>
          <w:spacing w:val="17"/>
        </w:rPr>
        <w:t>上海甄准生物科</w:t>
      </w:r>
      <w:r>
        <w:rPr>
          <w:spacing w:val="16"/>
        </w:rPr>
        <w:t>技有限公</w:t>
      </w:r>
      <w:r>
        <w:t xml:space="preserve"> </w:t>
      </w:r>
      <w:r>
        <w:rPr>
          <w:spacing w:val="11"/>
        </w:rPr>
        <w:t>司</w:t>
      </w:r>
      <w:r>
        <w:rPr>
          <w:spacing w:val="-19"/>
        </w:rPr>
        <w:t xml:space="preserve"> </w:t>
      </w:r>
      <w:r>
        <w:rPr>
          <w:spacing w:val="11"/>
        </w:rPr>
        <w:t>)</w:t>
      </w:r>
      <w:r>
        <w:rPr>
          <w:spacing w:val="11"/>
        </w:rPr>
        <w:t xml:space="preserve"> </w:t>
      </w:r>
      <w:r>
        <w:rPr>
          <w:spacing w:val="11"/>
        </w:rPr>
        <w:t>;</w:t>
      </w:r>
      <w:r>
        <w:rPr>
          <w:rFonts w:ascii="SimSun" w:eastAsia="SimSun" w:hAnsi="SimSun" w:cs="SimSun"/>
          <w:spacing w:val="11"/>
        </w:rPr>
        <w:t xml:space="preserve">T4 </w:t>
      </w:r>
      <w:r>
        <w:rPr>
          <w:spacing w:val="11"/>
        </w:rPr>
        <w:t>标准品(98%,批号：21A034-F6,</w:t>
      </w:r>
      <w:r>
        <w:rPr>
          <w:spacing w:val="11"/>
        </w:rPr>
        <w:t xml:space="preserve">  </w:t>
      </w:r>
      <w:r>
        <w:rPr>
          <w:spacing w:val="11"/>
        </w:rPr>
        <w:t>上海甄准生物科技有限</w:t>
      </w:r>
      <w:r>
        <w:rPr>
          <w:spacing w:val="11"/>
        </w:rPr>
        <w:t xml:space="preserve"> </w:t>
      </w:r>
      <w:r>
        <w:rPr>
          <w:spacing w:val="13"/>
        </w:rPr>
        <w:t>公</w:t>
      </w:r>
      <w:r>
        <w:rPr>
          <w:spacing w:val="-47"/>
        </w:rPr>
        <w:t xml:space="preserve"> </w:t>
      </w:r>
      <w:r>
        <w:rPr>
          <w:spacing w:val="13"/>
        </w:rPr>
        <w:t>司</w:t>
      </w:r>
      <w:r>
        <w:rPr>
          <w:spacing w:val="-59"/>
        </w:rPr>
        <w:t xml:space="preserve"> </w:t>
      </w:r>
      <w:r>
        <w:rPr>
          <w:spacing w:val="13"/>
        </w:rPr>
        <w:t>)</w:t>
      </w:r>
      <w:r>
        <w:rPr>
          <w:spacing w:val="13"/>
        </w:rPr>
        <w:t xml:space="preserve"> </w:t>
      </w:r>
      <w:r>
        <w:rPr>
          <w:spacing w:val="13"/>
        </w:rPr>
        <w:t>;</w:t>
      </w:r>
      <w:r>
        <w:rPr>
          <w:rFonts w:ascii="Arial" w:eastAsia="Arial" w:hAnsi="Arial" w:cs="Arial"/>
          <w:spacing w:val="13"/>
        </w:rPr>
        <w:t>T3</w:t>
      </w:r>
      <w:r>
        <w:rPr>
          <w:rFonts w:ascii="Arial" w:eastAsia="Arial" w:hAnsi="Arial" w:cs="Arial"/>
          <w:spacing w:val="27"/>
        </w:rPr>
        <w:t xml:space="preserve"> </w:t>
      </w:r>
      <w:r>
        <w:rPr>
          <w:spacing w:val="13"/>
        </w:rPr>
        <w:t>内标(T3-13C12,</w:t>
      </w:r>
      <w:r>
        <w:rPr>
          <w:spacing w:val="2"/>
        </w:rPr>
        <w:t xml:space="preserve">   </w:t>
      </w:r>
      <w:r>
        <w:rPr>
          <w:spacing w:val="13"/>
        </w:rPr>
        <w:t>同</w:t>
      </w:r>
      <w:r>
        <w:rPr>
          <w:spacing w:val="12"/>
        </w:rPr>
        <w:t>位素丰度为99.3%,纯度为94.2%,</w:t>
      </w:r>
    </w:p>
    <w:p>
      <w:pPr>
        <w:pStyle w:val="BodyText"/>
        <w:spacing w:before="1" w:line="220" w:lineRule="auto"/>
        <w:ind w:left="3"/>
      </w:pPr>
      <w:r>
        <w:rPr>
          <w:spacing w:val="2"/>
        </w:rPr>
        <w:t>批号：</w:t>
      </w:r>
      <w:r>
        <w:t>PR</w:t>
      </w:r>
      <w:r>
        <w:rPr>
          <w:spacing w:val="2"/>
        </w:rPr>
        <w:t>-30090,</w:t>
      </w:r>
      <w:r>
        <w:rPr>
          <w:spacing w:val="104"/>
        </w:rPr>
        <w:t xml:space="preserve"> </w:t>
      </w:r>
      <w:r>
        <w:rPr>
          <w:spacing w:val="2"/>
        </w:rPr>
        <w:t>青岛腾龙微波科技有限公司);</w:t>
      </w:r>
      <w:r>
        <w:rPr>
          <w:rFonts w:ascii="Arial" w:eastAsia="Arial" w:hAnsi="Arial" w:cs="Arial"/>
          <w:spacing w:val="2"/>
        </w:rPr>
        <w:t>T4</w:t>
      </w:r>
      <w:r>
        <w:rPr>
          <w:rFonts w:ascii="Arial" w:eastAsia="Arial" w:hAnsi="Arial" w:cs="Arial"/>
          <w:spacing w:val="26"/>
        </w:rPr>
        <w:t xml:space="preserve"> </w:t>
      </w:r>
      <w:r>
        <w:rPr>
          <w:spacing w:val="2"/>
        </w:rPr>
        <w:t>内标(T</w:t>
      </w:r>
      <w:r>
        <w:rPr>
          <w:spacing w:val="1"/>
        </w:rPr>
        <w:t>4-13C6,</w:t>
      </w:r>
    </w:p>
    <w:p>
      <w:pPr>
        <w:pStyle w:val="BodyText"/>
        <w:spacing w:before="296" w:line="424" w:lineRule="auto"/>
        <w:ind w:left="3" w:right="93"/>
      </w:pPr>
      <w:r>
        <w:rPr>
          <w:spacing w:val="37"/>
        </w:rPr>
        <w:t>同位素丰度≥99%,纯度≥98%,批号：22T021-T</w:t>
      </w:r>
      <w:r>
        <w:rPr>
          <w:spacing w:val="36"/>
        </w:rPr>
        <w:t>2,</w:t>
      </w:r>
      <w:r>
        <w:rPr>
          <w:spacing w:val="5"/>
        </w:rPr>
        <w:t xml:space="preserve">  </w:t>
      </w:r>
      <w:r>
        <w:rPr>
          <w:spacing w:val="36"/>
        </w:rPr>
        <w:t>上海甄准</w:t>
      </w:r>
      <w:r>
        <w:rPr>
          <w:spacing w:val="1"/>
        </w:rPr>
        <w:t xml:space="preserve"> </w:t>
      </w:r>
      <w:r>
        <w:rPr>
          <w:spacing w:val="11"/>
        </w:rPr>
        <w:t>生物科技有限公司)。血清样品均来自淄博</w:t>
      </w:r>
      <w:r>
        <w:rPr>
          <w:spacing w:val="10"/>
        </w:rPr>
        <w:t>市中医医院的剩余样本，</w:t>
      </w:r>
    </w:p>
    <w:p>
      <w:pPr>
        <w:pStyle w:val="BodyText"/>
        <w:spacing w:before="2" w:line="220" w:lineRule="auto"/>
        <w:ind w:left="3"/>
      </w:pPr>
      <w:r>
        <w:rPr>
          <w:spacing w:val="2"/>
        </w:rPr>
        <w:t>样本的收集及使用已取得医院伦理委员会批准。</w:t>
      </w:r>
    </w:p>
    <w:p>
      <w:pPr>
        <w:spacing w:line="462" w:lineRule="auto"/>
        <w:rPr>
          <w:rFonts w:ascii="Arial"/>
          <w:sz w:val="21"/>
        </w:rPr>
      </w:pPr>
    </w:p>
    <w:p>
      <w:pPr>
        <w:pStyle w:val="BodyText"/>
        <w:spacing w:before="87" w:line="221" w:lineRule="auto"/>
        <w:ind w:left="7"/>
        <w:outlineLvl w:val="0"/>
      </w:pPr>
      <w:r>
        <w:rPr>
          <w:b/>
          <w:bCs/>
        </w:rPr>
        <w:t>1.4</w:t>
      </w:r>
      <w:r>
        <w:t xml:space="preserve">  </w:t>
      </w:r>
      <w:r>
        <w:rPr>
          <w:b/>
          <w:bCs/>
        </w:rPr>
        <w:t>标准溶液和内标溶液的配制</w:t>
      </w:r>
    </w:p>
    <w:p>
      <w:pPr>
        <w:spacing w:line="221" w:lineRule="auto"/>
        <w:sectPr>
          <w:pgSz w:w="11910" w:h="16840"/>
          <w:pgMar w:top="1431" w:right="1741" w:bottom="0" w:left="1786" w:header="0" w:footer="0" w:gutter="0"/>
          <w:pgNumType w:start="4"/>
          <w:cols w:space="708"/>
        </w:sectPr>
      </w:pPr>
    </w:p>
    <w:p>
      <w:pPr>
        <w:pStyle w:val="BodyText"/>
        <w:spacing w:before="177" w:line="427" w:lineRule="auto"/>
        <w:ind w:left="3" w:firstLine="430"/>
        <w:jc w:val="both"/>
      </w:pPr>
      <w:r>
        <w:rPr>
          <w:spacing w:val="12"/>
        </w:rPr>
        <w:t>分别准确称取</w:t>
      </w:r>
      <w:r>
        <w:rPr>
          <w:rFonts w:ascii="SimSun" w:eastAsia="SimSun" w:hAnsi="SimSun" w:cs="SimSun"/>
          <w:spacing w:val="12"/>
        </w:rPr>
        <w:t>T3、T4</w:t>
      </w:r>
      <w:r>
        <w:rPr>
          <w:rFonts w:ascii="SimSun" w:eastAsia="SimSun" w:hAnsi="SimSun" w:cs="SimSun"/>
          <w:spacing w:val="52"/>
        </w:rPr>
        <w:t xml:space="preserve"> </w:t>
      </w:r>
      <w:r>
        <w:rPr>
          <w:spacing w:val="12"/>
        </w:rPr>
        <w:t>标准品各10.0</w:t>
      </w:r>
      <w:r>
        <w:rPr>
          <w:spacing w:val="12"/>
        </w:rPr>
        <w:t xml:space="preserve"> </w:t>
      </w:r>
      <w:r>
        <w:rPr>
          <w:rFonts w:ascii="SimSun" w:eastAsia="SimSun" w:hAnsi="SimSun" w:cs="SimSun"/>
        </w:rPr>
        <w:t>mg</w:t>
      </w:r>
      <w:r>
        <w:rPr>
          <w:rFonts w:ascii="SimSun" w:eastAsia="SimSun" w:hAnsi="SimSun" w:cs="SimSun"/>
          <w:spacing w:val="12"/>
        </w:rPr>
        <w:t>,</w:t>
      </w:r>
      <w:r>
        <w:rPr>
          <w:rFonts w:ascii="SimSun" w:eastAsia="SimSun" w:hAnsi="SimSun" w:cs="SimSun"/>
          <w:spacing w:val="133"/>
        </w:rPr>
        <w:t xml:space="preserve"> </w:t>
      </w:r>
      <w:r>
        <w:rPr>
          <w:spacing w:val="11"/>
        </w:rPr>
        <w:t>用5%氨水-甲醇溶解，</w:t>
      </w:r>
      <w:r>
        <w:t xml:space="preserve"> </w:t>
      </w:r>
      <w:r>
        <w:rPr>
          <w:spacing w:val="7"/>
        </w:rPr>
        <w:t>并定容于10</w:t>
      </w:r>
      <w:r>
        <w:rPr>
          <w:spacing w:val="7"/>
        </w:rPr>
        <w:t xml:space="preserve"> </w:t>
      </w:r>
      <w:r>
        <w:rPr>
          <w:rFonts w:ascii="Arial" w:eastAsia="Arial" w:hAnsi="Arial" w:cs="Arial"/>
        </w:rPr>
        <w:t>mL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spacing w:val="7"/>
        </w:rPr>
        <w:t>棕色容量瓶，分别配制得到质量浓度为1.0</w:t>
      </w:r>
      <w:r>
        <w:rPr>
          <w:spacing w:val="7"/>
        </w:rPr>
        <w:t xml:space="preserve"> </w:t>
      </w:r>
      <w:r>
        <w:rPr>
          <w:rFonts w:ascii="Arial" w:eastAsia="Arial" w:hAnsi="Arial" w:cs="Arial"/>
        </w:rPr>
        <w:t>mg</w:t>
      </w:r>
      <w:r>
        <w:rPr>
          <w:rFonts w:ascii="Arial" w:eastAsia="Arial" w:hAnsi="Arial" w:cs="Arial"/>
          <w:spacing w:val="7"/>
        </w:rPr>
        <w:t>/</w:t>
      </w:r>
      <w:r>
        <w:rPr>
          <w:rFonts w:ascii="Arial" w:eastAsia="Arial" w:hAnsi="Arial" w:cs="Arial"/>
        </w:rPr>
        <w:t>mL</w:t>
      </w:r>
      <w:r>
        <w:rPr>
          <w:rFonts w:ascii="Arial" w:eastAsia="Arial" w:hAnsi="Arial" w:cs="Arial"/>
          <w:spacing w:val="7"/>
        </w:rPr>
        <w:t xml:space="preserve">    </w:t>
      </w:r>
      <w:r>
        <w:rPr>
          <w:spacing w:val="11"/>
        </w:rPr>
        <w:t>的</w:t>
      </w:r>
      <w:r>
        <w:rPr>
          <w:spacing w:val="-79"/>
        </w:rPr>
        <w:t xml:space="preserve"> </w:t>
      </w:r>
      <w:r>
        <w:rPr>
          <w:rFonts w:ascii="SimSun" w:eastAsia="SimSun" w:hAnsi="SimSun" w:cs="SimSun"/>
          <w:spacing w:val="11"/>
        </w:rPr>
        <w:t>T3、T4</w:t>
      </w:r>
      <w:r>
        <w:rPr>
          <w:rFonts w:ascii="SimSun" w:eastAsia="SimSun" w:hAnsi="SimSun" w:cs="SimSun"/>
          <w:spacing w:val="42"/>
        </w:rPr>
        <w:t xml:space="preserve"> </w:t>
      </w:r>
      <w:r>
        <w:rPr>
          <w:spacing w:val="11"/>
        </w:rPr>
        <w:t>标准储备溶液。用30%甲醇水稀释标准</w:t>
      </w:r>
      <w:r>
        <w:rPr>
          <w:spacing w:val="10"/>
        </w:rPr>
        <w:t>储备溶液，配制得</w:t>
      </w:r>
      <w:r>
        <w:t xml:space="preserve">  </w:t>
      </w:r>
      <w:r>
        <w:rPr>
          <w:spacing w:val="16"/>
        </w:rPr>
        <w:t>到质量浓度分别为2、4、10、20、50、100、150、200</w:t>
      </w:r>
      <w:r>
        <w:rPr>
          <w:spacing w:val="16"/>
        </w:rPr>
        <w:t xml:space="preserve"> </w:t>
      </w:r>
      <w:r>
        <w:rPr>
          <w:rFonts w:ascii="Arial" w:eastAsia="Arial" w:hAnsi="Arial" w:cs="Arial"/>
        </w:rPr>
        <w:t>pg</w:t>
      </w:r>
      <w:r>
        <w:rPr>
          <w:rFonts w:ascii="Arial" w:eastAsia="Arial" w:hAnsi="Arial" w:cs="Arial"/>
          <w:spacing w:val="16"/>
        </w:rPr>
        <w:t>/</w:t>
      </w:r>
      <w:r>
        <w:rPr>
          <w:rFonts w:ascii="Arial" w:eastAsia="Arial" w:hAnsi="Arial" w:cs="Arial"/>
        </w:rPr>
        <w:t>mL</w:t>
      </w:r>
      <w:r>
        <w:rPr>
          <w:rFonts w:ascii="Arial" w:eastAsia="Arial" w:hAnsi="Arial" w:cs="Arial"/>
          <w:spacing w:val="16"/>
        </w:rPr>
        <w:t xml:space="preserve">  </w:t>
      </w:r>
      <w:r>
        <w:rPr>
          <w:spacing w:val="16"/>
        </w:rPr>
        <w:t>的</w:t>
      </w:r>
      <w:r>
        <w:rPr>
          <w:spacing w:val="5"/>
        </w:rPr>
        <w:t xml:space="preserve">  </w:t>
      </w:r>
      <w:r>
        <w:rPr>
          <w:spacing w:val="19"/>
        </w:rPr>
        <w:t>系列标准工作溶液。将内标储备溶液用30%甲醇水稀释，配制得到</w:t>
      </w:r>
    </w:p>
    <w:p>
      <w:pPr>
        <w:pStyle w:val="BodyText"/>
        <w:spacing w:before="1" w:line="211" w:lineRule="auto"/>
        <w:ind w:left="3"/>
      </w:pPr>
      <w:r>
        <w:rPr>
          <w:spacing w:val="5"/>
        </w:rPr>
        <w:t>T3-13C12、T4-13C6</w:t>
      </w:r>
      <w:r>
        <w:rPr>
          <w:spacing w:val="129"/>
        </w:rPr>
        <w:t xml:space="preserve"> </w:t>
      </w:r>
      <w:r>
        <w:rPr>
          <w:spacing w:val="5"/>
        </w:rPr>
        <w:t>质量浓度均为200</w:t>
      </w:r>
      <w:r>
        <w:rPr>
          <w:rFonts w:ascii="Arial" w:eastAsia="Arial" w:hAnsi="Arial" w:cs="Arial"/>
        </w:rPr>
        <w:t>pg</w:t>
      </w:r>
      <w:r>
        <w:rPr>
          <w:rFonts w:ascii="Arial" w:eastAsia="Arial" w:hAnsi="Arial" w:cs="Arial"/>
          <w:spacing w:val="5"/>
        </w:rPr>
        <w:t>/</w:t>
      </w:r>
      <w:r>
        <w:rPr>
          <w:rFonts w:ascii="Arial" w:eastAsia="Arial" w:hAnsi="Arial" w:cs="Arial"/>
        </w:rPr>
        <w:t>mL</w:t>
      </w:r>
      <w:r>
        <w:rPr>
          <w:rFonts w:ascii="Arial" w:eastAsia="Arial" w:hAnsi="Arial" w:cs="Arial"/>
          <w:spacing w:val="5"/>
        </w:rPr>
        <w:t xml:space="preserve">  </w:t>
      </w:r>
      <w:r>
        <w:rPr>
          <w:spacing w:val="5"/>
        </w:rPr>
        <w:t>的混合内标工作溶液。</w:t>
      </w:r>
    </w:p>
    <w:p>
      <w:pPr>
        <w:spacing w:line="465" w:lineRule="auto"/>
        <w:rPr>
          <w:rFonts w:ascii="Arial"/>
          <w:sz w:val="21"/>
        </w:rPr>
      </w:pPr>
    </w:p>
    <w:p>
      <w:pPr>
        <w:pStyle w:val="BodyText"/>
        <w:spacing w:before="87" w:line="222" w:lineRule="auto"/>
        <w:ind w:left="7"/>
        <w:outlineLvl w:val="0"/>
      </w:pPr>
      <w:r>
        <w:rPr>
          <w:b/>
          <w:bCs/>
          <w:spacing w:val="-1"/>
        </w:rPr>
        <w:t>1.5</w:t>
      </w:r>
      <w:r>
        <w:rPr>
          <w:spacing w:val="134"/>
        </w:rPr>
        <w:t xml:space="preserve"> </w:t>
      </w:r>
      <w:r>
        <w:rPr>
          <w:b/>
          <w:bCs/>
          <w:spacing w:val="-1"/>
        </w:rPr>
        <w:t>质控品的制备</w:t>
      </w:r>
    </w:p>
    <w:p>
      <w:pPr>
        <w:spacing w:line="424" w:lineRule="auto"/>
        <w:rPr>
          <w:rFonts w:ascii="Arial"/>
          <w:sz w:val="21"/>
        </w:rPr>
      </w:pPr>
    </w:p>
    <w:p>
      <w:pPr>
        <w:pStyle w:val="BodyText"/>
        <w:spacing w:before="88" w:line="430" w:lineRule="auto"/>
        <w:ind w:left="3" w:right="114" w:firstLine="430"/>
      </w:pPr>
      <w:r>
        <w:rPr>
          <w:spacing w:val="-9"/>
        </w:rPr>
        <w:t>准确吸取50</w:t>
      </w:r>
      <w:r>
        <w:rPr>
          <w:spacing w:val="100"/>
        </w:rPr>
        <w:t xml:space="preserve"> </w:t>
      </w:r>
      <w:r>
        <w:rPr>
          <w:spacing w:val="-9"/>
        </w:rPr>
        <w:t>μ</w:t>
      </w:r>
      <w:r>
        <w:rPr>
          <w:rFonts w:ascii="Arial" w:eastAsia="Arial" w:hAnsi="Arial" w:cs="Arial"/>
          <w:spacing w:val="-9"/>
        </w:rPr>
        <w:t>L  Proclin  300</w:t>
      </w:r>
      <w:r>
        <w:rPr>
          <w:rFonts w:ascii="SimSun" w:eastAsia="SimSun" w:hAnsi="SimSun" w:cs="SimSun"/>
          <w:spacing w:val="-9"/>
        </w:rPr>
        <w:t>、</w:t>
      </w:r>
      <w:r>
        <w:rPr>
          <w:rFonts w:ascii="Arial" w:eastAsia="Arial" w:hAnsi="Arial" w:cs="Arial"/>
          <w:spacing w:val="-9"/>
        </w:rPr>
        <w:t>50μL  0.1  mg</w:t>
      </w:r>
      <w:r>
        <w:rPr>
          <w:rFonts w:ascii="Arial" w:eastAsia="Arial" w:hAnsi="Arial" w:cs="Arial"/>
          <w:spacing w:val="-10"/>
        </w:rPr>
        <w:t xml:space="preserve">/mL </w:t>
      </w:r>
      <w:r>
        <w:rPr>
          <w:spacing w:val="-10"/>
        </w:rPr>
        <w:t>纳他霉素、50</w:t>
      </w:r>
      <w:r>
        <w:rPr>
          <w:spacing w:val="-10"/>
        </w:rPr>
        <w:t xml:space="preserve">  </w:t>
      </w:r>
      <w:r>
        <w:rPr>
          <w:spacing w:val="-10"/>
        </w:rPr>
        <w:t>μ</w:t>
      </w:r>
      <w:r>
        <w:rPr>
          <w:rFonts w:ascii="Arial" w:eastAsia="Arial" w:hAnsi="Arial" w:cs="Arial"/>
          <w:spacing w:val="-10"/>
        </w:rPr>
        <w:t>L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Triton</w:t>
      </w:r>
      <w:r>
        <w:rPr>
          <w:rFonts w:ascii="Arial" w:eastAsia="Arial" w:hAnsi="Arial" w:cs="Arial"/>
          <w:spacing w:val="2"/>
        </w:rPr>
        <w:t xml:space="preserve">     </w:t>
      </w:r>
      <w:r>
        <w:rPr>
          <w:rFonts w:ascii="Arial" w:eastAsia="Arial" w:hAnsi="Arial" w:cs="Arial"/>
        </w:rPr>
        <w:t>X</w:t>
      </w:r>
      <w:r>
        <w:rPr>
          <w:rFonts w:ascii="Arial" w:eastAsia="Arial" w:hAnsi="Arial" w:cs="Arial"/>
          <w:spacing w:val="2"/>
        </w:rPr>
        <w:t>-100,</w:t>
      </w:r>
      <w:r>
        <w:rPr>
          <w:spacing w:val="2"/>
        </w:rPr>
        <w:t>称取0.9</w:t>
      </w:r>
      <w:r>
        <w:rPr>
          <w:spacing w:val="2"/>
        </w:rPr>
        <w:t xml:space="preserve"> </w:t>
      </w:r>
      <w:r>
        <w:rPr>
          <w:rFonts w:ascii="Arial" w:eastAsia="Arial" w:hAnsi="Arial" w:cs="Arial"/>
          <w:spacing w:val="2"/>
        </w:rPr>
        <w:t xml:space="preserve">g </w:t>
      </w:r>
      <w:r>
        <w:rPr>
          <w:spacing w:val="2"/>
        </w:rPr>
        <w:t>氯化钠、5.0</w:t>
      </w:r>
      <w:r>
        <w:rPr>
          <w:spacing w:val="2"/>
        </w:rPr>
        <w:t xml:space="preserve"> 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spacing w:val="2"/>
        </w:rPr>
        <w:t>羟乙基淀粉、5.0</w:t>
      </w:r>
      <w:r>
        <w:rPr>
          <w:spacing w:val="2"/>
        </w:rPr>
        <w:t xml:space="preserve"> 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spacing w:val="2"/>
        </w:rPr>
        <w:t>牛血清</w:t>
      </w:r>
      <w:r>
        <w:t xml:space="preserve"> </w:t>
      </w:r>
      <w:r>
        <w:rPr>
          <w:spacing w:val="10"/>
        </w:rPr>
        <w:t>白蛋白，搅拌至完全在纯水中溶解后，使用超纯水稀释至100</w:t>
      </w:r>
      <w:r>
        <w:rPr>
          <w:spacing w:val="10"/>
        </w:rPr>
        <w:t xml:space="preserve">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rFonts w:ascii="SimSun" w:eastAsia="SimSun" w:hAnsi="SimSun" w:cs="SimSun"/>
          <w:spacing w:val="10"/>
        </w:rPr>
        <w:t>。</w:t>
      </w:r>
      <w:r>
        <w:rPr>
          <w:rFonts w:ascii="SimSun" w:eastAsia="SimSun" w:hAnsi="SimSun" w:cs="SimSun"/>
        </w:rPr>
        <w:t xml:space="preserve"> </w:t>
      </w:r>
      <w:r>
        <w:rPr>
          <w:spacing w:val="4"/>
        </w:rPr>
        <w:t>使用0.45μ</w:t>
      </w:r>
      <w:r>
        <w:rPr>
          <w:rFonts w:ascii="Arial" w:eastAsia="Arial" w:hAnsi="Arial" w:cs="Arial"/>
          <w:spacing w:val="4"/>
        </w:rPr>
        <w:t xml:space="preserve">m </w:t>
      </w:r>
      <w:r>
        <w:rPr>
          <w:spacing w:val="4"/>
        </w:rPr>
        <w:t>滤膜对稀释后的溶液进行过滤，收集滤液，得到空白基</w:t>
      </w:r>
      <w:r>
        <w:rPr>
          <w:spacing w:val="8"/>
        </w:rPr>
        <w:t xml:space="preserve"> </w:t>
      </w:r>
      <w:r>
        <w:rPr>
          <w:spacing w:val="2"/>
        </w:rPr>
        <w:t>质。将不同质量浓度的</w:t>
      </w:r>
      <w:r>
        <w:rPr>
          <w:spacing w:val="2"/>
        </w:rPr>
        <w:t xml:space="preserve"> </w:t>
      </w:r>
      <w:r>
        <w:rPr>
          <w:rFonts w:ascii="Arial" w:eastAsia="Arial" w:hAnsi="Arial" w:cs="Arial"/>
          <w:spacing w:val="2"/>
        </w:rPr>
        <w:t>T3</w:t>
      </w:r>
      <w:r>
        <w:rPr>
          <w:rFonts w:ascii="SimSun" w:eastAsia="SimSun" w:hAnsi="SimSun" w:cs="SimSun"/>
          <w:spacing w:val="2"/>
        </w:rPr>
        <w:t>、</w:t>
      </w:r>
      <w:r>
        <w:rPr>
          <w:rFonts w:ascii="Arial" w:eastAsia="Arial" w:hAnsi="Arial" w:cs="Arial"/>
          <w:spacing w:val="2"/>
        </w:rPr>
        <w:t>T4</w:t>
      </w:r>
      <w:r>
        <w:rPr>
          <w:rFonts w:ascii="Arial" w:eastAsia="Arial" w:hAnsi="Arial" w:cs="Arial"/>
          <w:spacing w:val="74"/>
        </w:rPr>
        <w:t xml:space="preserve"> </w:t>
      </w:r>
      <w:r>
        <w:rPr>
          <w:spacing w:val="2"/>
        </w:rPr>
        <w:t>混合标准溶液添加到空白基质中，配</w:t>
      </w:r>
      <w:r>
        <w:t xml:space="preserve"> </w:t>
      </w:r>
      <w:r>
        <w:rPr>
          <w:spacing w:val="17"/>
        </w:rPr>
        <w:t>制得到低、中、高质量浓度(分别为10、50、150</w:t>
      </w:r>
      <w:r>
        <w:rPr>
          <w:spacing w:val="17"/>
        </w:rPr>
        <w:t xml:space="preserve"> </w:t>
      </w:r>
      <w:r>
        <w:rPr>
          <w:rFonts w:ascii="Arial" w:eastAsia="Arial" w:hAnsi="Arial" w:cs="Arial"/>
        </w:rPr>
        <w:t>pg</w:t>
      </w:r>
      <w:r>
        <w:rPr>
          <w:rFonts w:ascii="Arial" w:eastAsia="Arial" w:hAnsi="Arial" w:cs="Arial"/>
          <w:spacing w:val="17"/>
        </w:rPr>
        <w:t>/</w:t>
      </w:r>
      <w:r>
        <w:rPr>
          <w:rFonts w:ascii="Arial" w:eastAsia="Arial" w:hAnsi="Arial" w:cs="Arial"/>
        </w:rPr>
        <w:t>mL</w:t>
      </w:r>
      <w:r>
        <w:rPr>
          <w:rFonts w:ascii="Arial" w:eastAsia="Arial" w:hAnsi="Arial" w:cs="Arial"/>
          <w:spacing w:val="17"/>
        </w:rPr>
        <w:t xml:space="preserve">)   </w:t>
      </w:r>
      <w:r>
        <w:rPr>
          <w:spacing w:val="17"/>
        </w:rPr>
        <w:t>的质控</w:t>
      </w:r>
    </w:p>
    <w:p>
      <w:pPr>
        <w:pStyle w:val="BodyText"/>
        <w:spacing w:before="1" w:line="228" w:lineRule="auto"/>
        <w:ind w:left="3"/>
      </w:pPr>
      <w:r>
        <w:rPr>
          <w:spacing w:val="-15"/>
        </w:rPr>
        <w:t>品。</w:t>
      </w: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89" w:line="222" w:lineRule="auto"/>
        <w:ind w:left="7"/>
        <w:outlineLvl w:val="0"/>
      </w:pPr>
      <w:r>
        <w:rPr>
          <w:b/>
          <w:bCs/>
          <w:spacing w:val="-4"/>
        </w:rPr>
        <w:t>1.6</w:t>
      </w:r>
      <w:r>
        <w:rPr>
          <w:spacing w:val="-4"/>
        </w:rPr>
        <w:t xml:space="preserve">  </w:t>
      </w:r>
      <w:r>
        <w:rPr>
          <w:b/>
          <w:bCs/>
          <w:spacing w:val="-4"/>
        </w:rPr>
        <w:t>样品前处理</w:t>
      </w: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88" w:line="217" w:lineRule="auto"/>
        <w:ind w:left="433"/>
      </w:pPr>
      <w:r>
        <w:rPr>
          <w:rFonts w:ascii="SimSun" w:eastAsia="SimSun" w:hAnsi="SimSun" w:cs="SimSun"/>
        </w:rPr>
        <w:t>Sephadex</w:t>
      </w:r>
      <w:r>
        <w:rPr>
          <w:rFonts w:ascii="SimSun" w:eastAsia="SimSun" w:hAnsi="SimSun" w:cs="SimSun"/>
          <w:spacing w:val="60"/>
        </w:rPr>
        <w:t xml:space="preserve">  </w:t>
      </w:r>
      <w:r>
        <w:rPr>
          <w:rFonts w:ascii="SimSun" w:eastAsia="SimSun" w:hAnsi="SimSun" w:cs="SimSun"/>
        </w:rPr>
        <w:t>LH</w:t>
      </w:r>
      <w:r>
        <w:rPr>
          <w:rFonts w:ascii="SimSun" w:eastAsia="SimSun" w:hAnsi="SimSun" w:cs="SimSun"/>
          <w:spacing w:val="2"/>
        </w:rPr>
        <w:t>-20</w:t>
      </w:r>
      <w:r>
        <w:rPr>
          <w:rFonts w:ascii="SimSun" w:eastAsia="SimSun" w:hAnsi="SimSun" w:cs="SimSun"/>
          <w:spacing w:val="-47"/>
        </w:rPr>
        <w:t xml:space="preserve"> </w:t>
      </w:r>
      <w:r>
        <w:rPr>
          <w:spacing w:val="2"/>
        </w:rPr>
        <w:t>凝胶小柱预处理：依次使用2</w:t>
      </w:r>
      <w:r>
        <w:rPr>
          <w:spacing w:val="2"/>
        </w:rPr>
        <w:t xml:space="preserve"> </w:t>
      </w:r>
      <w:r>
        <w:rPr>
          <w:rFonts w:ascii="SimSun" w:eastAsia="SimSun" w:hAnsi="SimSun" w:cs="SimSun"/>
        </w:rPr>
        <w:t>mL</w:t>
      </w:r>
      <w:r>
        <w:rPr>
          <w:rFonts w:ascii="SimSun" w:eastAsia="SimSun" w:hAnsi="SimSun" w:cs="SimSun"/>
          <w:spacing w:val="49"/>
        </w:rPr>
        <w:t xml:space="preserve">  </w:t>
      </w:r>
      <w:r>
        <w:rPr>
          <w:rFonts w:ascii="SimSun" w:eastAsia="SimSun" w:hAnsi="SimSun" w:cs="SimSun"/>
          <w:spacing w:val="2"/>
        </w:rPr>
        <w:t>20%</w:t>
      </w:r>
      <w:r>
        <w:rPr>
          <w:spacing w:val="2"/>
        </w:rPr>
        <w:t>乙醇水、</w:t>
      </w:r>
    </w:p>
    <w:p>
      <w:pPr>
        <w:pStyle w:val="BodyText"/>
        <w:spacing w:before="306" w:line="213" w:lineRule="auto"/>
        <w:ind w:left="3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2</w:t>
      </w:r>
      <w:r>
        <w:rPr>
          <w:rFonts w:ascii="SimSun" w:eastAsia="SimSun" w:hAnsi="SimSun" w:cs="SimSun"/>
          <w:spacing w:val="116"/>
        </w:rPr>
        <w:t xml:space="preserve"> </w:t>
      </w:r>
      <w:r>
        <w:rPr>
          <w:rFonts w:ascii="SimSun" w:eastAsia="SimSun" w:hAnsi="SimSun" w:cs="SimSun"/>
        </w:rPr>
        <w:t>mL</w:t>
      </w:r>
      <w:r>
        <w:rPr>
          <w:spacing w:val="8"/>
        </w:rPr>
        <w:t>超纯水进行活化，再用4</w:t>
      </w:r>
      <w:r>
        <w:rPr>
          <w:spacing w:val="8"/>
        </w:rPr>
        <w:t xml:space="preserve"> </w:t>
      </w:r>
      <w:r>
        <w:rPr>
          <w:rFonts w:ascii="SimSun" w:eastAsia="SimSun" w:hAnsi="SimSun" w:cs="SimSun"/>
        </w:rPr>
        <w:t>mL</w:t>
      </w:r>
      <w:r>
        <w:rPr>
          <w:rFonts w:ascii="SimSun" w:eastAsia="SimSun" w:hAnsi="SimSun" w:cs="SimSun"/>
          <w:spacing w:val="129"/>
        </w:rPr>
        <w:t xml:space="preserve"> </w:t>
      </w:r>
      <w:r>
        <w:rPr>
          <w:spacing w:val="8"/>
        </w:rPr>
        <w:t>磷酸盐缓冲液</w:t>
      </w:r>
      <w:r>
        <w:rPr>
          <w:rFonts w:ascii="SimSun" w:eastAsia="SimSun" w:hAnsi="SimSun" w:cs="SimSun"/>
          <w:spacing w:val="8"/>
        </w:rPr>
        <w:t>(</w:t>
      </w:r>
      <w:r>
        <w:rPr>
          <w:rFonts w:ascii="SimSun" w:eastAsia="SimSun" w:hAnsi="SimSun" w:cs="SimSun"/>
        </w:rPr>
        <w:t>PB</w:t>
      </w:r>
      <w:r>
        <w:rPr>
          <w:rFonts w:ascii="SimSun" w:eastAsia="SimSun" w:hAnsi="SimSun" w:cs="SimSun"/>
          <w:spacing w:val="8"/>
        </w:rPr>
        <w:t xml:space="preserve">,0.1    </w:t>
      </w:r>
      <w:r>
        <w:rPr>
          <w:rFonts w:ascii="SimSun" w:eastAsia="SimSun" w:hAnsi="SimSun" w:cs="SimSun"/>
        </w:rPr>
        <w:t>mol</w:t>
      </w:r>
      <w:r>
        <w:rPr>
          <w:rFonts w:ascii="SimSun" w:eastAsia="SimSun" w:hAnsi="SimSun" w:cs="SimSun"/>
          <w:spacing w:val="8"/>
        </w:rPr>
        <w:t>/L,</w:t>
      </w:r>
    </w:p>
    <w:p>
      <w:pPr>
        <w:pStyle w:val="BodyText"/>
        <w:spacing w:before="301" w:line="440" w:lineRule="auto"/>
        <w:ind w:left="3" w:right="154"/>
      </w:pPr>
      <w:r>
        <w:rPr>
          <w:rFonts w:ascii="Times New Roman" w:eastAsia="Times New Roman" w:hAnsi="Times New Roman" w:cs="Times New Roman"/>
        </w:rPr>
        <w:t>pH</w:t>
      </w:r>
      <w:r>
        <w:rPr>
          <w:rFonts w:ascii="Times New Roman" w:eastAsia="Times New Roman" w:hAnsi="Times New Roman" w:cs="Times New Roman"/>
          <w:spacing w:val="3"/>
        </w:rPr>
        <w:t xml:space="preserve">    7.4) </w:t>
      </w:r>
      <w:r>
        <w:rPr>
          <w:spacing w:val="3"/>
        </w:rPr>
        <w:t>进行平衡。取150</w:t>
      </w:r>
      <w:r>
        <w:rPr>
          <w:spacing w:val="3"/>
        </w:rPr>
        <w:t xml:space="preserve">  </w:t>
      </w:r>
      <w:r>
        <w:rPr>
          <w:spacing w:val="3"/>
        </w:rPr>
        <w:t>μ</w:t>
      </w:r>
      <w:r>
        <w:rPr>
          <w:rFonts w:ascii="Times New Roman" w:eastAsia="Times New Roman" w:hAnsi="Times New Roman" w:cs="Times New Roman"/>
          <w:spacing w:val="3"/>
        </w:rPr>
        <w:t>L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spacing w:val="3"/>
        </w:rPr>
        <w:t>血清加载至经预处理的</w:t>
      </w:r>
      <w:r>
        <w:rPr>
          <w:spacing w:val="33"/>
        </w:rPr>
        <w:t xml:space="preserve"> </w:t>
      </w:r>
      <w:r>
        <w:rPr>
          <w:rFonts w:ascii="Times New Roman" w:eastAsia="Times New Roman" w:hAnsi="Times New Roman" w:cs="Times New Roman"/>
        </w:rPr>
        <w:t>Sephadex</w:t>
      </w:r>
      <w:r>
        <w:rPr>
          <w:rFonts w:ascii="Times New Roman" w:eastAsia="Times New Roman" w:hAnsi="Times New Roman" w:cs="Times New Roman"/>
          <w:spacing w:val="3"/>
        </w:rPr>
        <w:t xml:space="preserve">    </w:t>
      </w:r>
      <w:r>
        <w:rPr>
          <w:rFonts w:ascii="SimSun" w:eastAsia="SimSun" w:hAnsi="SimSun" w:cs="SimSun"/>
        </w:rPr>
        <w:t>LH</w:t>
      </w:r>
      <w:r>
        <w:rPr>
          <w:rFonts w:ascii="SimSun" w:eastAsia="SimSun" w:hAnsi="SimSun" w:cs="SimSun"/>
          <w:spacing w:val="6"/>
        </w:rPr>
        <w:t xml:space="preserve">-20 </w:t>
      </w:r>
      <w:r>
        <w:rPr>
          <w:spacing w:val="6"/>
        </w:rPr>
        <w:t>凝胶小柱，正压装置压入填料内，依次用4</w:t>
      </w:r>
      <w:r>
        <w:rPr>
          <w:spacing w:val="6"/>
        </w:rPr>
        <w:t xml:space="preserve"> </w:t>
      </w:r>
      <w:r>
        <w:rPr>
          <w:rFonts w:ascii="SimSun" w:eastAsia="SimSun" w:hAnsi="SimSun" w:cs="SimSun"/>
        </w:rPr>
        <w:t>mL</w:t>
      </w:r>
      <w:r>
        <w:rPr>
          <w:rFonts w:ascii="SimSun" w:eastAsia="SimSun" w:hAnsi="SimSun" w:cs="SimSun"/>
          <w:spacing w:val="39"/>
        </w:rPr>
        <w:t xml:space="preserve"> </w:t>
      </w:r>
      <w:r>
        <w:rPr>
          <w:rFonts w:ascii="SimSun" w:eastAsia="SimSun" w:hAnsi="SimSun" w:cs="SimSun"/>
        </w:rPr>
        <w:t>Tris</w:t>
      </w:r>
      <w:r>
        <w:rPr>
          <w:rFonts w:ascii="SimSun" w:eastAsia="SimSun" w:hAnsi="SimSun" w:cs="SimSun"/>
          <w:spacing w:val="6"/>
        </w:rPr>
        <w:t>-</w:t>
      </w:r>
      <w:r>
        <w:rPr>
          <w:rFonts w:ascii="SimSun" w:eastAsia="SimSun" w:hAnsi="SimSun" w:cs="SimSun"/>
        </w:rPr>
        <w:t>HCl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spacing w:val="6"/>
        </w:rPr>
        <w:t>缓冲</w:t>
      </w:r>
    </w:p>
    <w:p>
      <w:pPr>
        <w:pStyle w:val="BodyText"/>
        <w:spacing w:before="2" w:line="212" w:lineRule="auto"/>
        <w:ind w:left="3"/>
      </w:pPr>
      <w:r>
        <w:rPr>
          <w:spacing w:val="3"/>
        </w:rPr>
        <w:t>液(0.1</w:t>
      </w:r>
      <w:r>
        <w:rPr>
          <w:spacing w:val="3"/>
        </w:rPr>
        <w:t xml:space="preserve"> </w:t>
      </w:r>
      <w:r>
        <w:rPr>
          <w:rFonts w:ascii="SimSun" w:eastAsia="SimSun" w:hAnsi="SimSun" w:cs="SimSun"/>
        </w:rPr>
        <w:t>mol</w:t>
      </w:r>
      <w:r>
        <w:rPr>
          <w:rFonts w:ascii="SimSun" w:eastAsia="SimSun" w:hAnsi="SimSun" w:cs="SimSun"/>
          <w:spacing w:val="3"/>
        </w:rPr>
        <w:t>/L,</w:t>
      </w:r>
      <w:r>
        <w:rPr>
          <w:rFonts w:ascii="SimSun" w:eastAsia="SimSun" w:hAnsi="SimSun" w:cs="SimSun"/>
        </w:rPr>
        <w:t>pH</w:t>
      </w:r>
      <w:r>
        <w:rPr>
          <w:rFonts w:ascii="SimSun" w:eastAsia="SimSun" w:hAnsi="SimSun" w:cs="SimSun"/>
          <w:spacing w:val="36"/>
        </w:rPr>
        <w:t xml:space="preserve">  </w:t>
      </w:r>
      <w:r>
        <w:rPr>
          <w:rFonts w:ascii="SimSun" w:eastAsia="SimSun" w:hAnsi="SimSun" w:cs="SimSun"/>
          <w:spacing w:val="3"/>
        </w:rPr>
        <w:t>7.4)、150   μL</w:t>
      </w:r>
      <w:r>
        <w:rPr>
          <w:spacing w:val="3"/>
        </w:rPr>
        <w:t>甲醇进行洗涤，以</w:t>
      </w:r>
      <w:r>
        <w:rPr>
          <w:spacing w:val="2"/>
        </w:rPr>
        <w:t>去除结合蛋白</w:t>
      </w:r>
    </w:p>
    <w:p>
      <w:pPr>
        <w:spacing w:line="212" w:lineRule="auto"/>
        <w:sectPr>
          <w:pgSz w:w="11910" w:h="16840"/>
          <w:pgMar w:top="1431" w:right="1705" w:bottom="0" w:left="1786" w:header="0" w:footer="0" w:gutter="0"/>
          <w:pgNumType w:start="5"/>
          <w:cols w:space="708"/>
        </w:sectPr>
      </w:pPr>
    </w:p>
    <w:p>
      <w:pPr>
        <w:pStyle w:val="BodyText"/>
        <w:spacing w:before="166" w:line="415" w:lineRule="auto"/>
        <w:ind w:left="13" w:right="581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>的甲状腺激素，弃去洗涤液。然后用1.5</w:t>
      </w:r>
      <w:r>
        <w:rPr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mL</w:t>
      </w:r>
      <w:r>
        <w:rPr>
          <w:rFonts w:ascii="SimSun" w:eastAsia="SimSun" w:hAnsi="SimSun" w:cs="SimSun"/>
          <w:spacing w:val="93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甲醇对游离的甲状腺激</w:t>
      </w:r>
      <w:r>
        <w:rPr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素进行洗脱，收集洗脱液，于室温下氮气吹干，加入150</w:t>
      </w:r>
      <w:r>
        <w:rPr>
          <w:spacing w:val="103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μ</w:t>
      </w:r>
      <w:r>
        <w:rPr>
          <w:rFonts w:ascii="SimSun" w:eastAsia="SimSun" w:hAnsi="SimSun" w:cs="SimSun"/>
          <w:spacing w:val="-6"/>
          <w:sz w:val="28"/>
          <w:szCs w:val="28"/>
        </w:rPr>
        <w:t>L</w:t>
      </w:r>
      <w:r>
        <w:rPr>
          <w:rFonts w:ascii="SimSun" w:eastAsia="SimSun" w:hAnsi="SimSun" w:cs="SimSun"/>
          <w:spacing w:val="-42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混合内</w:t>
      </w:r>
    </w:p>
    <w:p>
      <w:pPr>
        <w:pStyle w:val="BodyText"/>
        <w:spacing w:before="1" w:line="212" w:lineRule="auto"/>
        <w:ind w:left="13"/>
        <w:rPr>
          <w:sz w:val="28"/>
          <w:szCs w:val="28"/>
        </w:rPr>
      </w:pPr>
      <w:r>
        <w:rPr>
          <w:spacing w:val="-3"/>
          <w:sz w:val="28"/>
          <w:szCs w:val="28"/>
        </w:rPr>
        <w:t>标工作溶液，振荡混匀2</w:t>
      </w:r>
      <w:r>
        <w:rPr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min,</w:t>
      </w:r>
      <w:r>
        <w:rPr>
          <w:rFonts w:ascii="SimSun" w:eastAsia="SimSun" w:hAnsi="SimSun" w:cs="SimSun"/>
          <w:spacing w:val="53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待分析。</w:t>
      </w:r>
    </w:p>
    <w:p>
      <w:pPr>
        <w:spacing w:line="443" w:lineRule="auto"/>
        <w:rPr>
          <w:rFonts w:ascii="Arial"/>
          <w:sz w:val="21"/>
        </w:rPr>
      </w:pPr>
    </w:p>
    <w:p>
      <w:pPr>
        <w:pStyle w:val="BodyText"/>
        <w:spacing w:before="91" w:line="222" w:lineRule="auto"/>
        <w:ind w:left="17"/>
        <w:outlineLvl w:val="0"/>
        <w:rPr>
          <w:sz w:val="28"/>
          <w:szCs w:val="28"/>
        </w:rPr>
      </w:pPr>
      <w:r>
        <w:rPr>
          <w:b/>
          <w:bCs/>
          <w:spacing w:val="-10"/>
          <w:sz w:val="28"/>
          <w:szCs w:val="28"/>
        </w:rPr>
        <w:t>1.7</w:t>
      </w:r>
      <w:r>
        <w:rPr>
          <w:spacing w:val="-10"/>
          <w:sz w:val="28"/>
          <w:szCs w:val="28"/>
        </w:rPr>
        <w:t xml:space="preserve">  </w:t>
      </w:r>
      <w:r>
        <w:rPr>
          <w:b/>
          <w:bCs/>
          <w:spacing w:val="-10"/>
          <w:sz w:val="28"/>
          <w:szCs w:val="28"/>
        </w:rPr>
        <w:t>分析条件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17"/>
        <w:outlineLvl w:val="0"/>
        <w:rPr>
          <w:sz w:val="28"/>
          <w:szCs w:val="28"/>
        </w:rPr>
      </w:pPr>
      <w:r>
        <w:rPr>
          <w:b/>
          <w:bCs/>
          <w:spacing w:val="-13"/>
          <w:sz w:val="28"/>
          <w:szCs w:val="28"/>
        </w:rPr>
        <w:t>1.7.1</w:t>
      </w:r>
      <w:r>
        <w:rPr>
          <w:spacing w:val="129"/>
          <w:sz w:val="28"/>
          <w:szCs w:val="28"/>
        </w:rPr>
        <w:t xml:space="preserve"> </w:t>
      </w:r>
      <w:r>
        <w:rPr>
          <w:b/>
          <w:bCs/>
          <w:spacing w:val="-13"/>
          <w:sz w:val="28"/>
          <w:szCs w:val="28"/>
        </w:rPr>
        <w:t>色谱条件</w:t>
      </w:r>
    </w:p>
    <w:p>
      <w:pPr>
        <w:spacing w:line="450" w:lineRule="auto"/>
        <w:rPr>
          <w:rFonts w:ascii="Arial"/>
          <w:sz w:val="21"/>
        </w:rPr>
      </w:pPr>
    </w:p>
    <w:p>
      <w:pPr>
        <w:pStyle w:val="BodyText"/>
        <w:spacing w:before="91" w:line="217" w:lineRule="auto"/>
        <w:ind w:left="4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Shim-pack</w:t>
      </w:r>
      <w:r>
        <w:rPr>
          <w:rFonts w:ascii="SimSun" w:eastAsia="SimSun" w:hAnsi="SimSun" w:cs="SimSun"/>
          <w:spacing w:val="83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Velox</w:t>
      </w:r>
      <w:r>
        <w:rPr>
          <w:rFonts w:ascii="SimSun" w:eastAsia="SimSun" w:hAnsi="SimSun" w:cs="SimSun"/>
          <w:spacing w:val="92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SP-C18</w:t>
      </w:r>
      <w:r>
        <w:rPr>
          <w:spacing w:val="-1"/>
          <w:sz w:val="28"/>
          <w:szCs w:val="28"/>
        </w:rPr>
        <w:t>色谱柱(2.1</w:t>
      </w:r>
      <w:r>
        <w:rPr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mm×50</w:t>
      </w:r>
      <w:r>
        <w:rPr>
          <w:rFonts w:ascii="SimSun" w:eastAsia="SimSun" w:hAnsi="SimSun" w:cs="SimSun"/>
          <w:spacing w:val="19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1"/>
          <w:sz w:val="28"/>
          <w:szCs w:val="28"/>
        </w:rPr>
        <w:t>mm,1.8μm);</w:t>
      </w:r>
    </w:p>
    <w:p>
      <w:pPr>
        <w:pStyle w:val="BodyText"/>
        <w:spacing w:before="254" w:line="655" w:lineRule="exact"/>
        <w:ind w:left="13"/>
        <w:rPr>
          <w:rFonts w:ascii="Arial" w:eastAsia="Arial" w:hAnsi="Arial" w:cs="Arial"/>
          <w:sz w:val="28"/>
          <w:szCs w:val="28"/>
        </w:rPr>
      </w:pPr>
      <w:r>
        <w:rPr>
          <w:spacing w:val="-9"/>
          <w:position w:val="29"/>
          <w:sz w:val="28"/>
          <w:szCs w:val="28"/>
        </w:rPr>
        <w:t>流动相：</w:t>
      </w:r>
      <w:r>
        <w:rPr>
          <w:rFonts w:ascii="Arial" w:eastAsia="Arial" w:hAnsi="Arial" w:cs="Arial"/>
          <w:spacing w:val="-9"/>
          <w:position w:val="29"/>
          <w:sz w:val="28"/>
          <w:szCs w:val="28"/>
        </w:rPr>
        <w:t xml:space="preserve">A </w:t>
      </w:r>
      <w:r>
        <w:rPr>
          <w:spacing w:val="-9"/>
          <w:position w:val="29"/>
          <w:sz w:val="28"/>
          <w:szCs w:val="28"/>
        </w:rPr>
        <w:t>相为0.002%甲酸水溶液，</w:t>
      </w:r>
      <w:r>
        <w:rPr>
          <w:rFonts w:ascii="Arial" w:eastAsia="Arial" w:hAnsi="Arial" w:cs="Arial"/>
          <w:spacing w:val="-9"/>
          <w:position w:val="29"/>
          <w:sz w:val="28"/>
          <w:szCs w:val="28"/>
        </w:rPr>
        <w:t>B</w:t>
      </w:r>
      <w:r>
        <w:rPr>
          <w:rFonts w:ascii="Arial" w:eastAsia="Arial" w:hAnsi="Arial" w:cs="Arial"/>
          <w:spacing w:val="-15"/>
          <w:position w:val="29"/>
          <w:sz w:val="28"/>
          <w:szCs w:val="28"/>
        </w:rPr>
        <w:t xml:space="preserve"> </w:t>
      </w:r>
      <w:r>
        <w:rPr>
          <w:spacing w:val="-9"/>
          <w:position w:val="29"/>
          <w:sz w:val="28"/>
          <w:szCs w:val="28"/>
        </w:rPr>
        <w:t>相为甲醇；流速：0.3</w:t>
      </w:r>
      <w:r>
        <w:rPr>
          <w:spacing w:val="-9"/>
          <w:position w:val="2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9"/>
          <w:position w:val="29"/>
          <w:sz w:val="28"/>
          <w:szCs w:val="28"/>
        </w:rPr>
        <w:t>mL/min</w:t>
      </w:r>
    </w:p>
    <w:p>
      <w:pPr>
        <w:pStyle w:val="BodyText"/>
        <w:spacing w:before="1" w:line="212" w:lineRule="auto"/>
        <w:ind w:left="1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pacing w:val="-2"/>
          <w:sz w:val="28"/>
          <w:szCs w:val="28"/>
        </w:rPr>
        <w:t>柱温：45</w:t>
      </w:r>
      <w:r>
        <w:rPr>
          <w:spacing w:val="-2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℃;进样量：30μ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L; </w:t>
      </w:r>
      <w:r>
        <w:rPr>
          <w:spacing w:val="-2"/>
          <w:sz w:val="28"/>
          <w:szCs w:val="28"/>
        </w:rPr>
        <w:t>梯度洗脱：0~0</w:t>
      </w:r>
      <w:r>
        <w:rPr>
          <w:spacing w:val="-3"/>
          <w:sz w:val="28"/>
          <w:szCs w:val="28"/>
        </w:rPr>
        <w:t>.5</w:t>
      </w:r>
      <w:r>
        <w:rPr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min,30%B;0.5~5</w:t>
      </w:r>
    </w:p>
    <w:p>
      <w:pPr>
        <w:spacing w:before="285" w:line="190" w:lineRule="auto"/>
        <w:ind w:left="13"/>
        <w:rPr>
          <w:rFonts w:ascii="SimSun" w:eastAsia="SimSun" w:hAnsi="SimSun" w:cs="SimSun"/>
          <w:sz w:val="33"/>
          <w:szCs w:val="33"/>
        </w:rPr>
      </w:pPr>
      <w:r>
        <w:rPr>
          <w:rFonts w:ascii="Arial" w:eastAsia="Arial" w:hAnsi="Arial" w:cs="Arial"/>
          <w:spacing w:val="-1"/>
          <w:sz w:val="33"/>
          <w:szCs w:val="33"/>
        </w:rPr>
        <w:t>min,30%~98%B;5~7min,98%B;7.01~9min,98%~30%B</w:t>
      </w:r>
      <w:r>
        <w:rPr>
          <w:rFonts w:ascii="SimSun" w:eastAsia="SimSun" w:hAnsi="SimSun" w:cs="SimSun"/>
          <w:spacing w:val="-1"/>
          <w:sz w:val="33"/>
          <w:szCs w:val="33"/>
        </w:rPr>
        <w:t>。</w:t>
      </w:r>
    </w:p>
    <w:p>
      <w:pPr>
        <w:spacing w:line="442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17"/>
        <w:outlineLvl w:val="0"/>
        <w:rPr>
          <w:sz w:val="28"/>
          <w:szCs w:val="28"/>
        </w:rPr>
      </w:pPr>
      <w:r>
        <w:rPr>
          <w:b/>
          <w:bCs/>
          <w:spacing w:val="-10"/>
          <w:sz w:val="28"/>
          <w:szCs w:val="28"/>
        </w:rPr>
        <w:t>1.7.2</w:t>
      </w:r>
      <w:r>
        <w:rPr>
          <w:spacing w:val="-10"/>
          <w:sz w:val="28"/>
          <w:szCs w:val="28"/>
        </w:rPr>
        <w:t xml:space="preserve">  </w:t>
      </w:r>
      <w:r>
        <w:rPr>
          <w:b/>
          <w:bCs/>
          <w:spacing w:val="-10"/>
          <w:sz w:val="28"/>
          <w:szCs w:val="28"/>
        </w:rPr>
        <w:t>质谱条件</w:t>
      </w:r>
    </w:p>
    <w:p>
      <w:pPr>
        <w:spacing w:line="417" w:lineRule="auto"/>
        <w:rPr>
          <w:rFonts w:ascii="Arial"/>
          <w:sz w:val="21"/>
        </w:rPr>
      </w:pPr>
    </w:p>
    <w:p>
      <w:pPr>
        <w:pStyle w:val="BodyText"/>
        <w:spacing w:before="91" w:line="415" w:lineRule="auto"/>
        <w:ind w:left="13" w:right="552" w:firstLine="430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离子源：电喷雾离子源</w:t>
      </w:r>
      <w:r>
        <w:rPr>
          <w:spacing w:val="-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(ESI);      </w:t>
      </w:r>
      <w:r>
        <w:rPr>
          <w:spacing w:val="-1"/>
          <w:sz w:val="28"/>
          <w:szCs w:val="28"/>
        </w:rPr>
        <w:t>数据扫描方式：正离子模式；测</w:t>
      </w:r>
      <w:r>
        <w:rPr>
          <w:sz w:val="28"/>
          <w:szCs w:val="28"/>
        </w:rPr>
        <w:t xml:space="preserve"> </w:t>
      </w:r>
      <w:r>
        <w:rPr>
          <w:spacing w:val="5"/>
          <w:sz w:val="28"/>
          <w:szCs w:val="28"/>
        </w:rPr>
        <w:t>定方式：多反应监测</w:t>
      </w:r>
      <w:r>
        <w:rPr>
          <w:rFonts w:ascii="SimSun" w:eastAsia="SimSun" w:hAnsi="SimSun" w:cs="SimSun"/>
          <w:spacing w:val="5"/>
          <w:sz w:val="28"/>
          <w:szCs w:val="28"/>
        </w:rPr>
        <w:t>(</w:t>
      </w:r>
      <w:r>
        <w:rPr>
          <w:rFonts w:ascii="SimSun" w:eastAsia="SimSun" w:hAnsi="SimSun" w:cs="SimSun"/>
          <w:sz w:val="28"/>
          <w:szCs w:val="28"/>
        </w:rPr>
        <w:t>MRM</w:t>
      </w:r>
      <w:r>
        <w:rPr>
          <w:rFonts w:ascii="SimSun" w:eastAsia="SimSun" w:hAnsi="SimSun" w:cs="SimSun"/>
          <w:spacing w:val="5"/>
          <w:sz w:val="28"/>
          <w:szCs w:val="28"/>
        </w:rPr>
        <w:t>)</w:t>
      </w:r>
      <w:r>
        <w:rPr>
          <w:rFonts w:ascii="SimSun" w:eastAsia="SimSun" w:hAnsi="SimSun" w:cs="SimSun"/>
          <w:spacing w:val="38"/>
          <w:sz w:val="28"/>
          <w:szCs w:val="28"/>
        </w:rPr>
        <w:t xml:space="preserve">   </w:t>
      </w:r>
      <w:r>
        <w:rPr>
          <w:spacing w:val="5"/>
          <w:sz w:val="28"/>
          <w:szCs w:val="28"/>
        </w:rPr>
        <w:t>模式；脱溶剂气温度：600</w:t>
      </w:r>
      <w:r>
        <w:rPr>
          <w:spacing w:val="45"/>
          <w:sz w:val="28"/>
          <w:szCs w:val="28"/>
        </w:rPr>
        <w:t xml:space="preserve"> </w:t>
      </w:r>
      <w:r>
        <w:rPr>
          <w:spacing w:val="5"/>
          <w:sz w:val="28"/>
          <w:szCs w:val="28"/>
        </w:rPr>
        <w:t>℃;加热</w:t>
      </w:r>
      <w:r>
        <w:rPr>
          <w:sz w:val="28"/>
          <w:szCs w:val="28"/>
        </w:rPr>
        <w:t xml:space="preserve"> </w:t>
      </w:r>
      <w:r>
        <w:rPr>
          <w:spacing w:val="8"/>
          <w:sz w:val="28"/>
          <w:szCs w:val="28"/>
        </w:rPr>
        <w:t>块温度：400℃;接口电压：4.0</w:t>
      </w:r>
      <w:r>
        <w:rPr>
          <w:spacing w:val="8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kV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; </w:t>
      </w:r>
      <w:r>
        <w:rPr>
          <w:spacing w:val="8"/>
          <w:sz w:val="28"/>
          <w:szCs w:val="28"/>
        </w:rPr>
        <w:t>雾化气流速：3.0</w:t>
      </w:r>
      <w:r>
        <w:rPr>
          <w:spacing w:val="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8"/>
          <w:sz w:val="28"/>
          <w:szCs w:val="28"/>
        </w:rPr>
        <w:t>L/</w:t>
      </w:r>
      <w:r>
        <w:rPr>
          <w:rFonts w:ascii="SimSun" w:eastAsia="SimSun" w:hAnsi="SimSun" w:cs="SimSun"/>
          <w:sz w:val="28"/>
          <w:szCs w:val="28"/>
        </w:rPr>
        <w:t>min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; </w:t>
      </w:r>
      <w:r>
        <w:rPr>
          <w:spacing w:val="8"/>
          <w:sz w:val="28"/>
          <w:szCs w:val="28"/>
        </w:rPr>
        <w:t>干</w:t>
      </w:r>
      <w:r>
        <w:rPr>
          <w:spacing w:val="11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燥气流速：5.0</w:t>
      </w:r>
      <w:r>
        <w:rPr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-6"/>
          <w:sz w:val="28"/>
          <w:szCs w:val="28"/>
        </w:rPr>
        <w:t xml:space="preserve">L/min;   </w:t>
      </w:r>
      <w:r>
        <w:rPr>
          <w:spacing w:val="-6"/>
          <w:sz w:val="28"/>
          <w:szCs w:val="28"/>
        </w:rPr>
        <w:t>加热</w:t>
      </w:r>
      <w:r>
        <w:rPr>
          <w:spacing w:val="-7"/>
          <w:sz w:val="28"/>
          <w:szCs w:val="28"/>
        </w:rPr>
        <w:t>气流速：15.0</w:t>
      </w:r>
      <w:r>
        <w:rPr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-7"/>
          <w:sz w:val="28"/>
          <w:szCs w:val="28"/>
        </w:rPr>
        <w:t>L/min</w:t>
      </w:r>
      <w:r>
        <w:rPr>
          <w:rFonts w:ascii="Arial" w:eastAsia="Arial" w:hAnsi="Arial" w:cs="Arial"/>
          <w:spacing w:val="-3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。</w:t>
      </w:r>
      <w:r>
        <w:rPr>
          <w:spacing w:val="-7"/>
          <w:sz w:val="28"/>
          <w:szCs w:val="28"/>
        </w:rPr>
        <w:t>各目标物的保留时</w:t>
      </w:r>
    </w:p>
    <w:p>
      <w:pPr>
        <w:pStyle w:val="BodyText"/>
        <w:spacing w:before="2" w:line="220" w:lineRule="auto"/>
        <w:ind w:left="13"/>
        <w:rPr>
          <w:sz w:val="28"/>
          <w:szCs w:val="28"/>
        </w:rPr>
      </w:pPr>
      <w:r>
        <w:rPr>
          <w:spacing w:val="-5"/>
          <w:sz w:val="28"/>
          <w:szCs w:val="28"/>
        </w:rPr>
        <w:t>间、</w:t>
      </w:r>
      <w:r>
        <w:rPr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MRM </w:t>
      </w:r>
      <w:r>
        <w:rPr>
          <w:spacing w:val="-5"/>
          <w:sz w:val="28"/>
          <w:szCs w:val="28"/>
        </w:rPr>
        <w:t>监测离子对、碰撞电压等参数见表1。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1407"/>
        <w:rPr>
          <w:sz w:val="28"/>
          <w:szCs w:val="28"/>
        </w:rPr>
      </w:pPr>
      <w:r>
        <w:rPr>
          <w:b/>
          <w:bCs/>
          <w:spacing w:val="-7"/>
          <w:sz w:val="28"/>
          <w:szCs w:val="28"/>
        </w:rPr>
        <w:t>表</w:t>
      </w:r>
      <w:r>
        <w:rPr>
          <w:spacing w:val="-7"/>
          <w:sz w:val="28"/>
          <w:szCs w:val="28"/>
        </w:rPr>
        <w:t xml:space="preserve"> </w:t>
      </w:r>
      <w:r>
        <w:rPr>
          <w:b/>
          <w:bCs/>
          <w:spacing w:val="-7"/>
          <w:sz w:val="28"/>
          <w:szCs w:val="28"/>
        </w:rPr>
        <w:t>1</w:t>
      </w:r>
      <w:r>
        <w:rPr>
          <w:spacing w:val="111"/>
          <w:sz w:val="28"/>
          <w:szCs w:val="28"/>
        </w:rPr>
        <w:t xml:space="preserve"> </w:t>
      </w:r>
      <w:r>
        <w:rPr>
          <w:b/>
          <w:bCs/>
          <w:spacing w:val="-7"/>
          <w:sz w:val="28"/>
          <w:szCs w:val="28"/>
        </w:rPr>
        <w:t>各化合物的保留时间与</w:t>
      </w:r>
      <w:r>
        <w:rPr>
          <w:spacing w:val="-6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28"/>
          <w:szCs w:val="28"/>
        </w:rPr>
        <w:t>MRM</w:t>
      </w:r>
      <w:r>
        <w:rPr>
          <w:rFonts w:ascii="Arial" w:eastAsia="Arial" w:hAnsi="Arial" w:cs="Arial"/>
          <w:b/>
          <w:bCs/>
          <w:spacing w:val="57"/>
          <w:sz w:val="28"/>
          <w:szCs w:val="28"/>
        </w:rPr>
        <w:t xml:space="preserve"> </w:t>
      </w:r>
      <w:r>
        <w:rPr>
          <w:b/>
          <w:bCs/>
          <w:spacing w:val="-7"/>
          <w:sz w:val="28"/>
          <w:szCs w:val="28"/>
        </w:rPr>
        <w:t>质谱参数</w:t>
      </w:r>
    </w:p>
    <w:p>
      <w:pPr>
        <w:spacing w:before="6"/>
      </w:pPr>
    </w:p>
    <w:tbl>
      <w:tblPr>
        <w:tblStyle w:val="TableNormal0"/>
        <w:tblW w:w="8800" w:type="dxa"/>
        <w:tblInd w:w="7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279"/>
        <w:gridCol w:w="1531"/>
        <w:gridCol w:w="5990"/>
      </w:tblGrid>
      <w:tr>
        <w:tblPrEx>
          <w:tblW w:w="8800" w:type="dxa"/>
          <w:tblInd w:w="7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3"/>
        </w:trPr>
        <w:tc>
          <w:tcPr>
            <w:tcW w:w="1279" w:type="dxa"/>
            <w:vMerge w:val="restart"/>
            <w:tcBorders>
              <w:top w:val="single" w:sz="4" w:space="0" w:color="000000"/>
              <w:bottom w:val="nil"/>
            </w:tcBorders>
            <w:vAlign w:val="top"/>
          </w:tcPr>
          <w:p>
            <w:pPr>
              <w:pStyle w:val="TableText"/>
              <w:spacing w:before="208" w:line="215" w:lineRule="auto"/>
              <w:ind w:left="45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Analyte</w:t>
            </w:r>
          </w:p>
        </w:tc>
        <w:tc>
          <w:tcPr>
            <w:tcW w:w="1531" w:type="dxa"/>
            <w:vMerge w:val="restart"/>
            <w:tcBorders>
              <w:top w:val="single" w:sz="4" w:space="0" w:color="000000"/>
              <w:bottom w:val="nil"/>
            </w:tcBorders>
            <w:vAlign w:val="top"/>
          </w:tcPr>
          <w:p>
            <w:pPr>
              <w:pStyle w:val="TableText"/>
              <w:spacing w:before="216" w:line="224" w:lineRule="auto"/>
              <w:jc w:val="right"/>
              <w:rPr>
                <w:sz w:val="17"/>
                <w:szCs w:val="17"/>
              </w:rPr>
            </w:pPr>
            <w:r>
              <w:rPr>
                <w:spacing w:val="-13"/>
                <w:sz w:val="17"/>
                <w:szCs w:val="17"/>
              </w:rPr>
              <w:t>Retent</w:t>
            </w:r>
            <w:r>
              <w:rPr>
                <w:spacing w:val="-12"/>
                <w:sz w:val="17"/>
                <w:szCs w:val="17"/>
              </w:rPr>
              <w:t>ion time/mi</w:t>
            </w:r>
            <w:r>
              <w:rPr>
                <w:spacing w:val="-6"/>
                <w:sz w:val="17"/>
                <w:szCs w:val="17"/>
              </w:rPr>
              <w:t>n</w:t>
            </w:r>
          </w:p>
        </w:tc>
        <w:tc>
          <w:tcPr>
            <w:tcW w:w="5990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36" w:line="191" w:lineRule="auto"/>
              <w:ind w:left="10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Quantitation                      Qualitation</w:t>
            </w:r>
          </w:p>
        </w:tc>
      </w:tr>
      <w:tr>
        <w:tblPrEx>
          <w:tblW w:w="8800" w:type="dxa"/>
          <w:tblInd w:w="73" w:type="dxa"/>
          <w:tblLayout w:type="fixed"/>
        </w:tblPrEx>
        <w:trPr>
          <w:trHeight w:val="198"/>
        </w:trPr>
        <w:tc>
          <w:tcPr>
            <w:tcW w:w="1279" w:type="dxa"/>
            <w:vMerge/>
            <w:tcBorders>
              <w:top w:val="nil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1" w:type="dxa"/>
            <w:vMerge/>
            <w:tcBorders>
              <w:top w:val="nil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0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line="185" w:lineRule="auto"/>
              <w:jc w:val="right"/>
              <w:rPr>
                <w:sz w:val="17"/>
                <w:szCs w:val="17"/>
              </w:rPr>
            </w:pPr>
            <w:r>
              <w:rPr>
                <w:spacing w:val="-8"/>
                <w:sz w:val="18"/>
                <w:szCs w:val="18"/>
              </w:rPr>
              <w:t>lon</w:t>
            </w:r>
            <w:r>
              <w:rPr>
                <w:spacing w:val="62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pair(m/z)</w:t>
            </w:r>
            <w:r>
              <w:rPr>
                <w:spacing w:val="71"/>
                <w:sz w:val="18"/>
                <w:szCs w:val="18"/>
              </w:rPr>
              <w:t xml:space="preserve"> </w:t>
            </w:r>
            <w:r>
              <w:rPr>
                <w:spacing w:val="-7"/>
                <w:position w:val="1"/>
                <w:sz w:val="16"/>
                <w:szCs w:val="16"/>
              </w:rPr>
              <w:t>Collision   en</w:t>
            </w:r>
            <w:r>
              <w:rPr>
                <w:spacing w:val="-8"/>
                <w:position w:val="1"/>
                <w:sz w:val="16"/>
                <w:szCs w:val="16"/>
              </w:rPr>
              <w:t xml:space="preserve">erglyo/nV   pair(m/z)       </w:t>
            </w:r>
            <w:r>
              <w:rPr>
                <w:spacing w:val="-8"/>
                <w:position w:val="-1"/>
                <w:sz w:val="17"/>
                <w:szCs w:val="17"/>
              </w:rPr>
              <w:t>Collision energy/</w:t>
            </w:r>
            <w:r>
              <w:rPr>
                <w:spacing w:val="-5"/>
                <w:position w:val="-1"/>
                <w:sz w:val="17"/>
                <w:szCs w:val="17"/>
              </w:rPr>
              <w:t>V</w:t>
            </w:r>
          </w:p>
        </w:tc>
      </w:tr>
      <w:tr>
        <w:tblPrEx>
          <w:tblW w:w="8800" w:type="dxa"/>
          <w:tblInd w:w="73" w:type="dxa"/>
          <w:tblLayout w:type="fixed"/>
        </w:tblPrEx>
        <w:trPr>
          <w:trHeight w:val="236"/>
        </w:trPr>
        <w:tc>
          <w:tcPr>
            <w:tcW w:w="1279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06" w:line="158" w:lineRule="auto"/>
              <w:ind w:left="529"/>
            </w:pPr>
            <w:r>
              <w:rPr>
                <w:spacing w:val="-1"/>
              </w:rPr>
              <w:t>T3</w:t>
            </w:r>
          </w:p>
        </w:tc>
        <w:tc>
          <w:tcPr>
            <w:tcW w:w="1531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06" w:line="158" w:lineRule="auto"/>
              <w:ind w:left="590"/>
            </w:pPr>
            <w:r>
              <w:rPr>
                <w:spacing w:val="-2"/>
              </w:rPr>
              <w:t>3.25</w:t>
            </w:r>
          </w:p>
        </w:tc>
        <w:tc>
          <w:tcPr>
            <w:tcW w:w="5990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83" w:line="188" w:lineRule="auto"/>
              <w:ind w:left="290"/>
            </w:pPr>
            <w:r>
              <w:t>651.6/605.8                -2</w:t>
            </w:r>
            <w:r>
              <w:rPr>
                <w:spacing w:val="-1"/>
              </w:rPr>
              <w:t>2</w:t>
            </w:r>
            <w:r>
              <w:rPr>
                <w:spacing w:val="1"/>
              </w:rPr>
              <w:t xml:space="preserve">             </w:t>
            </w:r>
            <w:r>
              <w:rPr>
                <w:spacing w:val="-1"/>
              </w:rPr>
              <w:t>651.6/478.9</w:t>
            </w:r>
            <w:r>
              <w:rPr>
                <w:spacing w:val="3"/>
              </w:rPr>
              <w:t xml:space="preserve">            </w:t>
            </w:r>
            <w:r>
              <w:rPr>
                <w:spacing w:val="-1"/>
              </w:rPr>
              <w:t>-36</w:t>
            </w:r>
          </w:p>
        </w:tc>
      </w:tr>
    </w:tbl>
    <w:p>
      <w:pPr>
        <w:sectPr>
          <w:pgSz w:w="11910" w:h="16840"/>
          <w:pgMar w:top="1431" w:right="1249" w:bottom="0" w:left="1786" w:header="0" w:footer="0" w:gutter="0"/>
          <w:pgNumType w:start="6"/>
          <w:cols w:space="708"/>
        </w:sectPr>
      </w:pPr>
    </w:p>
    <w:tbl>
      <w:tblPr>
        <w:tblStyle w:val="TableNormal1"/>
        <w:tblW w:w="8800" w:type="dxa"/>
        <w:tblInd w:w="7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279"/>
        <w:gridCol w:w="1531"/>
        <w:gridCol w:w="5990"/>
      </w:tblGrid>
      <w:tr>
        <w:tblPrEx>
          <w:tblW w:w="8800" w:type="dxa"/>
          <w:tblInd w:w="7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26"/>
        </w:trPr>
        <w:tc>
          <w:tcPr>
            <w:tcW w:w="1279" w:type="dxa"/>
            <w:vAlign w:val="top"/>
          </w:tcPr>
          <w:p>
            <w:pPr>
              <w:pStyle w:val="TableText"/>
              <w:spacing w:before="19" w:line="214" w:lineRule="auto"/>
              <w:ind w:left="360"/>
            </w:pPr>
            <w:r>
              <w:rPr>
                <w:spacing w:val="-1"/>
              </w:rPr>
              <w:t>T3-¹Cg</w:t>
            </w:r>
          </w:p>
        </w:tc>
        <w:tc>
          <w:tcPr>
            <w:tcW w:w="1531" w:type="dxa"/>
            <w:vAlign w:val="top"/>
          </w:tcPr>
          <w:p>
            <w:pPr>
              <w:pStyle w:val="TableText"/>
              <w:spacing w:before="99" w:line="117" w:lineRule="exact"/>
              <w:ind w:left="590"/>
            </w:pPr>
            <w:r>
              <w:rPr>
                <w:spacing w:val="-2"/>
                <w:position w:val="-1"/>
              </w:rPr>
              <w:t>3.25</w:t>
            </w:r>
          </w:p>
        </w:tc>
        <w:tc>
          <w:tcPr>
            <w:tcW w:w="5990" w:type="dxa"/>
            <w:vAlign w:val="top"/>
          </w:tcPr>
          <w:p>
            <w:pPr>
              <w:pStyle w:val="TableText"/>
              <w:spacing w:before="57" w:line="209" w:lineRule="auto"/>
              <w:ind w:left="290"/>
            </w:pPr>
            <w:r>
              <w:t>663.7/617.8                -2</w:t>
            </w:r>
            <w:r>
              <w:rPr>
                <w:spacing w:val="-1"/>
              </w:rPr>
              <w:t>2</w:t>
            </w:r>
            <w:r>
              <w:rPr>
                <w:spacing w:val="1"/>
              </w:rPr>
              <w:t xml:space="preserve">             </w:t>
            </w:r>
            <w:r>
              <w:rPr>
                <w:spacing w:val="-1"/>
              </w:rPr>
              <w:t>663.7/490.9</w:t>
            </w:r>
            <w:r>
              <w:rPr>
                <w:spacing w:val="3"/>
              </w:rPr>
              <w:t xml:space="preserve">            </w:t>
            </w:r>
            <w:r>
              <w:rPr>
                <w:spacing w:val="-1"/>
              </w:rPr>
              <w:t>-36</w:t>
            </w:r>
          </w:p>
        </w:tc>
      </w:tr>
      <w:tr>
        <w:tblPrEx>
          <w:tblW w:w="8800" w:type="dxa"/>
          <w:tblInd w:w="73" w:type="dxa"/>
          <w:tblLayout w:type="fixed"/>
        </w:tblPrEx>
        <w:trPr>
          <w:trHeight w:val="223"/>
        </w:trPr>
        <w:tc>
          <w:tcPr>
            <w:tcW w:w="1279" w:type="dxa"/>
            <w:vAlign w:val="top"/>
          </w:tcPr>
          <w:p>
            <w:pPr>
              <w:pStyle w:val="TableText"/>
              <w:spacing w:before="63" w:line="183" w:lineRule="auto"/>
              <w:ind w:left="529"/>
            </w:pPr>
            <w:r>
              <w:rPr>
                <w:spacing w:val="-1"/>
              </w:rPr>
              <w:t>T4</w:t>
            </w:r>
          </w:p>
        </w:tc>
        <w:tc>
          <w:tcPr>
            <w:tcW w:w="1531" w:type="dxa"/>
            <w:vAlign w:val="top"/>
          </w:tcPr>
          <w:p>
            <w:pPr>
              <w:pStyle w:val="TableText"/>
              <w:spacing w:before="84" w:line="170" w:lineRule="auto"/>
              <w:ind w:left="590"/>
            </w:pPr>
            <w:r>
              <w:rPr>
                <w:spacing w:val="-2"/>
              </w:rPr>
              <w:t>3.66</w:t>
            </w:r>
          </w:p>
        </w:tc>
        <w:tc>
          <w:tcPr>
            <w:tcW w:w="5990" w:type="dxa"/>
            <w:vAlign w:val="top"/>
          </w:tcPr>
          <w:p>
            <w:pPr>
              <w:pStyle w:val="TableText"/>
              <w:spacing w:before="31" w:line="226" w:lineRule="auto"/>
              <w:ind w:left="290"/>
            </w:pPr>
            <w:r>
              <w:rPr>
                <w:spacing w:val="-1"/>
              </w:rPr>
              <w:t>777.4/731.7                -23</w:t>
            </w:r>
            <w:r>
              <w:rPr>
                <w:spacing w:val="1"/>
              </w:rPr>
              <w:t xml:space="preserve">             </w:t>
            </w:r>
            <w:r>
              <w:rPr>
                <w:spacing w:val="-1"/>
              </w:rPr>
              <w:t xml:space="preserve">777.4/604.7             </w:t>
            </w:r>
            <w:r>
              <w:rPr>
                <w:spacing w:val="-1"/>
                <w:position w:val="-1"/>
              </w:rPr>
              <w:t>-40</w:t>
            </w:r>
          </w:p>
        </w:tc>
      </w:tr>
      <w:tr>
        <w:tblPrEx>
          <w:tblW w:w="8800" w:type="dxa"/>
          <w:tblInd w:w="73" w:type="dxa"/>
          <w:tblLayout w:type="fixed"/>
        </w:tblPrEx>
        <w:trPr>
          <w:trHeight w:val="234"/>
        </w:trPr>
        <w:tc>
          <w:tcPr>
            <w:tcW w:w="1279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2" w:line="216" w:lineRule="auto"/>
              <w:ind w:left="360"/>
            </w:pPr>
            <w:r>
              <w:rPr>
                <w:spacing w:val="-1"/>
              </w:rPr>
              <w:t>T4-°C,</w:t>
            </w:r>
          </w:p>
        </w:tc>
        <w:tc>
          <w:tcPr>
            <w:tcW w:w="1531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101" w:line="162" w:lineRule="auto"/>
              <w:ind w:left="590"/>
            </w:pPr>
            <w:r>
              <w:rPr>
                <w:spacing w:val="-2"/>
              </w:rPr>
              <w:t>3.66</w:t>
            </w:r>
          </w:p>
        </w:tc>
        <w:tc>
          <w:tcPr>
            <w:tcW w:w="5990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8" w:line="218" w:lineRule="auto"/>
              <w:ind w:left="290"/>
            </w:pPr>
            <w:r>
              <w:rPr>
                <w:spacing w:val="-1"/>
              </w:rPr>
              <w:t xml:space="preserve">783.5/737.7                </w:t>
            </w:r>
            <w:r>
              <w:rPr>
                <w:spacing w:val="-1"/>
                <w:position w:val="-1"/>
              </w:rPr>
              <w:t>-26</w:t>
            </w:r>
            <w:r>
              <w:rPr>
                <w:spacing w:val="1"/>
                <w:position w:val="-1"/>
              </w:rPr>
              <w:t xml:space="preserve">             </w:t>
            </w:r>
            <w:r>
              <w:rPr>
                <w:spacing w:val="-1"/>
              </w:rPr>
              <w:t xml:space="preserve">783.5/610.7             </w:t>
            </w:r>
            <w:r>
              <w:rPr>
                <w:spacing w:val="-1"/>
                <w:position w:val="-1"/>
              </w:rPr>
              <w:t>-40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10" w:h="16840"/>
          <w:pgMar w:top="1431" w:right="1249" w:bottom="0" w:left="1786" w:header="0" w:footer="0" w:gutter="0"/>
          <w:pgNumType w:start="7"/>
          <w:cols w:space="708"/>
          <w:titlePg w:val="0"/>
        </w:sectPr>
      </w:pPr>
    </w:p>
    <w:p>
      <w:pPr>
        <w:pStyle w:val="BodyText"/>
        <w:spacing w:before="187" w:line="224" w:lineRule="auto"/>
        <w:ind w:left="17"/>
      </w:pPr>
      <w:r>
        <w:rPr>
          <w:b/>
          <w:bCs/>
          <w:spacing w:val="-6"/>
        </w:rPr>
        <w:t>2</w:t>
      </w:r>
      <w:r>
        <w:rPr>
          <w:spacing w:val="30"/>
        </w:rPr>
        <w:t xml:space="preserve"> </w:t>
      </w:r>
      <w:r>
        <w:rPr>
          <w:b/>
          <w:bCs/>
          <w:spacing w:val="-6"/>
        </w:rPr>
        <w:t>结果与讨论</w:t>
      </w:r>
    </w:p>
    <w:p>
      <w:pPr>
        <w:spacing w:line="440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17"/>
        <w:outlineLvl w:val="0"/>
      </w:pPr>
      <w:r>
        <w:rPr>
          <w:b/>
          <w:bCs/>
        </w:rPr>
        <w:t>2.1</w:t>
      </w:r>
      <w:r>
        <w:rPr>
          <w:spacing w:val="133"/>
        </w:rPr>
        <w:t xml:space="preserve"> </w:t>
      </w:r>
      <w:r>
        <w:rPr>
          <w:b/>
          <w:bCs/>
        </w:rPr>
        <w:t>分析条件的优化</w:t>
      </w:r>
    </w:p>
    <w:p>
      <w:pPr>
        <w:spacing w:line="452" w:lineRule="auto"/>
        <w:rPr>
          <w:rFonts w:ascii="Arial"/>
          <w:sz w:val="21"/>
        </w:rPr>
      </w:pPr>
    </w:p>
    <w:p>
      <w:pPr>
        <w:pStyle w:val="BodyText"/>
        <w:spacing w:before="87" w:line="221" w:lineRule="auto"/>
        <w:ind w:left="17"/>
        <w:outlineLvl w:val="0"/>
      </w:pPr>
      <w:r>
        <w:rPr>
          <w:b/>
          <w:bCs/>
          <w:spacing w:val="-2"/>
        </w:rPr>
        <w:t>2.1.1</w:t>
      </w:r>
      <w:r>
        <w:rPr>
          <w:spacing w:val="132"/>
        </w:rPr>
        <w:t xml:space="preserve"> </w:t>
      </w:r>
      <w:r>
        <w:rPr>
          <w:b/>
          <w:bCs/>
          <w:spacing w:val="-2"/>
        </w:rPr>
        <w:t>质谱参数的优化</w:t>
      </w:r>
    </w:p>
    <w:p>
      <w:pPr>
        <w:spacing w:line="453" w:lineRule="auto"/>
        <w:rPr>
          <w:rFonts w:ascii="Arial"/>
          <w:sz w:val="21"/>
        </w:rPr>
      </w:pPr>
    </w:p>
    <w:p>
      <w:pPr>
        <w:pStyle w:val="BodyText"/>
        <w:spacing w:before="87" w:line="426" w:lineRule="auto"/>
        <w:ind w:left="13" w:firstLine="440"/>
        <w:jc w:val="both"/>
      </w:pPr>
      <w:r>
        <w:rPr>
          <w:spacing w:val="5"/>
        </w:rPr>
        <w:t>由于羧基和氨基的存在,甲状腺激素可在正电离模式和负电离模式</w:t>
      </w:r>
      <w:r>
        <w:t xml:space="preserve">  </w:t>
      </w:r>
      <w:r>
        <w:rPr>
          <w:spacing w:val="3"/>
        </w:rPr>
        <w:t>下检测，但实验发现</w:t>
      </w:r>
      <w:r>
        <w:rPr>
          <w:rFonts w:ascii="Arial" w:eastAsia="Arial" w:hAnsi="Arial" w:cs="Arial"/>
          <w:spacing w:val="3"/>
        </w:rPr>
        <w:t>T3</w:t>
      </w:r>
      <w:r>
        <w:rPr>
          <w:rFonts w:ascii="SimSun" w:eastAsia="SimSun" w:hAnsi="SimSun" w:cs="SimSun"/>
          <w:spacing w:val="3"/>
        </w:rPr>
        <w:t>、</w:t>
      </w:r>
      <w:r>
        <w:rPr>
          <w:rFonts w:ascii="Arial" w:eastAsia="Arial" w:hAnsi="Arial" w:cs="Arial"/>
          <w:spacing w:val="3"/>
        </w:rPr>
        <w:t xml:space="preserve">T4 </w:t>
      </w:r>
      <w:r>
        <w:rPr>
          <w:spacing w:val="3"/>
        </w:rPr>
        <w:t>在</w:t>
      </w:r>
      <w:r>
        <w:rPr>
          <w:spacing w:val="3"/>
        </w:rPr>
        <w:t xml:space="preserve"> </w:t>
      </w:r>
      <w:r>
        <w:rPr>
          <w:rFonts w:ascii="Arial" w:eastAsia="Arial" w:hAnsi="Arial" w:cs="Arial"/>
        </w:rPr>
        <w:t>ESI</w:t>
      </w:r>
      <w:r>
        <w:rPr>
          <w:spacing w:val="3"/>
        </w:rPr>
        <w:t>正离子采集模式</w:t>
      </w:r>
      <w:r>
        <w:rPr>
          <w:spacing w:val="2"/>
        </w:rPr>
        <w:t>下的灵敏度更高。</w:t>
      </w:r>
      <w:r>
        <w:t xml:space="preserve"> </w:t>
      </w:r>
      <w:r>
        <w:rPr>
          <w:spacing w:val="4"/>
        </w:rPr>
        <w:t>将T3、T4、T3-13C12、T4-13C6</w:t>
      </w:r>
      <w:r>
        <w:rPr>
          <w:spacing w:val="52"/>
        </w:rPr>
        <w:t xml:space="preserve">  </w:t>
      </w:r>
      <w:r>
        <w:rPr>
          <w:spacing w:val="4"/>
        </w:rPr>
        <w:t>标准溶液进行</w:t>
      </w:r>
      <w:r>
        <w:rPr>
          <w:rFonts w:ascii="SimSun" w:eastAsia="SimSun" w:hAnsi="SimSun" w:cs="SimSun"/>
          <w:spacing w:val="4"/>
        </w:rPr>
        <w:t>Q1</w:t>
      </w:r>
      <w:r>
        <w:rPr>
          <w:rFonts w:ascii="SimSun" w:eastAsia="SimSun" w:hAnsi="SimSun" w:cs="SimSun"/>
          <w:spacing w:val="44"/>
        </w:rPr>
        <w:t xml:space="preserve"> </w:t>
      </w:r>
      <w:r>
        <w:rPr>
          <w:spacing w:val="4"/>
        </w:rPr>
        <w:t>母离子扫描分析，</w:t>
      </w:r>
      <w:r>
        <w:t xml:space="preserve"> </w:t>
      </w:r>
      <w:r>
        <w:rPr>
          <w:spacing w:val="-3"/>
        </w:rPr>
        <w:t>扫描范围为</w:t>
      </w:r>
      <w:r>
        <w:rPr>
          <w:spacing w:val="-69"/>
        </w:rPr>
        <w:t xml:space="preserve"> </w:t>
      </w:r>
      <w:r>
        <w:rPr>
          <w:spacing w:val="-3"/>
        </w:rPr>
        <w:t>m/z100~1000。</w:t>
      </w:r>
      <w:r>
        <w:rPr>
          <w:spacing w:val="19"/>
        </w:rPr>
        <w:t xml:space="preserve">    </w:t>
      </w:r>
      <w:r>
        <w:rPr>
          <w:spacing w:val="-3"/>
        </w:rPr>
        <w:t>分别调整脱溶剂气温度、接口电压、加</w:t>
      </w:r>
      <w:r>
        <w:rPr>
          <w:spacing w:val="1"/>
        </w:rPr>
        <w:t xml:space="preserve">  </w:t>
      </w:r>
      <w:r>
        <w:rPr>
          <w:spacing w:val="5"/>
        </w:rPr>
        <w:t>热块温度、雾化气流速、干燥气流速、加热气流速等参数，使母离子</w:t>
      </w:r>
      <w:r>
        <w:rPr>
          <w:spacing w:val="6"/>
        </w:rPr>
        <w:t xml:space="preserve">  </w:t>
      </w:r>
      <w:r>
        <w:rPr>
          <w:spacing w:val="1"/>
        </w:rPr>
        <w:t>响应增强，噪音降低。经过优化，T3、T</w:t>
      </w:r>
      <w:r>
        <w:t>4、T3-13C12、T4-13C6</w:t>
      </w:r>
      <w:r>
        <w:rPr>
          <w:spacing w:val="43"/>
        </w:rPr>
        <w:t xml:space="preserve">   </w:t>
      </w:r>
      <w:r>
        <w:t>产</w:t>
      </w:r>
      <w:r>
        <w:rPr>
          <w:spacing w:val="1"/>
        </w:rPr>
        <w:t xml:space="preserve">  </w:t>
      </w:r>
      <w:r>
        <w:t>生的</w:t>
      </w:r>
      <w:r>
        <w:rPr>
          <w:spacing w:val="-47"/>
        </w:rPr>
        <w:t xml:space="preserve"> </w:t>
      </w:r>
      <w:r>
        <w:rPr>
          <w:rFonts w:ascii="SimSun" w:eastAsia="SimSun" w:hAnsi="SimSun" w:cs="SimSun"/>
        </w:rPr>
        <w:t xml:space="preserve">Q1 </w:t>
      </w:r>
      <w:r>
        <w:t>信号最高，以稳定的</w:t>
      </w:r>
      <w:r>
        <w:rPr>
          <w:rFonts w:ascii="SimSun" w:eastAsia="SimSun" w:hAnsi="SimSun" w:cs="SimSun"/>
        </w:rPr>
        <w:t>[M+H]+</w:t>
      </w:r>
      <w:r>
        <w:rPr>
          <w:rFonts w:ascii="SimSun" w:eastAsia="SimSun" w:hAnsi="SimSun" w:cs="SimSun"/>
          <w:spacing w:val="22"/>
        </w:rPr>
        <w:t xml:space="preserve">   </w:t>
      </w:r>
      <w:r>
        <w:t>为母离子，</w:t>
      </w:r>
      <w:r>
        <w:rPr>
          <w:rFonts w:ascii="SimSun" w:eastAsia="SimSun" w:hAnsi="SimSun" w:cs="SimSun"/>
        </w:rPr>
        <w:t xml:space="preserve">m/z </w:t>
      </w:r>
      <w:r>
        <w:t>分别</w:t>
      </w:r>
      <w:r>
        <w:rPr>
          <w:spacing w:val="-1"/>
        </w:rPr>
        <w:t>为651.6、</w:t>
      </w:r>
      <w:r>
        <w:rPr>
          <w:spacing w:val="2"/>
        </w:rPr>
        <w:t xml:space="preserve"> </w:t>
      </w:r>
      <w:r>
        <w:rPr>
          <w:spacing w:val="8"/>
        </w:rPr>
        <w:t>777.4、663.7、783.5。根据前体离子进行产物离子的自动优化，选</w:t>
      </w:r>
      <w:r>
        <w:t xml:space="preserve">  </w:t>
      </w:r>
      <w:r>
        <w:rPr>
          <w:spacing w:val="5"/>
        </w:rPr>
        <w:t>择离子丰度高、干扰小且稳定的子离子作为定量离子，次强的作为定</w:t>
      </w:r>
    </w:p>
    <w:p>
      <w:pPr>
        <w:pStyle w:val="BodyText"/>
        <w:spacing w:before="1" w:line="220" w:lineRule="auto"/>
        <w:ind w:left="13"/>
      </w:pPr>
      <w:r>
        <w:rPr>
          <w:spacing w:val="-17"/>
        </w:rPr>
        <w:t>性离子。最佳的质谱参数如“1.7.2”所示。</w:t>
      </w:r>
    </w:p>
    <w:p>
      <w:pPr>
        <w:spacing w:line="462" w:lineRule="auto"/>
        <w:rPr>
          <w:rFonts w:ascii="Arial"/>
          <w:sz w:val="21"/>
        </w:rPr>
      </w:pPr>
    </w:p>
    <w:p>
      <w:pPr>
        <w:pStyle w:val="BodyText"/>
        <w:spacing w:before="88" w:line="221" w:lineRule="auto"/>
        <w:ind w:left="17"/>
        <w:outlineLvl w:val="0"/>
      </w:pPr>
      <w:r>
        <w:rPr>
          <w:b/>
          <w:bCs/>
          <w:spacing w:val="-4"/>
        </w:rPr>
        <w:t>2.1.2</w:t>
      </w:r>
      <w:r>
        <w:rPr>
          <w:spacing w:val="-4"/>
        </w:rPr>
        <w:t xml:space="preserve">  </w:t>
      </w:r>
      <w:r>
        <w:rPr>
          <w:b/>
          <w:bCs/>
          <w:spacing w:val="-4"/>
        </w:rPr>
        <w:t>色谱条件的优化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89" w:line="428" w:lineRule="auto"/>
        <w:ind w:left="13" w:right="40" w:firstLine="430"/>
      </w:pPr>
      <w:r>
        <w:t>考察了</w:t>
      </w:r>
      <w:r>
        <w:rPr>
          <w:spacing w:val="-54"/>
        </w:rPr>
        <w:t xml:space="preserve"> </w:t>
      </w:r>
      <w:r>
        <w:rPr>
          <w:rFonts w:ascii="Arial" w:eastAsia="Arial" w:hAnsi="Arial" w:cs="Arial"/>
        </w:rPr>
        <w:t>Waters     XBridge     Phenyl(2.1</w:t>
      </w:r>
      <w:r>
        <w:rPr>
          <w:rFonts w:ascii="Arial" w:eastAsia="Arial" w:hAnsi="Arial" w:cs="Arial"/>
          <w:spacing w:val="-1"/>
        </w:rPr>
        <w:t xml:space="preserve">      mm×50     mm,5μm)</w:t>
      </w:r>
      <w:r>
        <w:rPr>
          <w:rFonts w:ascii="SimSun" w:eastAsia="SimSun" w:hAnsi="SimSun" w:cs="SimSun"/>
          <w:spacing w:val="-1"/>
        </w:rPr>
        <w:t>、</w:t>
      </w:r>
      <w:r>
        <w:rPr>
          <w:rFonts w:ascii="SimSun" w:eastAsia="SimSun" w:hAnsi="SimSun" w:cs="SimSun"/>
        </w:rPr>
        <w:t xml:space="preserve"> </w:t>
      </w:r>
      <w:r>
        <w:rPr>
          <w:rFonts w:ascii="Arial" w:eastAsia="Arial" w:hAnsi="Arial" w:cs="Arial"/>
          <w:spacing w:val="-2"/>
        </w:rPr>
        <w:t>Shim-pack    GISS</w:t>
      </w:r>
      <w:r>
        <w:rPr>
          <w:rFonts w:ascii="Arial" w:eastAsia="Arial" w:hAnsi="Arial" w:cs="Arial"/>
          <w:spacing w:val="7"/>
        </w:rPr>
        <w:t xml:space="preserve">    </w:t>
      </w:r>
      <w:r>
        <w:rPr>
          <w:rFonts w:ascii="Arial" w:eastAsia="Arial" w:hAnsi="Arial" w:cs="Arial"/>
          <w:spacing w:val="-2"/>
        </w:rPr>
        <w:t>C18(2.1</w:t>
      </w:r>
      <w:r>
        <w:rPr>
          <w:rFonts w:ascii="Arial" w:eastAsia="Arial" w:hAnsi="Arial" w:cs="Arial"/>
          <w:spacing w:val="9"/>
        </w:rPr>
        <w:t xml:space="preserve">    </w:t>
      </w:r>
      <w:r>
        <w:rPr>
          <w:rFonts w:ascii="Arial" w:eastAsia="Arial" w:hAnsi="Arial" w:cs="Arial"/>
          <w:spacing w:val="-2"/>
        </w:rPr>
        <w:t>mm×50</w:t>
      </w:r>
      <w:r>
        <w:rPr>
          <w:rFonts w:ascii="Arial" w:eastAsia="Arial" w:hAnsi="Arial" w:cs="Arial"/>
          <w:spacing w:val="8"/>
        </w:rPr>
        <w:t xml:space="preserve">    </w:t>
      </w:r>
      <w:r>
        <w:rPr>
          <w:rFonts w:ascii="Arial" w:eastAsia="Arial" w:hAnsi="Arial" w:cs="Arial"/>
          <w:spacing w:val="-2"/>
        </w:rPr>
        <w:t>mm,1.9     μm)</w:t>
      </w:r>
      <w:r>
        <w:rPr>
          <w:rFonts w:ascii="SimSun" w:eastAsia="SimSun" w:hAnsi="SimSun" w:cs="SimSun"/>
          <w:spacing w:val="-2"/>
        </w:rPr>
        <w:t>、</w:t>
      </w:r>
      <w:r>
        <w:rPr>
          <w:rFonts w:ascii="Arial" w:eastAsia="Arial" w:hAnsi="Arial" w:cs="Arial"/>
          <w:spacing w:val="-2"/>
        </w:rPr>
        <w:t>Shim-p</w:t>
      </w:r>
      <w:r>
        <w:rPr>
          <w:rFonts w:ascii="Arial" w:eastAsia="Arial" w:hAnsi="Arial" w:cs="Arial"/>
          <w:spacing w:val="-3"/>
        </w:rPr>
        <w:t>ack</w:t>
      </w:r>
      <w:r>
        <w:rPr>
          <w:rFonts w:ascii="Arial" w:eastAsia="Arial" w:hAnsi="Arial" w:cs="Arial"/>
          <w:spacing w:val="1"/>
        </w:rPr>
        <w:t xml:space="preserve">  </w:t>
      </w:r>
      <w:r>
        <w:rPr>
          <w:rFonts w:ascii="SimSun" w:eastAsia="SimSun" w:hAnsi="SimSun" w:cs="SimSun"/>
        </w:rPr>
        <w:t>Velox</w:t>
      </w:r>
      <w:r>
        <w:rPr>
          <w:rFonts w:ascii="SimSun" w:eastAsia="SimSun" w:hAnsi="SimSun" w:cs="SimSun"/>
          <w:spacing w:val="28"/>
        </w:rPr>
        <w:t xml:space="preserve">   </w:t>
      </w:r>
      <w:r>
        <w:rPr>
          <w:rFonts w:ascii="SimSun" w:eastAsia="SimSun" w:hAnsi="SimSun" w:cs="SimSun"/>
        </w:rPr>
        <w:t>SP</w:t>
      </w:r>
      <w:r>
        <w:rPr>
          <w:rFonts w:ascii="SimSun" w:eastAsia="SimSun" w:hAnsi="SimSun" w:cs="SimSun"/>
          <w:spacing w:val="2"/>
        </w:rPr>
        <w:t>-C18(2.1</w:t>
      </w:r>
      <w:r>
        <w:rPr>
          <w:rFonts w:ascii="SimSun" w:eastAsia="SimSun" w:hAnsi="SimSun" w:cs="SimSun"/>
          <w:spacing w:val="25"/>
        </w:rPr>
        <w:t xml:space="preserve">   </w:t>
      </w:r>
      <w:r>
        <w:rPr>
          <w:rFonts w:ascii="SimSun" w:eastAsia="SimSun" w:hAnsi="SimSun" w:cs="SimSun"/>
        </w:rPr>
        <w:t>mm</w:t>
      </w:r>
      <w:r>
        <w:rPr>
          <w:rFonts w:ascii="SimSun" w:eastAsia="SimSun" w:hAnsi="SimSun" w:cs="SimSun"/>
          <w:spacing w:val="2"/>
        </w:rPr>
        <w:t>×50</w:t>
      </w:r>
      <w:r>
        <w:rPr>
          <w:rFonts w:ascii="SimSun" w:eastAsia="SimSun" w:hAnsi="SimSun" w:cs="SimSun"/>
          <w:spacing w:val="25"/>
        </w:rPr>
        <w:t xml:space="preserve">   </w:t>
      </w:r>
      <w:r>
        <w:rPr>
          <w:rFonts w:ascii="SimSun" w:eastAsia="SimSun" w:hAnsi="SimSun" w:cs="SimSun"/>
        </w:rPr>
        <w:t>mm</w:t>
      </w:r>
      <w:r>
        <w:rPr>
          <w:rFonts w:ascii="SimSun" w:eastAsia="SimSun" w:hAnsi="SimSun" w:cs="SimSun"/>
          <w:spacing w:val="2"/>
        </w:rPr>
        <w:t>,1.8μm)3</w:t>
      </w:r>
      <w:r>
        <w:rPr>
          <w:spacing w:val="2"/>
        </w:rPr>
        <w:t>种</w:t>
      </w:r>
      <w:r>
        <w:rPr>
          <w:spacing w:val="1"/>
        </w:rPr>
        <w:t>色谱柱对目标化合</w:t>
      </w:r>
      <w:r>
        <w:rPr>
          <w:spacing w:val="1"/>
        </w:rPr>
        <w:t xml:space="preserve"> </w:t>
      </w:r>
      <w:r>
        <w:t>物的分离效果。结果表明，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</w:rPr>
        <w:t>Shim-pack  Velox  SP-C1</w:t>
      </w:r>
      <w:r>
        <w:rPr>
          <w:rFonts w:ascii="SimSun" w:eastAsia="SimSun" w:hAnsi="SimSun" w:cs="SimSun"/>
          <w:spacing w:val="-1"/>
        </w:rPr>
        <w:t>8</w:t>
      </w:r>
      <w:r>
        <w:rPr>
          <w:rFonts w:ascii="SimSun" w:eastAsia="SimSun" w:hAnsi="SimSun" w:cs="SimSun"/>
          <w:spacing w:val="-61"/>
        </w:rPr>
        <w:t xml:space="preserve"> </w:t>
      </w:r>
      <w:r>
        <w:rPr>
          <w:spacing w:val="-1"/>
        </w:rPr>
        <w:t>色谱柱对目标</w:t>
      </w:r>
      <w:r>
        <w:t xml:space="preserve"> </w:t>
      </w:r>
      <w:r>
        <w:t>化合物的信号响应更高，峰形更好，因此选择该色谱柱</w:t>
      </w:r>
      <w:r>
        <w:rPr>
          <w:spacing w:val="-1"/>
        </w:rPr>
        <w:t>进行样品分离。</w:t>
      </w:r>
    </w:p>
    <w:p>
      <w:pPr>
        <w:pStyle w:val="BodyText"/>
        <w:spacing w:before="1" w:line="220" w:lineRule="auto"/>
        <w:ind w:left="13"/>
      </w:pPr>
      <w:r>
        <w:rPr>
          <w:spacing w:val="13"/>
        </w:rPr>
        <w:t>分别考察了纯水、甲酸水(0.1%、0.05%、0.02%、0.01%、0.005%、</w:t>
      </w:r>
    </w:p>
    <w:p>
      <w:pPr>
        <w:spacing w:line="220" w:lineRule="auto"/>
        <w:sectPr>
          <w:pgSz w:w="11910" w:h="16840"/>
          <w:pgMar w:top="1431" w:right="1705" w:bottom="0" w:left="1786" w:header="0" w:footer="0" w:gutter="0"/>
          <w:pgNumType w:start="8"/>
          <w:cols w:space="708"/>
        </w:sectPr>
      </w:pPr>
    </w:p>
    <w:p>
      <w:pPr>
        <w:pStyle w:val="BodyText"/>
        <w:spacing w:before="185" w:line="428" w:lineRule="auto"/>
        <w:ind w:left="13" w:right="41"/>
        <w:jc w:val="both"/>
      </w:pPr>
      <w:r>
        <mc:AlternateContent>
          <mc:Choice Requires="wps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page">
                  <wp:posOffset>1468081</wp:posOffset>
                </wp:positionH>
                <wp:positionV relativeFrom="page">
                  <wp:posOffset>4746473</wp:posOffset>
                </wp:positionV>
                <wp:extent cx="96519" cy="152400"/>
                <wp:effectExtent l="0" t="0" r="0" b="0"/>
                <wp:wrapNone/>
                <wp:docPr id="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468081" y="4746473"/>
                          <a:ext cx="96519" cy="1524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4" w:line="215" w:lineRule="auto"/>
                              <w:jc w:val="right"/>
                              <w:rPr>
                                <w:rFonts w:ascii="SimSun" w:eastAsia="SimSun" w:hAnsi="SimSun" w:cs="SimSu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-3"/>
                                <w:w w:val="16"/>
                                <w:sz w:val="15"/>
                                <w:szCs w:val="15"/>
                              </w:rPr>
                              <w:t>Intensity/10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5" type="#_x0000_t202" style="width:7.6pt;height:12pt;margin-top:373.74pt;margin-left:115.6pt;mso-position-horizontal-relative:page;mso-position-vertical-relative:page;mso-wrap-distance-bottom:0;mso-wrap-distance-left:0;mso-wrap-distance-right:0;mso-wrap-distance-top:0;position:absolute;rotation:270;v-text-anchor:top;z-index:251660288" o:allowincell="f" filled="f" fillcolor="this" stroked="f">
                <v:textbox inset="0,0,0,0">
                  <w:txbxContent>
                    <w:p>
                      <w:pPr>
                        <w:spacing w:before="44" w:line="215" w:lineRule="auto"/>
                        <w:jc w:val="right"/>
                        <w:rPr>
                          <w:rFonts w:ascii="SimSun" w:eastAsia="SimSun" w:hAnsi="SimSun" w:cs="SimSun"/>
                          <w:sz w:val="15"/>
                          <w:szCs w:val="15"/>
                        </w:rPr>
                      </w:pPr>
                      <w:r>
                        <w:rPr>
                          <w:rFonts w:ascii="SimSun" w:eastAsia="SimSun" w:hAnsi="SimSun" w:cs="SimSun"/>
                          <w:spacing w:val="-3"/>
                          <w:w w:val="16"/>
                          <w:sz w:val="15"/>
                          <w:szCs w:val="15"/>
                        </w:rPr>
                        <w:t>Intensity/10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3360" behindDoc="0" locked="0" layoutInCell="0" allowOverlap="1">
                <wp:simplePos x="0" y="0"/>
                <wp:positionH relativeFrom="page">
                  <wp:posOffset>3881410</wp:posOffset>
                </wp:positionH>
                <wp:positionV relativeFrom="page">
                  <wp:posOffset>4721353</wp:posOffset>
                </wp:positionV>
                <wp:extent cx="32384" cy="152400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881410" y="4721353"/>
                          <a:ext cx="32384" cy="1524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4" w:line="215" w:lineRule="auto"/>
                              <w:jc w:val="right"/>
                              <w:rPr>
                                <w:rFonts w:ascii="SimSun" w:eastAsia="SimSun" w:hAnsi="SimSun" w:cs="SimSu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w w:val="1"/>
                                <w:sz w:val="15"/>
                                <w:szCs w:val="15"/>
                              </w:rPr>
                              <w:t>Intensity/10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" o:spid="_x0000_s1026" type="#_x0000_t202" style="width:2.55pt;height:12pt;margin-top:371.76pt;margin-left:305.62pt;mso-position-horizontal-relative:page;mso-position-vertical-relative:page;mso-wrap-distance-bottom:0;mso-wrap-distance-left:0;mso-wrap-distance-right:0;mso-wrap-distance-top:0;position:absolute;rotation:270;v-text-anchor:top;z-index:251662336" o:allowincell="f" filled="f" fillcolor="this" stroked="f">
                <v:textbox inset="0,0,0,0">
                  <w:txbxContent>
                    <w:p>
                      <w:pPr>
                        <w:spacing w:before="44" w:line="215" w:lineRule="auto"/>
                        <w:jc w:val="right"/>
                        <w:rPr>
                          <w:rFonts w:ascii="SimSun" w:eastAsia="SimSun" w:hAnsi="SimSun" w:cs="SimSun"/>
                          <w:sz w:val="15"/>
                          <w:szCs w:val="15"/>
                        </w:rPr>
                      </w:pPr>
                      <w:r>
                        <w:rPr>
                          <w:rFonts w:ascii="SimSun" w:eastAsia="SimSun" w:hAnsi="SimSun" w:cs="SimSun"/>
                          <w:w w:val="1"/>
                          <w:sz w:val="15"/>
                          <w:szCs w:val="15"/>
                        </w:rPr>
                        <w:t>Intensity/10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3956051</wp:posOffset>
            </wp:positionH>
            <wp:positionV relativeFrom="page">
              <wp:posOffset>3460705</wp:posOffset>
            </wp:positionV>
            <wp:extent cx="2292375" cy="2355862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92375" cy="2355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2"/>
        </w:rPr>
        <w:t>0.002%)、氨水(0.1%、0.01%、0.002%)、0.002%乙酸水、0.1%</w:t>
      </w:r>
      <w:r>
        <w:t xml:space="preserve"> </w:t>
      </w:r>
      <w:r>
        <w:rPr>
          <w:spacing w:val="12"/>
        </w:rPr>
        <w:t>甲酸+2</w:t>
      </w:r>
      <w:r>
        <w:rPr>
          <w:spacing w:val="12"/>
        </w:rPr>
        <w:t xml:space="preserve"> </w:t>
      </w:r>
      <w:r>
        <w:rPr>
          <w:rFonts w:ascii="Arial" w:eastAsia="Arial" w:hAnsi="Arial" w:cs="Arial"/>
        </w:rPr>
        <w:t>mmol</w:t>
      </w:r>
      <w:r>
        <w:rPr>
          <w:rFonts w:ascii="Arial" w:eastAsia="Arial" w:hAnsi="Arial" w:cs="Arial"/>
          <w:spacing w:val="12"/>
        </w:rPr>
        <w:t xml:space="preserve">/L  </w:t>
      </w:r>
      <w:r>
        <w:rPr>
          <w:spacing w:val="12"/>
        </w:rPr>
        <w:t>乙酸铵-水溶液作为流动相</w:t>
      </w:r>
      <w:r>
        <w:rPr>
          <w:rFonts w:ascii="Arial" w:eastAsia="Arial" w:hAnsi="Arial" w:cs="Arial"/>
          <w:spacing w:val="12"/>
        </w:rPr>
        <w:t xml:space="preserve">A, </w:t>
      </w:r>
      <w:r>
        <w:rPr>
          <w:rFonts w:ascii="Arial" w:eastAsia="Arial" w:hAnsi="Arial" w:cs="Arial"/>
          <w:spacing w:val="11"/>
        </w:rPr>
        <w:t xml:space="preserve">  </w:t>
      </w:r>
      <w:r>
        <w:rPr>
          <w:spacing w:val="11"/>
        </w:rPr>
        <w:t>甲醇、乙腈、50%甲</w:t>
      </w:r>
    </w:p>
    <w:p>
      <w:pPr>
        <w:pStyle w:val="BodyText"/>
        <w:spacing w:before="1" w:line="220" w:lineRule="auto"/>
        <w:ind w:left="13"/>
      </w:pPr>
      <w:r>
        <w:rPr>
          <w:spacing w:val="7"/>
        </w:rPr>
        <w:t>醇-乙腈、0.1%甲酸+2</w:t>
      </w:r>
      <w:r>
        <w:rPr>
          <w:spacing w:val="7"/>
        </w:rPr>
        <w:t xml:space="preserve"> </w:t>
      </w:r>
      <w:r>
        <w:rPr>
          <w:rFonts w:ascii="Arial" w:eastAsia="Arial" w:hAnsi="Arial" w:cs="Arial"/>
        </w:rPr>
        <w:t>mmol</w:t>
      </w:r>
      <w:r>
        <w:rPr>
          <w:rFonts w:ascii="Arial" w:eastAsia="Arial" w:hAnsi="Arial" w:cs="Arial"/>
          <w:spacing w:val="7"/>
        </w:rPr>
        <w:t>/L</w:t>
      </w:r>
      <w:r>
        <w:rPr>
          <w:rFonts w:ascii="Arial" w:eastAsia="Arial" w:hAnsi="Arial" w:cs="Arial"/>
          <w:spacing w:val="28"/>
          <w:w w:val="101"/>
        </w:rPr>
        <w:t xml:space="preserve">  </w:t>
      </w:r>
      <w:r>
        <w:rPr>
          <w:spacing w:val="7"/>
        </w:rPr>
        <w:t>乙酸铵-甲醇溶液作为流动相</w:t>
      </w:r>
      <w:r>
        <w:rPr>
          <w:spacing w:val="-66"/>
        </w:rPr>
        <w:t xml:space="preserve"> </w:t>
      </w:r>
      <w:r>
        <w:rPr>
          <w:rFonts w:ascii="Arial" w:eastAsia="Arial" w:hAnsi="Arial" w:cs="Arial"/>
          <w:spacing w:val="7"/>
        </w:rPr>
        <w:t xml:space="preserve">B </w:t>
      </w:r>
      <w:r>
        <w:rPr>
          <w:spacing w:val="7"/>
        </w:rPr>
        <w:t>时待</w:t>
      </w:r>
    </w:p>
    <w:p>
      <w:pPr>
        <w:pStyle w:val="BodyText"/>
        <w:spacing w:before="291" w:line="213" w:lineRule="auto"/>
        <w:ind w:left="17"/>
      </w:pPr>
      <w:r>
        <w:rPr>
          <w:b/>
          <w:bCs/>
          <w:spacing w:val="9"/>
        </w:rPr>
        <w:t>测物的响应强度，最终选择0.002%甲酸水溶液和甲醇作为流动相。</w:t>
      </w:r>
    </w:p>
    <w:p>
      <w:pPr>
        <w:pStyle w:val="BodyText"/>
        <w:spacing w:before="306" w:line="658" w:lineRule="exact"/>
        <w:ind w:left="13"/>
        <w:rPr>
          <w:rFonts w:ascii="Arial" w:eastAsia="Arial" w:hAnsi="Arial" w:cs="Arial"/>
        </w:rPr>
      </w:pPr>
      <w:r>
        <w:rPr>
          <w:spacing w:val="4"/>
          <w:position w:val="30"/>
        </w:rPr>
        <w:t>经梯度优化，使得样品中</w:t>
      </w:r>
      <w:r>
        <w:rPr>
          <w:rFonts w:ascii="Arial" w:eastAsia="Arial" w:hAnsi="Arial" w:cs="Arial"/>
          <w:spacing w:val="4"/>
          <w:position w:val="30"/>
        </w:rPr>
        <w:t xml:space="preserve">T3 </w:t>
      </w:r>
      <w:r>
        <w:rPr>
          <w:spacing w:val="4"/>
          <w:position w:val="30"/>
        </w:rPr>
        <w:t>及其同分异构体反三碘甲腺原氨酸</w:t>
      </w:r>
      <w:r>
        <w:rPr>
          <w:rFonts w:ascii="Arial" w:eastAsia="Arial" w:hAnsi="Arial" w:cs="Arial"/>
          <w:spacing w:val="4"/>
          <w:position w:val="30"/>
        </w:rPr>
        <w:t>(</w:t>
      </w:r>
      <w:r>
        <w:rPr>
          <w:rFonts w:ascii="Arial" w:eastAsia="Arial" w:hAnsi="Arial" w:cs="Arial"/>
          <w:position w:val="30"/>
        </w:rPr>
        <w:t>rT</w:t>
      </w:r>
      <w:r>
        <w:rPr>
          <w:rFonts w:ascii="Arial" w:eastAsia="Arial" w:hAnsi="Arial" w:cs="Arial"/>
          <w:spacing w:val="4"/>
          <w:position w:val="30"/>
        </w:rPr>
        <w:t>3)</w:t>
      </w:r>
    </w:p>
    <w:p>
      <w:pPr>
        <w:pStyle w:val="BodyText"/>
        <w:spacing w:before="1" w:line="220" w:lineRule="auto"/>
        <w:ind w:left="13"/>
      </w:pPr>
      <w:r>
        <w:rPr>
          <w:spacing w:val="22"/>
        </w:rPr>
        <w:t>和</w:t>
      </w:r>
      <w:r>
        <w:rPr>
          <w:rFonts w:ascii="Arial" w:eastAsia="Arial" w:hAnsi="Arial" w:cs="Arial"/>
          <w:spacing w:val="22"/>
        </w:rPr>
        <w:t xml:space="preserve">T4 </w:t>
      </w:r>
      <w:r>
        <w:rPr>
          <w:spacing w:val="22"/>
        </w:rPr>
        <w:t>具有良好的分离效果(见图1)。</w:t>
      </w:r>
    </w:p>
    <w:p>
      <w:pPr>
        <w:spacing w:line="375" w:lineRule="auto"/>
        <w:rPr>
          <w:rFonts w:ascii="Arial"/>
          <w:sz w:val="21"/>
        </w:rPr>
      </w:pPr>
    </w:p>
    <w:p>
      <w:pPr>
        <w:spacing w:line="3720" w:lineRule="exact"/>
        <w:ind w:firstLine="703"/>
      </w:pPr>
      <w:r>
        <w:rPr>
          <w:position w:val="-74"/>
        </w:rPr>
        <w:drawing>
          <wp:inline distT="0" distB="0" distL="0" distR="0">
            <wp:extent cx="2228847" cy="2362171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28847" cy="2362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" w:line="192" w:lineRule="auto"/>
        <w:ind w:left="6193"/>
        <w:rPr>
          <w:rFonts w:ascii="Times New Roman" w:eastAsia="Times New Roman" w:hAnsi="Times New Roman" w:cs="Times New Roman"/>
          <w:sz w:val="12"/>
          <w:szCs w:val="12"/>
        </w:rPr>
      </w:pPr>
      <w:r>
        <w:pict>
          <v:shape id="_x0000_s1027" type="#_x0000_t202" style="width:14.5pt;height:7.55pt;margin-top:-0.3pt;margin-left:117.18pt;position:absolute;z-index:251659264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2"/>
                      <w:szCs w:val="12"/>
                    </w:rPr>
                    <w:t>l/min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1"/>
          <w:sz w:val="12"/>
          <w:szCs w:val="12"/>
        </w:rPr>
        <w:t>t/min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88" w:line="212" w:lineRule="auto"/>
        <w:ind w:left="277"/>
        <w:rPr>
          <w:rFonts w:ascii="Arial" w:eastAsia="Arial" w:hAnsi="Arial" w:cs="Arial"/>
        </w:rPr>
      </w:pPr>
      <w:r>
        <w:rPr>
          <w:b/>
          <w:bCs/>
          <w:spacing w:val="-3"/>
        </w:rPr>
        <w:t>图</w:t>
      </w:r>
      <w:r>
        <w:rPr>
          <w:spacing w:val="-3"/>
        </w:rPr>
        <w:t xml:space="preserve"> </w:t>
      </w:r>
      <w:r>
        <w:rPr>
          <w:b/>
          <w:bCs/>
          <w:spacing w:val="-3"/>
        </w:rPr>
        <w:t>1</w:t>
      </w:r>
      <w:r>
        <w:rPr>
          <w:spacing w:val="130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>T3</w:t>
      </w:r>
      <w:r>
        <w:rPr>
          <w:rFonts w:ascii="SimSun" w:eastAsia="SimSun" w:hAnsi="SimSun" w:cs="SimSun"/>
          <w:b/>
          <w:bCs/>
          <w:spacing w:val="-3"/>
        </w:rPr>
        <w:t>、</w:t>
      </w:r>
      <w:r>
        <w:rPr>
          <w:rFonts w:ascii="Arial" w:eastAsia="Arial" w:hAnsi="Arial" w:cs="Arial"/>
          <w:b/>
          <w:bCs/>
          <w:spacing w:val="-3"/>
        </w:rPr>
        <w:t>rT3</w:t>
      </w:r>
      <w:r>
        <w:rPr>
          <w:rFonts w:ascii="Arial" w:eastAsia="Arial" w:hAnsi="Arial" w:cs="Arial"/>
          <w:b/>
          <w:bCs/>
          <w:spacing w:val="69"/>
          <w:w w:val="101"/>
        </w:rPr>
        <w:t xml:space="preserve"> </w:t>
      </w:r>
      <w:r>
        <w:rPr>
          <w:b/>
          <w:bCs/>
          <w:spacing w:val="-3"/>
        </w:rPr>
        <w:t>和</w:t>
      </w:r>
      <w:r>
        <w:rPr>
          <w:spacing w:val="-38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>T4</w:t>
      </w:r>
      <w:r>
        <w:rPr>
          <w:rFonts w:ascii="Arial" w:eastAsia="Arial" w:hAnsi="Arial" w:cs="Arial"/>
          <w:b/>
          <w:bCs/>
          <w:spacing w:val="30"/>
        </w:rPr>
        <w:t xml:space="preserve"> </w:t>
      </w:r>
      <w:r>
        <w:rPr>
          <w:b/>
          <w:bCs/>
          <w:spacing w:val="-3"/>
        </w:rPr>
        <w:t>的</w:t>
      </w:r>
      <w:r>
        <w:rPr>
          <w:spacing w:val="-3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>MRM</w:t>
      </w:r>
      <w:r>
        <w:rPr>
          <w:rFonts w:ascii="Arial" w:eastAsia="Arial" w:hAnsi="Arial" w:cs="Arial"/>
          <w:b/>
          <w:bCs/>
          <w:spacing w:val="73"/>
          <w:w w:val="101"/>
        </w:rPr>
        <w:t xml:space="preserve"> </w:t>
      </w:r>
      <w:r>
        <w:rPr>
          <w:b/>
          <w:bCs/>
          <w:spacing w:val="-3"/>
        </w:rPr>
        <w:t>色谱图</w:t>
      </w:r>
      <w:r>
        <w:rPr>
          <w:spacing w:val="-77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 xml:space="preserve">(A)    </w:t>
      </w:r>
      <w:r>
        <w:rPr>
          <w:b/>
          <w:bCs/>
          <w:spacing w:val="-3"/>
        </w:rPr>
        <w:t>与局部放大图</w:t>
      </w:r>
      <w:r>
        <w:rPr>
          <w:spacing w:val="-66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>(B)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89" w:line="222" w:lineRule="auto"/>
        <w:ind w:left="17"/>
        <w:outlineLvl w:val="0"/>
      </w:pPr>
      <w:r>
        <w:rPr>
          <w:b/>
          <w:bCs/>
          <w:spacing w:val="-1"/>
        </w:rPr>
        <w:t>2.2</w:t>
      </w:r>
      <w:r>
        <w:rPr>
          <w:spacing w:val="121"/>
        </w:rPr>
        <w:t xml:space="preserve"> </w:t>
      </w:r>
      <w:r>
        <w:rPr>
          <w:b/>
          <w:bCs/>
          <w:spacing w:val="-1"/>
        </w:rPr>
        <w:t>前处理条件的优化</w:t>
      </w:r>
    </w:p>
    <w:p>
      <w:pPr>
        <w:spacing w:line="462" w:lineRule="auto"/>
        <w:rPr>
          <w:rFonts w:ascii="Arial"/>
          <w:sz w:val="21"/>
        </w:rPr>
      </w:pPr>
    </w:p>
    <w:p>
      <w:pPr>
        <w:pStyle w:val="BodyText"/>
        <w:spacing w:before="87" w:line="221" w:lineRule="auto"/>
        <w:ind w:left="17"/>
        <w:outlineLvl w:val="0"/>
      </w:pPr>
      <w:r>
        <w:rPr>
          <w:b/>
          <w:bCs/>
          <w:spacing w:val="-2"/>
        </w:rPr>
        <w:t>2.2.1</w:t>
      </w:r>
      <w:r>
        <w:rPr>
          <w:spacing w:val="147"/>
        </w:rPr>
        <w:t xml:space="preserve"> </w:t>
      </w:r>
      <w:r>
        <w:rPr>
          <w:b/>
          <w:bCs/>
          <w:spacing w:val="-2"/>
        </w:rPr>
        <w:t>尺寸排阻填料及填料量的优化</w:t>
      </w:r>
    </w:p>
    <w:p>
      <w:pPr>
        <w:spacing w:line="444" w:lineRule="auto"/>
        <w:rPr>
          <w:rFonts w:ascii="Arial"/>
          <w:sz w:val="21"/>
        </w:rPr>
      </w:pPr>
    </w:p>
    <w:p>
      <w:pPr>
        <w:pStyle w:val="BodyText"/>
        <w:spacing w:before="88" w:line="425" w:lineRule="auto"/>
        <w:ind w:left="13" w:right="59" w:firstLine="400"/>
        <w:jc w:val="both"/>
      </w:pPr>
      <w:r>
        <w:rPr>
          <w:spacing w:val="4"/>
        </w:rPr>
        <w:t>考察了羟丙基葡聚糖凝胶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</w:rPr>
        <w:t>Sephadex</w:t>
      </w:r>
      <w:r>
        <w:rPr>
          <w:rFonts w:ascii="Times New Roman" w:eastAsia="Times New Roman" w:hAnsi="Times New Roman" w:cs="Times New Roman"/>
          <w:spacing w:val="4"/>
        </w:rPr>
        <w:t xml:space="preserve">     </w:t>
      </w:r>
      <w:r>
        <w:rPr>
          <w:rFonts w:ascii="Times New Roman" w:eastAsia="Times New Roman" w:hAnsi="Times New Roman" w:cs="Times New Roman"/>
        </w:rPr>
        <w:t>LH</w:t>
      </w:r>
      <w:r>
        <w:rPr>
          <w:rFonts w:ascii="Times New Roman" w:eastAsia="Times New Roman" w:hAnsi="Times New Roman" w:cs="Times New Roman"/>
          <w:spacing w:val="4"/>
        </w:rPr>
        <w:t>-20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葡聚糖凝胶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</w:rPr>
        <w:t>Sepha</w:t>
      </w:r>
      <w:r>
        <w:rPr>
          <w:rFonts w:ascii="Times New Roman" w:eastAsia="Times New Roman" w:hAnsi="Times New Roman" w:cs="Times New Roman"/>
          <w:spacing w:val="4"/>
        </w:rPr>
        <w:t xml:space="preserve">-  </w:t>
      </w:r>
      <w:r>
        <w:rPr>
          <w:rFonts w:ascii="Arial" w:eastAsia="Arial" w:hAnsi="Arial" w:cs="Arial"/>
        </w:rPr>
        <w:t>dex   G-25</w:t>
      </w:r>
      <w:r>
        <w:rPr>
          <w:rFonts w:ascii="SimSun" w:eastAsia="SimSun" w:hAnsi="SimSun" w:cs="SimSun"/>
        </w:rPr>
        <w:t>、</w:t>
      </w:r>
      <w:r>
        <w:t>大孔树脂</w:t>
      </w:r>
      <w:r>
        <w:rPr>
          <w:spacing w:val="39"/>
        </w:rPr>
        <w:t xml:space="preserve"> </w:t>
      </w:r>
      <w:r>
        <w:rPr>
          <w:rFonts w:ascii="Arial" w:eastAsia="Arial" w:hAnsi="Arial" w:cs="Arial"/>
        </w:rPr>
        <w:t>TOYOPEAR</w:t>
      </w:r>
      <w:r>
        <w:rPr>
          <w:rFonts w:ascii="Arial" w:eastAsia="Arial" w:hAnsi="Arial" w:cs="Arial"/>
          <w:spacing w:val="-1"/>
        </w:rPr>
        <w:t>L    HW-40F</w:t>
      </w:r>
      <w:r>
        <w:rPr>
          <w:rFonts w:ascii="SimSun" w:eastAsia="SimSun" w:hAnsi="SimSun" w:cs="SimSun"/>
          <w:spacing w:val="-1"/>
        </w:rPr>
        <w:t>、</w:t>
      </w:r>
      <w:r>
        <w:rPr>
          <w:spacing w:val="-1"/>
        </w:rPr>
        <w:t>硅胶微球</w:t>
      </w:r>
      <w:r>
        <w:rPr>
          <w:spacing w:val="46"/>
        </w:rPr>
        <w:t xml:space="preserve"> </w:t>
      </w:r>
      <w:r>
        <w:rPr>
          <w:rFonts w:ascii="Arial" w:eastAsia="Arial" w:hAnsi="Arial" w:cs="Arial"/>
          <w:spacing w:val="-1"/>
        </w:rPr>
        <w:t>BioCore</w:t>
      </w:r>
      <w:r>
        <w:rPr>
          <w:rFonts w:ascii="Arial" w:eastAsia="Arial" w:hAnsi="Arial" w:cs="Arial"/>
        </w:rPr>
        <w:t xml:space="preserve"> </w:t>
      </w:r>
      <w:r>
        <w:rPr>
          <w:rFonts w:ascii="SimSun" w:eastAsia="SimSun" w:hAnsi="SimSun" w:cs="SimSun"/>
        </w:rPr>
        <w:t>SEC</w:t>
      </w:r>
      <w:r>
        <w:rPr>
          <w:rFonts w:ascii="SimSun" w:eastAsia="SimSun" w:hAnsi="SimSun" w:cs="SimSun"/>
          <w:spacing w:val="3"/>
        </w:rPr>
        <w:t>-150</w:t>
      </w:r>
      <w:r>
        <w:rPr>
          <w:rFonts w:ascii="SimSun" w:eastAsia="SimSun" w:hAnsi="SimSun" w:cs="SimSun"/>
          <w:spacing w:val="75"/>
        </w:rPr>
        <w:t xml:space="preserve"> </w:t>
      </w:r>
      <w:r>
        <w:rPr>
          <w:spacing w:val="3"/>
        </w:rPr>
        <w:t>的分离性能。将凝胶溶胀，湿法装柱，</w:t>
      </w:r>
      <w:r>
        <w:rPr>
          <w:rFonts w:ascii="SimSun" w:eastAsia="SimSun" w:hAnsi="SimSun" w:cs="SimSun"/>
        </w:rPr>
        <w:t>SPE</w:t>
      </w:r>
      <w:r>
        <w:rPr>
          <w:rFonts w:ascii="SimSun" w:eastAsia="SimSun" w:hAnsi="SimSun" w:cs="SimSun"/>
          <w:spacing w:val="3"/>
        </w:rPr>
        <w:t xml:space="preserve"> </w:t>
      </w:r>
      <w:r>
        <w:rPr>
          <w:spacing w:val="3"/>
        </w:rPr>
        <w:t>凝胶小柱经过活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https://d.book118.com/398066003077006030</w:t>
        </w:r>
      </w:hyperlink>
    </w:p>
    <w:p>
      <w:pPr>
        <w:pStyle w:val="BodyText"/>
        <w:spacing w:before="88" w:line="425" w:lineRule="auto"/>
        <w:ind w:left="13" w:right="59" w:firstLine="400"/>
        <w:jc w:val="both"/>
      </w:pPr>
    </w:p>
    <w:sectPr>
      <w:pgSz w:w="11910" w:h="16840"/>
      <w:pgMar w:top="1431" w:right="1786" w:bottom="0" w:left="1786" w:header="0" w:footer="0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7"/>
      <w:szCs w:val="27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4"/>
      <w:szCs w:val="1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yperlink" Target="https://d.book118.com/398066003077006030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2024-01-19T07:40:53Z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2024-01-19T07:40:54Z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65a9b701b251f9001f1d815cwl</vt:lpwstr>
  </property>
</Properties>
</file>