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spacing w:line="1067" w:lineRule="exact"/>
      </w:pPr>
      <w:r>
        <w:rPr>
          <w:spacing w:val="-3"/>
        </w:rPr>
        <w:t>工程测量</w:t>
      </w:r>
    </w:p>
    <w:p>
      <w:pPr>
        <w:pStyle w:val="BodyText"/>
        <w:spacing w:before="11"/>
        <w:rPr>
          <w:rFonts w:ascii="Microsoft JhengHei"/>
          <w:b/>
          <w:sz w:val="38"/>
        </w:rPr>
      </w:pPr>
    </w:p>
    <w:p>
      <w:pPr>
        <w:pStyle w:val="Title"/>
        <w:spacing w:line="151" w:lineRule="auto"/>
        <w:ind w:left="4174" w:right="4949"/>
        <w:jc w:val="both"/>
      </w:pPr>
      <w:r>
        <w:rPr>
          <w:spacing w:val="-10"/>
        </w:rPr>
        <w:t>监</w:t>
      </w:r>
      <w:r>
        <w:rPr>
          <w:spacing w:val="-10"/>
        </w:rPr>
        <w:t>理</w:t>
      </w:r>
      <w:r>
        <w:rPr>
          <w:spacing w:val="-10"/>
        </w:rPr>
        <w:t>实</w:t>
      </w:r>
      <w:r>
        <w:rPr>
          <w:spacing w:val="-10"/>
        </w:rPr>
        <w:t>施</w:t>
      </w:r>
      <w:r>
        <w:rPr>
          <w:spacing w:val="-10"/>
        </w:rPr>
        <w:t>细</w:t>
      </w:r>
      <w:r>
        <w:rPr>
          <w:spacing w:val="-10"/>
        </w:rPr>
        <w:t>则</w:t>
      </w:r>
    </w:p>
    <w:p>
      <w:pPr>
        <w:pStyle w:val="BodyText"/>
        <w:spacing w:before="3"/>
        <w:rPr>
          <w:rFonts w:ascii="Microsoft JhengHei"/>
          <w:b/>
          <w:sz w:val="42"/>
        </w:rPr>
      </w:pPr>
    </w:p>
    <w:p>
      <w:pPr>
        <w:tabs>
          <w:tab w:val="left" w:pos="3715"/>
          <w:tab w:val="left" w:pos="9023"/>
        </w:tabs>
        <w:spacing w:before="1"/>
        <w:ind w:left="2993" w:right="0" w:firstLine="0"/>
        <w:jc w:val="left"/>
        <w:rPr>
          <w:rFonts w:ascii="Times New Roman" w:eastAsia="Times New Roman"/>
          <w:b/>
          <w:sz w:val="36"/>
        </w:rPr>
      </w:pPr>
      <w:r>
        <w:rPr>
          <w:rFonts w:ascii="微软雅黑" w:eastAsia="微软雅黑"/>
          <w:b/>
          <w:spacing w:val="-10"/>
          <w:sz w:val="36"/>
        </w:rPr>
        <w:t>编</w:t>
      </w:r>
      <w:r>
        <w:rPr>
          <w:rFonts w:ascii="微软雅黑" w:eastAsia="微软雅黑"/>
          <w:b/>
          <w:sz w:val="36"/>
        </w:rPr>
        <w:tab/>
        <w:t>制</w:t>
      </w:r>
      <w:r>
        <w:rPr>
          <w:rFonts w:ascii="微软雅黑" w:eastAsia="微软雅黑"/>
          <w:b/>
          <w:spacing w:val="-10"/>
          <w:sz w:val="36"/>
        </w:rPr>
        <w:t>：</w:t>
      </w:r>
      <w:r>
        <w:rPr>
          <w:rFonts w:ascii="Times New Roman" w:eastAsia="Times New Roman"/>
          <w:b/>
          <w:sz w:val="36"/>
          <w:u w:val="single"/>
        </w:rPr>
        <w:tab/>
      </w:r>
    </w:p>
    <w:p>
      <w:pPr>
        <w:pStyle w:val="BodyText"/>
        <w:rPr>
          <w:rFonts w:ascii="Times New Roman"/>
          <w:b/>
          <w:sz w:val="20"/>
        </w:rPr>
      </w:pPr>
    </w:p>
    <w:p>
      <w:pPr>
        <w:pStyle w:val="BodyText"/>
        <w:rPr>
          <w:rFonts w:ascii="Times New Roman"/>
          <w:b/>
          <w:sz w:val="20"/>
        </w:rPr>
      </w:pPr>
    </w:p>
    <w:p>
      <w:pPr>
        <w:tabs>
          <w:tab w:val="left" w:pos="3715"/>
          <w:tab w:val="left" w:pos="9023"/>
        </w:tabs>
        <w:spacing w:before="124"/>
        <w:ind w:left="2993" w:right="0" w:firstLine="0"/>
        <w:jc w:val="left"/>
        <w:rPr>
          <w:rFonts w:ascii="Times New Roman" w:eastAsia="Times New Roman"/>
          <w:b/>
          <w:sz w:val="36"/>
        </w:rPr>
      </w:pPr>
      <w:r>
        <w:rPr>
          <w:rFonts w:ascii="微软雅黑" w:eastAsia="微软雅黑"/>
          <w:b/>
          <w:spacing w:val="-10"/>
          <w:sz w:val="36"/>
        </w:rPr>
        <w:t>审</w:t>
      </w:r>
      <w:r>
        <w:rPr>
          <w:rFonts w:ascii="微软雅黑" w:eastAsia="微软雅黑"/>
          <w:b/>
          <w:sz w:val="36"/>
        </w:rPr>
        <w:tab/>
        <w:t>核</w:t>
      </w:r>
      <w:r>
        <w:rPr>
          <w:rFonts w:ascii="微软雅黑" w:eastAsia="微软雅黑"/>
          <w:b/>
          <w:spacing w:val="-10"/>
          <w:sz w:val="36"/>
        </w:rPr>
        <w:t>：</w:t>
      </w:r>
      <w:r>
        <w:rPr>
          <w:rFonts w:ascii="Times New Roman" w:eastAsia="Times New Roman"/>
          <w:b/>
          <w:sz w:val="36"/>
          <w:u w:val="thick"/>
        </w:rPr>
        <w:tab/>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9"/>
        <w:rPr>
          <w:rFonts w:ascii="Times New Roman"/>
          <w:b/>
          <w:sz w:val="29"/>
        </w:rPr>
      </w:pPr>
    </w:p>
    <w:p>
      <w:pPr>
        <w:spacing w:before="0" w:line="590" w:lineRule="exact"/>
        <w:ind w:left="0" w:right="338" w:firstLine="0"/>
        <w:jc w:val="center"/>
        <w:rPr>
          <w:rFonts w:ascii="微软雅黑" w:eastAsia="微软雅黑"/>
          <w:b/>
          <w:sz w:val="36"/>
        </w:rPr>
      </w:pPr>
      <w:r>
        <w:rPr>
          <w:rFonts w:ascii="Times New Roman" w:eastAsia="Times New Roman"/>
          <w:b/>
          <w:sz w:val="36"/>
        </w:rPr>
        <w:t>xxxxxxxxx</w:t>
      </w:r>
      <w:r>
        <w:rPr>
          <w:rFonts w:ascii="Times New Roman" w:eastAsia="Times New Roman"/>
          <w:b/>
          <w:spacing w:val="3"/>
          <w:sz w:val="36"/>
        </w:rPr>
        <w:t xml:space="preserve"> </w:t>
      </w:r>
      <w:r>
        <w:rPr>
          <w:rFonts w:ascii="微软雅黑" w:eastAsia="微软雅黑"/>
          <w:b/>
          <w:spacing w:val="-3"/>
          <w:sz w:val="36"/>
        </w:rPr>
        <w:t>有限公司</w:t>
      </w:r>
    </w:p>
    <w:p>
      <w:pPr>
        <w:tabs>
          <w:tab w:val="left" w:pos="901"/>
        </w:tabs>
        <w:spacing w:before="0" w:line="644" w:lineRule="exact"/>
        <w:ind w:left="0" w:right="88" w:firstLine="0"/>
        <w:jc w:val="center"/>
        <w:rPr>
          <w:rFonts w:ascii="微软雅黑" w:eastAsia="微软雅黑"/>
          <w:b/>
          <w:sz w:val="36"/>
        </w:rPr>
      </w:pPr>
      <w:r>
        <w:rPr>
          <w:rFonts w:ascii="微软雅黑" w:eastAsia="微软雅黑"/>
          <w:b/>
          <w:spacing w:val="-10"/>
          <w:sz w:val="36"/>
        </w:rPr>
        <w:t>年</w:t>
      </w:r>
      <w:r>
        <w:rPr>
          <w:rFonts w:ascii="微软雅黑" w:eastAsia="微软雅黑"/>
          <w:b/>
          <w:sz w:val="36"/>
        </w:rPr>
        <w:tab/>
      </w:r>
      <w:r>
        <w:rPr>
          <w:rFonts w:ascii="微软雅黑" w:eastAsia="微软雅黑"/>
          <w:b/>
          <w:spacing w:val="-10"/>
          <w:sz w:val="36"/>
        </w:rPr>
        <w:t>月</w:t>
      </w:r>
    </w:p>
    <w:p>
      <w:pPr>
        <w:spacing w:after="0" w:line="644" w:lineRule="exact"/>
        <w:jc w:val="center"/>
        <w:rPr>
          <w:rFonts w:ascii="微软雅黑" w:eastAsia="微软雅黑"/>
          <w:sz w:val="36"/>
        </w:rPr>
        <w:sectPr>
          <w:type w:val="continuous"/>
          <w:pgSz w:w="11910" w:h="16840"/>
          <w:pgMar w:top="1200" w:right="880" w:bottom="280" w:left="1180" w:header="708" w:footer="708"/>
          <w:cols w:space="708"/>
        </w:sectPr>
      </w:pPr>
    </w:p>
    <w:p>
      <w:pPr>
        <w:tabs>
          <w:tab w:val="left" w:pos="959"/>
        </w:tabs>
        <w:spacing w:before="17"/>
        <w:ind w:left="0" w:right="443" w:firstLine="0"/>
        <w:jc w:val="center"/>
        <w:rPr>
          <w:sz w:val="48"/>
        </w:rPr>
      </w:pPr>
      <w:r>
        <w:rPr>
          <w:spacing w:val="-10"/>
          <w:sz w:val="48"/>
        </w:rPr>
        <w:t>目</w:t>
      </w:r>
      <w:r>
        <w:rPr>
          <w:sz w:val="48"/>
        </w:rPr>
        <w:tab/>
      </w:r>
      <w:r>
        <w:rPr>
          <w:spacing w:val="-10"/>
          <w:sz w:val="48"/>
        </w:rPr>
        <w:t>录</w:t>
      </w:r>
    </w:p>
    <w:sdt>
      <w:sdtPr>
        <w:id w:val="1229494603"/>
        <w:docPartObj>
          <w:docPartGallery w:val="Table of Contents"/>
          <w:docPartUnique/>
        </w:docPartObj>
      </w:sdtPr>
      <w:sdtContent>
        <w:p>
          <w:pPr>
            <w:pStyle w:val="TOC2"/>
            <w:tabs>
              <w:tab w:val="right" w:leader="hyphen" w:pos="8874"/>
            </w:tabs>
            <w:rPr>
              <w:rFonts w:ascii="Arial" w:eastAsia="Arial"/>
              <w:b w:val="0"/>
              <w:i w:val="0"/>
              <w:sz w:val="30"/>
            </w:rPr>
          </w:pPr>
          <w:hyperlink w:anchor="_TOC_250009" w:history="1">
            <w:r>
              <w:rPr>
                <w:b w:val="0"/>
                <w:i w:val="0"/>
                <w:color w:val="111111"/>
                <w:sz w:val="36"/>
              </w:rPr>
              <w:t>一、工程概</w:t>
            </w:r>
            <w:r>
              <w:rPr>
                <w:b w:val="0"/>
                <w:i w:val="0"/>
                <w:color w:val="111111"/>
                <w:spacing w:val="-10"/>
                <w:sz w:val="36"/>
              </w:rPr>
              <w:t>况</w:t>
            </w:r>
            <w:r>
              <w:rPr>
                <w:rFonts w:ascii="Times New Roman" w:eastAsia="Times New Roman"/>
                <w:i w:val="0"/>
                <w:color w:val="111111"/>
                <w:sz w:val="36"/>
              </w:rPr>
              <w:tab/>
            </w:r>
            <w:r>
              <w:rPr>
                <w:rFonts w:ascii="Arial" w:eastAsia="Arial"/>
                <w:b w:val="0"/>
                <w:i w:val="0"/>
                <w:color w:val="111111"/>
                <w:spacing w:val="-10"/>
                <w:sz w:val="30"/>
              </w:rPr>
              <w:t>1</w:t>
            </w:r>
          </w:hyperlink>
        </w:p>
        <w:p>
          <w:pPr>
            <w:pStyle w:val="TOC2"/>
            <w:tabs>
              <w:tab w:val="right" w:pos="8914"/>
            </w:tabs>
            <w:spacing w:before="420"/>
            <w:rPr>
              <w:rFonts w:ascii="Arial" w:eastAsia="Arial"/>
              <w:b w:val="0"/>
              <w:i w:val="0"/>
              <w:sz w:val="30"/>
            </w:rPr>
          </w:pPr>
          <w:r>
            <w:pict>
              <v:line id="_x0000_s1025" style="mso-position-horizontal-relative:page;position:absolute;z-index:-251658240" from="181.7pt,35.1pt" to="496.4pt,35.1pt" stroked="t" strokecolor="#101010" strokeweight="1.32pt">
                <v:stroke dashstyle="dash"/>
              </v:line>
            </w:pict>
          </w:r>
          <w:hyperlink w:anchor="_TOC_250008" w:history="1">
            <w:r>
              <w:rPr>
                <w:b w:val="0"/>
                <w:i w:val="0"/>
                <w:color w:val="111111"/>
                <w:sz w:val="36"/>
              </w:rPr>
              <w:t>二、编制依</w:t>
            </w:r>
            <w:r>
              <w:rPr>
                <w:b w:val="0"/>
                <w:i w:val="0"/>
                <w:color w:val="111111"/>
                <w:spacing w:val="-10"/>
                <w:sz w:val="36"/>
              </w:rPr>
              <w:t>据</w:t>
            </w:r>
            <w:r>
              <w:rPr>
                <w:rFonts w:ascii="Times New Roman" w:eastAsia="Times New Roman"/>
                <w:i w:val="0"/>
                <w:color w:val="111111"/>
                <w:sz w:val="36"/>
              </w:rPr>
              <w:tab/>
            </w:r>
            <w:r>
              <w:rPr>
                <w:rFonts w:ascii="Arial" w:eastAsia="Arial"/>
                <w:b w:val="0"/>
                <w:i w:val="0"/>
                <w:color w:val="111111"/>
                <w:spacing w:val="-10"/>
                <w:sz w:val="30"/>
              </w:rPr>
              <w:t>1</w:t>
            </w:r>
          </w:hyperlink>
        </w:p>
        <w:p>
          <w:pPr>
            <w:pStyle w:val="TOC1"/>
            <w:tabs>
              <w:tab w:val="right" w:leader="hyphen" w:pos="8935"/>
            </w:tabs>
            <w:rPr>
              <w:rFonts w:ascii="Arial" w:eastAsia="Arial"/>
              <w:sz w:val="30"/>
            </w:rPr>
          </w:pPr>
          <w:hyperlink w:anchor="_TOC_250007" w:history="1">
            <w:r>
              <w:rPr>
                <w:color w:val="111111"/>
              </w:rPr>
              <w:t>三、测量监理内</w:t>
            </w:r>
            <w:r>
              <w:rPr>
                <w:color w:val="111111"/>
                <w:spacing w:val="-10"/>
              </w:rPr>
              <w:t>容</w:t>
            </w:r>
            <w:r>
              <w:rPr>
                <w:rFonts w:ascii="Times New Roman" w:eastAsia="Times New Roman"/>
                <w:b/>
                <w:color w:val="111111"/>
              </w:rPr>
              <w:tab/>
            </w:r>
            <w:r>
              <w:rPr>
                <w:rFonts w:ascii="Arial" w:eastAsia="Arial"/>
                <w:color w:val="111111"/>
                <w:spacing w:val="-10"/>
                <w:sz w:val="30"/>
              </w:rPr>
              <w:t>1</w:t>
            </w:r>
          </w:hyperlink>
        </w:p>
        <w:p>
          <w:pPr>
            <w:pStyle w:val="TOC1"/>
            <w:tabs>
              <w:tab w:val="right" w:leader="hyphen" w:pos="8936"/>
            </w:tabs>
            <w:spacing w:before="419"/>
            <w:rPr>
              <w:rFonts w:ascii="Arial" w:eastAsia="Arial"/>
              <w:sz w:val="30"/>
            </w:rPr>
          </w:pPr>
          <w:hyperlink w:anchor="_TOC_250006" w:history="1">
            <w:r>
              <w:rPr>
                <w:color w:val="111111"/>
              </w:rPr>
              <w:t>四、施工准备阶段的测量控</w:t>
            </w:r>
            <w:r>
              <w:rPr>
                <w:color w:val="111111"/>
                <w:spacing w:val="-10"/>
              </w:rPr>
              <w:t>制</w:t>
            </w:r>
            <w:r>
              <w:rPr>
                <w:rFonts w:ascii="Times New Roman" w:eastAsia="Times New Roman"/>
                <w:b/>
                <w:color w:val="111111"/>
              </w:rPr>
              <w:tab/>
            </w:r>
            <w:r>
              <w:rPr>
                <w:rFonts w:ascii="Arial" w:eastAsia="Arial"/>
                <w:color w:val="111111"/>
                <w:spacing w:val="-10"/>
                <w:sz w:val="30"/>
              </w:rPr>
              <w:t>1</w:t>
            </w:r>
          </w:hyperlink>
        </w:p>
        <w:p>
          <w:pPr>
            <w:pStyle w:val="TOC1"/>
            <w:tabs>
              <w:tab w:val="right" w:leader="hyphen" w:pos="8976"/>
            </w:tabs>
            <w:rPr>
              <w:rFonts w:ascii="Arial" w:eastAsia="Arial"/>
              <w:sz w:val="30"/>
            </w:rPr>
          </w:pPr>
          <w:hyperlink w:anchor="_TOC_250005" w:history="1">
            <w:r>
              <w:rPr>
                <w:color w:val="111111"/>
              </w:rPr>
              <w:t>五、监理部测量工具一览</w:t>
            </w:r>
            <w:r>
              <w:rPr>
                <w:color w:val="111111"/>
                <w:spacing w:val="-10"/>
              </w:rPr>
              <w:t>表</w:t>
            </w:r>
            <w:r>
              <w:rPr>
                <w:rFonts w:ascii="Times New Roman" w:eastAsia="Times New Roman"/>
                <w:b/>
                <w:color w:val="111111"/>
              </w:rPr>
              <w:tab/>
            </w:r>
            <w:r>
              <w:rPr>
                <w:rFonts w:ascii="Arial" w:eastAsia="Arial"/>
                <w:color w:val="111111"/>
                <w:spacing w:val="-10"/>
                <w:sz w:val="30"/>
              </w:rPr>
              <w:t>2</w:t>
            </w:r>
          </w:hyperlink>
        </w:p>
        <w:p>
          <w:pPr>
            <w:pStyle w:val="TOC1"/>
            <w:tabs>
              <w:tab w:val="right" w:leader="hyphen" w:pos="8936"/>
            </w:tabs>
            <w:spacing w:before="419"/>
            <w:rPr>
              <w:rFonts w:ascii="Arial" w:eastAsia="Arial"/>
              <w:sz w:val="30"/>
            </w:rPr>
          </w:pPr>
          <w:hyperlink w:anchor="_TOC_250004" w:history="1">
            <w:r>
              <w:rPr>
                <w:color w:val="111111"/>
              </w:rPr>
              <w:t>六、测量监理工作流</w:t>
            </w:r>
            <w:r>
              <w:rPr>
                <w:color w:val="111111"/>
                <w:spacing w:val="-10"/>
              </w:rPr>
              <w:t>程</w:t>
            </w:r>
            <w:r>
              <w:rPr>
                <w:rFonts w:ascii="Times New Roman" w:eastAsia="Times New Roman"/>
                <w:b/>
                <w:color w:val="111111"/>
              </w:rPr>
              <w:tab/>
            </w:r>
            <w:r>
              <w:rPr>
                <w:rFonts w:ascii="Arial" w:eastAsia="Arial"/>
                <w:color w:val="111111"/>
                <w:spacing w:val="-10"/>
                <w:sz w:val="30"/>
              </w:rPr>
              <w:t>3</w:t>
            </w:r>
          </w:hyperlink>
        </w:p>
        <w:p>
          <w:pPr>
            <w:pStyle w:val="TOC1"/>
            <w:tabs>
              <w:tab w:val="right" w:leader="hyphen" w:pos="8836"/>
            </w:tabs>
            <w:rPr>
              <w:rFonts w:ascii="Arial" w:eastAsia="Arial"/>
              <w:sz w:val="30"/>
            </w:rPr>
          </w:pPr>
          <w:hyperlink w:anchor="_TOC_250003" w:history="1">
            <w:r>
              <w:rPr>
                <w:color w:val="111111"/>
              </w:rPr>
              <w:t>七、工程测量监理方</w:t>
            </w:r>
            <w:r>
              <w:rPr>
                <w:color w:val="111111"/>
                <w:spacing w:val="-10"/>
              </w:rPr>
              <w:t>案</w:t>
            </w:r>
            <w:r>
              <w:rPr>
                <w:rFonts w:ascii="Times New Roman" w:eastAsia="Times New Roman"/>
                <w:b/>
                <w:color w:val="111111"/>
              </w:rPr>
              <w:tab/>
            </w:r>
            <w:r>
              <w:rPr>
                <w:rFonts w:ascii="Arial" w:eastAsia="Arial"/>
                <w:color w:val="111111"/>
                <w:spacing w:val="-10"/>
                <w:sz w:val="30"/>
              </w:rPr>
              <w:t>4</w:t>
            </w:r>
          </w:hyperlink>
        </w:p>
        <w:p>
          <w:pPr>
            <w:pStyle w:val="TOC2"/>
            <w:tabs>
              <w:tab w:val="right" w:leader="hyphen" w:pos="9062"/>
            </w:tabs>
            <w:spacing w:before="419"/>
            <w:rPr>
              <w:rFonts w:ascii="Arial" w:eastAsia="Arial"/>
              <w:b w:val="0"/>
              <w:i w:val="0"/>
              <w:sz w:val="30"/>
            </w:rPr>
          </w:pPr>
          <w:hyperlink w:anchor="_TOC_250002" w:history="1">
            <w:r>
              <w:rPr>
                <w:b w:val="0"/>
                <w:i w:val="0"/>
                <w:color w:val="111111"/>
                <w:sz w:val="36"/>
              </w:rPr>
              <w:t>八、测量资料管</w:t>
            </w:r>
            <w:r>
              <w:rPr>
                <w:b w:val="0"/>
                <w:i w:val="0"/>
                <w:color w:val="111111"/>
                <w:spacing w:val="-10"/>
                <w:sz w:val="36"/>
              </w:rPr>
              <w:t>理</w:t>
            </w:r>
            <w:r>
              <w:rPr>
                <w:rFonts w:ascii="Times New Roman" w:eastAsia="Times New Roman"/>
                <w:i w:val="0"/>
                <w:color w:val="111111"/>
                <w:sz w:val="36"/>
              </w:rPr>
              <w:tab/>
            </w:r>
            <w:r>
              <w:rPr>
                <w:rFonts w:ascii="Arial" w:eastAsia="Arial"/>
                <w:b w:val="0"/>
                <w:i w:val="0"/>
                <w:color w:val="111111"/>
                <w:spacing w:val="-5"/>
                <w:sz w:val="30"/>
              </w:rPr>
              <w:t>10</w:t>
            </w:r>
          </w:hyperlink>
        </w:p>
        <w:p>
          <w:pPr>
            <w:pStyle w:val="TOC1"/>
            <w:tabs>
              <w:tab w:val="right" w:leader="hyphen" w:pos="9064"/>
            </w:tabs>
            <w:rPr>
              <w:rFonts w:ascii="Arial" w:eastAsia="Arial"/>
              <w:sz w:val="30"/>
            </w:rPr>
          </w:pPr>
          <w:hyperlink w:anchor="_TOC_250001" w:history="1">
            <w:r>
              <w:rPr>
                <w:color w:val="111111"/>
              </w:rPr>
              <w:t>九、测量精度及误差范围标</w:t>
            </w:r>
            <w:r>
              <w:rPr>
                <w:color w:val="111111"/>
                <w:spacing w:val="-10"/>
              </w:rPr>
              <w:t>准</w:t>
            </w:r>
            <w:r>
              <w:rPr>
                <w:rFonts w:ascii="Times New Roman" w:eastAsia="Times New Roman"/>
                <w:b/>
                <w:color w:val="111111"/>
              </w:rPr>
              <w:tab/>
            </w:r>
            <w:r>
              <w:rPr>
                <w:rFonts w:ascii="Arial" w:eastAsia="Arial"/>
                <w:color w:val="111111"/>
                <w:spacing w:val="-5"/>
                <w:sz w:val="30"/>
              </w:rPr>
              <w:t>11</w:t>
            </w:r>
          </w:hyperlink>
        </w:p>
        <w:p>
          <w:pPr>
            <w:pStyle w:val="TOC1"/>
            <w:tabs>
              <w:tab w:val="right" w:leader="hyphen" w:pos="9104"/>
            </w:tabs>
            <w:rPr>
              <w:rFonts w:ascii="Arial" w:eastAsia="Arial"/>
              <w:sz w:val="30"/>
            </w:rPr>
          </w:pPr>
          <w:hyperlink w:anchor="_TOC_250000" w:history="1">
            <w:r>
              <w:rPr>
                <w:color w:val="111111"/>
              </w:rPr>
              <w:t>十、测量监理对施工测量的安全管</w:t>
            </w:r>
            <w:r>
              <w:rPr>
                <w:color w:val="111111"/>
                <w:spacing w:val="-10"/>
              </w:rPr>
              <w:t>理</w:t>
            </w:r>
            <w:r>
              <w:rPr>
                <w:rFonts w:ascii="Times New Roman" w:eastAsia="Times New Roman"/>
                <w:b/>
                <w:color w:val="111111"/>
              </w:rPr>
              <w:tab/>
            </w:r>
            <w:r>
              <w:rPr>
                <w:rFonts w:ascii="Arial" w:eastAsia="Arial"/>
                <w:color w:val="111111"/>
                <w:spacing w:val="-5"/>
                <w:sz w:val="30"/>
              </w:rPr>
              <w:t>13</w:t>
            </w:r>
          </w:hyperlink>
        </w:p>
      </w:sdtContent>
    </w:sdt>
    <w:p>
      <w:pPr>
        <w:spacing w:after="0"/>
        <w:rPr>
          <w:rFonts w:ascii="Arial" w:eastAsia="Arial"/>
          <w:sz w:val="30"/>
        </w:rPr>
        <w:sectPr>
          <w:pgSz w:w="11910" w:h="16840"/>
          <w:pgMar w:top="1220" w:right="880" w:bottom="280" w:left="1180" w:header="708" w:footer="708"/>
          <w:pgNumType w:start="2"/>
          <w:cols w:space="708"/>
        </w:sectPr>
      </w:pPr>
    </w:p>
    <w:p>
      <w:pPr>
        <w:pStyle w:val="Heading1"/>
        <w:spacing w:line="476" w:lineRule="exact"/>
        <w:rPr>
          <w:rFonts w:ascii="微软雅黑" w:eastAsia="微软雅黑"/>
        </w:rPr>
      </w:pPr>
      <w:bookmarkStart w:id="0" w:name="_TOC_250009"/>
      <w:bookmarkEnd w:id="0"/>
      <w:r>
        <w:rPr>
          <w:rFonts w:ascii="微软雅黑" w:eastAsia="微软雅黑"/>
          <w:spacing w:val="7"/>
        </w:rPr>
        <w:t>一、 工程概况</w:t>
      </w:r>
    </w:p>
    <w:p>
      <w:pPr>
        <w:spacing w:before="73"/>
        <w:ind w:left="773" w:right="0" w:firstLine="0"/>
        <w:jc w:val="left"/>
        <w:rPr>
          <w:sz w:val="28"/>
        </w:rPr>
      </w:pPr>
      <w:r>
        <w:rPr>
          <w:sz w:val="28"/>
        </w:rPr>
        <w:t>1</w:t>
      </w:r>
      <w:r>
        <w:rPr>
          <w:spacing w:val="-2"/>
          <w:sz w:val="28"/>
        </w:rPr>
        <w:t>、工程名称：</w:t>
      </w:r>
    </w:p>
    <w:p>
      <w:pPr>
        <w:spacing w:before="141"/>
        <w:ind w:left="773" w:right="0" w:firstLine="0"/>
        <w:jc w:val="left"/>
        <w:rPr>
          <w:sz w:val="28"/>
        </w:rPr>
      </w:pPr>
      <w:r>
        <w:rPr>
          <w:sz w:val="28"/>
        </w:rPr>
        <w:t>2</w:t>
      </w:r>
      <w:r>
        <w:rPr>
          <w:spacing w:val="-2"/>
          <w:sz w:val="28"/>
        </w:rPr>
        <w:t>、建设地点：</w:t>
      </w:r>
    </w:p>
    <w:p>
      <w:pPr>
        <w:spacing w:before="142"/>
        <w:ind w:left="773" w:right="0" w:firstLine="0"/>
        <w:jc w:val="left"/>
        <w:rPr>
          <w:sz w:val="28"/>
        </w:rPr>
      </w:pPr>
      <w:r>
        <w:rPr>
          <w:sz w:val="28"/>
        </w:rPr>
        <w:t>3</w:t>
      </w:r>
      <w:r>
        <w:rPr>
          <w:spacing w:val="-1"/>
          <w:sz w:val="28"/>
        </w:rPr>
        <w:t>、建设功能：别墅、物业用房及商业。</w:t>
      </w:r>
    </w:p>
    <w:p>
      <w:pPr>
        <w:spacing w:before="141"/>
        <w:ind w:left="773" w:right="0" w:firstLine="0"/>
        <w:jc w:val="left"/>
        <w:rPr>
          <w:sz w:val="28"/>
        </w:rPr>
      </w:pPr>
      <w:r>
        <w:rPr>
          <w:sz w:val="28"/>
        </w:rPr>
        <w:t>4</w:t>
      </w:r>
      <w:r>
        <w:rPr>
          <w:spacing w:val="-2"/>
          <w:sz w:val="28"/>
        </w:rPr>
        <w:t>、建筑面积：</w:t>
      </w:r>
    </w:p>
    <w:p>
      <w:pPr>
        <w:pStyle w:val="Heading1"/>
        <w:spacing w:before="52"/>
        <w:rPr>
          <w:rFonts w:ascii="微软雅黑" w:eastAsia="微软雅黑"/>
        </w:rPr>
      </w:pPr>
      <w:bookmarkStart w:id="1" w:name="_TOC_250008"/>
      <w:bookmarkEnd w:id="1"/>
      <w:r>
        <w:rPr>
          <w:rFonts w:ascii="微软雅黑" w:eastAsia="微软雅黑"/>
          <w:spacing w:val="-2"/>
        </w:rPr>
        <w:t>二、编制依据</w:t>
      </w:r>
    </w:p>
    <w:p>
      <w:pPr>
        <w:pStyle w:val="ListParagraph"/>
        <w:numPr>
          <w:ilvl w:val="0"/>
          <w:numId w:val="21"/>
        </w:numPr>
        <w:tabs>
          <w:tab w:val="left" w:pos="1614"/>
        </w:tabs>
        <w:spacing w:before="73" w:after="0" w:line="240" w:lineRule="auto"/>
        <w:ind w:left="1614" w:right="0" w:hanging="841"/>
        <w:jc w:val="left"/>
        <w:rPr>
          <w:sz w:val="28"/>
        </w:rPr>
      </w:pPr>
      <w:r>
        <w:rPr>
          <w:spacing w:val="-2"/>
          <w:sz w:val="28"/>
        </w:rPr>
        <w:t>建设工程监理规范</w:t>
      </w:r>
    </w:p>
    <w:p>
      <w:pPr>
        <w:pStyle w:val="ListParagraph"/>
        <w:numPr>
          <w:ilvl w:val="0"/>
          <w:numId w:val="21"/>
        </w:numPr>
        <w:tabs>
          <w:tab w:val="left" w:pos="1475"/>
        </w:tabs>
        <w:spacing w:before="141" w:after="0" w:line="240" w:lineRule="auto"/>
        <w:ind w:left="1475" w:right="0" w:hanging="702"/>
        <w:jc w:val="left"/>
        <w:rPr>
          <w:sz w:val="28"/>
        </w:rPr>
      </w:pPr>
      <w:r>
        <w:rPr>
          <w:spacing w:val="-2"/>
          <w:sz w:val="28"/>
        </w:rPr>
        <w:t>工程测量规范</w:t>
      </w:r>
    </w:p>
    <w:p>
      <w:pPr>
        <w:pStyle w:val="ListParagraph"/>
        <w:numPr>
          <w:ilvl w:val="0"/>
          <w:numId w:val="21"/>
        </w:numPr>
        <w:tabs>
          <w:tab w:val="left" w:pos="1475"/>
        </w:tabs>
        <w:spacing w:before="142" w:after="0" w:line="240" w:lineRule="auto"/>
        <w:ind w:left="1475" w:right="0" w:hanging="702"/>
        <w:jc w:val="left"/>
        <w:rPr>
          <w:sz w:val="28"/>
        </w:rPr>
      </w:pPr>
      <w:r>
        <w:rPr>
          <w:spacing w:val="-2"/>
          <w:sz w:val="28"/>
        </w:rPr>
        <w:t>建筑变形测量规程</w:t>
      </w:r>
    </w:p>
    <w:p>
      <w:pPr>
        <w:pStyle w:val="ListParagraph"/>
        <w:numPr>
          <w:ilvl w:val="0"/>
          <w:numId w:val="21"/>
        </w:numPr>
        <w:tabs>
          <w:tab w:val="left" w:pos="1475"/>
        </w:tabs>
        <w:spacing w:before="141" w:after="0" w:line="240" w:lineRule="auto"/>
        <w:ind w:left="1475" w:right="0" w:hanging="702"/>
        <w:jc w:val="left"/>
        <w:rPr>
          <w:sz w:val="28"/>
        </w:rPr>
      </w:pPr>
      <w:r>
        <w:rPr>
          <w:spacing w:val="-1"/>
          <w:sz w:val="28"/>
        </w:rPr>
        <w:t>《工程测量基本术语标准》</w:t>
      </w:r>
    </w:p>
    <w:p>
      <w:pPr>
        <w:pStyle w:val="ListParagraph"/>
        <w:numPr>
          <w:ilvl w:val="0"/>
          <w:numId w:val="21"/>
        </w:numPr>
        <w:tabs>
          <w:tab w:val="left" w:pos="1475"/>
        </w:tabs>
        <w:spacing w:before="141" w:after="0" w:line="240" w:lineRule="auto"/>
        <w:ind w:left="1475" w:right="0" w:hanging="702"/>
        <w:jc w:val="left"/>
        <w:rPr>
          <w:sz w:val="28"/>
        </w:rPr>
      </w:pPr>
      <w:r>
        <w:rPr>
          <w:spacing w:val="-1"/>
          <w:sz w:val="28"/>
        </w:rPr>
        <w:t>现行国家建筑施工验收规范</w:t>
      </w:r>
    </w:p>
    <w:p>
      <w:pPr>
        <w:pStyle w:val="ListParagraph"/>
        <w:numPr>
          <w:ilvl w:val="0"/>
          <w:numId w:val="21"/>
        </w:numPr>
        <w:tabs>
          <w:tab w:val="left" w:pos="1415"/>
        </w:tabs>
        <w:spacing w:before="141" w:after="0" w:line="240" w:lineRule="auto"/>
        <w:ind w:left="1415" w:right="0" w:hanging="702"/>
        <w:jc w:val="left"/>
        <w:rPr>
          <w:sz w:val="28"/>
        </w:rPr>
      </w:pPr>
      <w:r>
        <w:rPr>
          <w:spacing w:val="-1"/>
          <w:sz w:val="28"/>
        </w:rPr>
        <w:t>工程监理合同及施工合同</w:t>
      </w:r>
    </w:p>
    <w:p>
      <w:pPr>
        <w:pStyle w:val="ListParagraph"/>
        <w:numPr>
          <w:ilvl w:val="0"/>
          <w:numId w:val="21"/>
        </w:numPr>
        <w:tabs>
          <w:tab w:val="left" w:pos="1415"/>
        </w:tabs>
        <w:spacing w:before="142" w:after="0" w:line="240" w:lineRule="auto"/>
        <w:ind w:left="1415" w:right="0" w:hanging="702"/>
        <w:jc w:val="left"/>
        <w:rPr>
          <w:sz w:val="28"/>
        </w:rPr>
      </w:pPr>
      <w:r>
        <w:rPr>
          <w:sz w:val="28"/>
        </w:rPr>
        <w:t>施工组织设计（测量方案</w:t>
      </w:r>
      <w:r>
        <w:rPr>
          <w:spacing w:val="-10"/>
          <w:sz w:val="28"/>
        </w:rPr>
        <w:t>）</w:t>
      </w:r>
    </w:p>
    <w:p>
      <w:pPr>
        <w:pStyle w:val="ListParagraph"/>
        <w:numPr>
          <w:ilvl w:val="0"/>
          <w:numId w:val="21"/>
        </w:numPr>
        <w:tabs>
          <w:tab w:val="left" w:pos="1415"/>
        </w:tabs>
        <w:spacing w:before="141" w:after="0" w:line="240" w:lineRule="auto"/>
        <w:ind w:left="1415" w:right="0" w:hanging="702"/>
        <w:jc w:val="left"/>
        <w:rPr>
          <w:sz w:val="28"/>
        </w:rPr>
      </w:pPr>
      <w:r>
        <w:rPr>
          <w:spacing w:val="-2"/>
          <w:sz w:val="28"/>
        </w:rPr>
        <w:t>已批准的监理规划</w:t>
      </w:r>
    </w:p>
    <w:p>
      <w:pPr>
        <w:pStyle w:val="ListParagraph"/>
        <w:numPr>
          <w:ilvl w:val="0"/>
          <w:numId w:val="21"/>
        </w:numPr>
        <w:tabs>
          <w:tab w:val="left" w:pos="1415"/>
        </w:tabs>
        <w:spacing w:before="141" w:after="0" w:line="240" w:lineRule="auto"/>
        <w:ind w:left="1415" w:right="0" w:hanging="702"/>
        <w:jc w:val="left"/>
        <w:rPr>
          <w:sz w:val="28"/>
        </w:rPr>
      </w:pPr>
      <w:r>
        <w:rPr>
          <w:spacing w:val="-1"/>
          <w:sz w:val="28"/>
        </w:rPr>
        <w:t>政府文件及有关技术规定</w:t>
      </w:r>
    </w:p>
    <w:p>
      <w:pPr>
        <w:pStyle w:val="Heading1"/>
        <w:spacing w:before="52"/>
        <w:rPr>
          <w:rFonts w:ascii="微软雅黑" w:eastAsia="微软雅黑"/>
        </w:rPr>
      </w:pPr>
      <w:bookmarkStart w:id="2" w:name="_TOC_250007"/>
      <w:bookmarkEnd w:id="2"/>
      <w:r>
        <w:rPr>
          <w:rFonts w:ascii="微软雅黑" w:eastAsia="微软雅黑"/>
          <w:spacing w:val="-2"/>
        </w:rPr>
        <w:t>三、测量监理内容</w:t>
      </w:r>
    </w:p>
    <w:p>
      <w:pPr>
        <w:spacing w:before="73" w:line="333" w:lineRule="auto"/>
        <w:ind w:left="293" w:right="404" w:firstLine="560"/>
        <w:jc w:val="both"/>
        <w:rPr>
          <w:sz w:val="28"/>
        </w:rPr>
      </w:pPr>
      <w:r>
        <w:rPr>
          <w:spacing w:val="-4"/>
          <w:sz w:val="28"/>
        </w:rPr>
        <w:t>主要包括建筑物的定位、轴线放样、标高复核、建筑物总高测量、建筑</w:t>
      </w:r>
      <w:r>
        <w:rPr>
          <w:spacing w:val="-4"/>
          <w:sz w:val="28"/>
        </w:rPr>
        <w:t>物的垂直度测量、建筑物沉降观测、钢结构的测量、机电安装的测量和管涵</w:t>
      </w:r>
      <w:r>
        <w:rPr>
          <w:spacing w:val="-2"/>
          <w:sz w:val="28"/>
        </w:rPr>
        <w:t>的改道设置结合规划道路的平面布置及竖向高程。</w:t>
      </w:r>
    </w:p>
    <w:p>
      <w:pPr>
        <w:pStyle w:val="Heading1"/>
        <w:spacing w:line="431" w:lineRule="exact"/>
        <w:rPr>
          <w:rFonts w:ascii="微软雅黑" w:eastAsia="微软雅黑"/>
        </w:rPr>
      </w:pPr>
      <w:bookmarkStart w:id="3" w:name="_TOC_250006"/>
      <w:bookmarkEnd w:id="3"/>
      <w:r>
        <w:rPr>
          <w:rFonts w:ascii="微软雅黑" w:eastAsia="微软雅黑"/>
          <w:spacing w:val="-1"/>
        </w:rPr>
        <w:t>四、施工准备阶段的测量控制</w:t>
      </w:r>
    </w:p>
    <w:p>
      <w:pPr>
        <w:spacing w:before="74"/>
        <w:ind w:left="853" w:right="0" w:firstLine="0"/>
        <w:jc w:val="left"/>
        <w:rPr>
          <w:sz w:val="28"/>
        </w:rPr>
      </w:pPr>
      <w:r>
        <w:rPr>
          <w:sz w:val="28"/>
        </w:rPr>
        <w:t>1</w:t>
      </w:r>
      <w:r>
        <w:rPr>
          <w:spacing w:val="-2"/>
          <w:sz w:val="28"/>
        </w:rPr>
        <w:t>、控制桩移交：</w:t>
      </w:r>
    </w:p>
    <w:p>
      <w:pPr>
        <w:spacing w:before="141" w:line="333" w:lineRule="auto"/>
        <w:ind w:left="293" w:right="404" w:firstLine="560"/>
        <w:jc w:val="both"/>
        <w:rPr>
          <w:sz w:val="28"/>
        </w:rPr>
      </w:pPr>
      <w:r>
        <w:rPr>
          <w:spacing w:val="-7"/>
          <w:sz w:val="28"/>
        </w:rPr>
        <w:t>对业主提供的控制桩进行复核并移交给承包单位，同时要求承包单位对</w:t>
      </w:r>
      <w:r>
        <w:rPr>
          <w:spacing w:val="-4"/>
          <w:sz w:val="28"/>
        </w:rPr>
        <w:t>控制桩进行复测，并对测量成果予以确认，履行交接手续。查检控制桩的保</w:t>
      </w:r>
      <w:r>
        <w:rPr>
          <w:spacing w:val="-12"/>
          <w:sz w:val="28"/>
        </w:rPr>
        <w:t>护措施是否落实到位，对无法长久保存的控制桩要求甲方联系有资质的专业</w:t>
      </w:r>
      <w:r>
        <w:rPr>
          <w:spacing w:val="-2"/>
          <w:sz w:val="28"/>
        </w:rPr>
        <w:t>测量队伍及时引测到安全、稳定、能长久保存的地方。</w:t>
      </w:r>
    </w:p>
    <w:p>
      <w:pPr>
        <w:spacing w:before="5"/>
        <w:ind w:left="853" w:right="0" w:firstLine="0"/>
        <w:jc w:val="left"/>
        <w:rPr>
          <w:sz w:val="28"/>
        </w:rPr>
      </w:pPr>
      <w:r>
        <w:rPr>
          <w:sz w:val="28"/>
        </w:rPr>
        <w:t>2</w:t>
      </w:r>
      <w:r>
        <w:rPr>
          <w:spacing w:val="-1"/>
          <w:sz w:val="28"/>
        </w:rPr>
        <w:t>、施工单位的测量人员、设备的控制：</w:t>
      </w:r>
    </w:p>
    <w:p>
      <w:pPr>
        <w:spacing w:before="141" w:line="333" w:lineRule="auto"/>
        <w:ind w:left="293" w:right="404" w:firstLine="610"/>
        <w:jc w:val="left"/>
        <w:rPr>
          <w:sz w:val="28"/>
        </w:rPr>
      </w:pPr>
      <w:r>
        <w:rPr>
          <w:spacing w:val="-2"/>
          <w:sz w:val="28"/>
        </w:rPr>
        <w:t>核查承包单位专职测量人员的资格和仪器设备是否与投标书相符；核</w:t>
      </w:r>
      <w:r>
        <w:rPr>
          <w:spacing w:val="-4"/>
          <w:sz w:val="28"/>
        </w:rPr>
        <w:t>查施工单位报送的测量仪器（全站仪、经纬仪、水准仪、垂准仪等）</w:t>
      </w:r>
      <w:r>
        <w:rPr>
          <w:spacing w:val="-7"/>
          <w:sz w:val="28"/>
        </w:rPr>
        <w:t>和配套</w:t>
      </w:r>
    </w:p>
    <w:p>
      <w:pPr>
        <w:spacing w:after="0" w:line="333" w:lineRule="auto"/>
        <w:jc w:val="left"/>
        <w:rPr>
          <w:sz w:val="28"/>
        </w:rPr>
        <w:sectPr>
          <w:footerReference w:type="default" r:id="rId4"/>
          <w:pgSz w:w="11910" w:h="16840"/>
          <w:pgMar w:top="1300" w:right="880" w:bottom="1120" w:left="1180" w:header="0" w:footer="927"/>
          <w:pgNumType w:start="1"/>
          <w:cols w:space="708"/>
        </w:sectPr>
      </w:pPr>
    </w:p>
    <w:p>
      <w:pPr>
        <w:spacing w:before="49" w:line="333" w:lineRule="auto"/>
        <w:ind w:left="293" w:right="264" w:firstLine="0"/>
        <w:jc w:val="left"/>
        <w:rPr>
          <w:sz w:val="28"/>
        </w:rPr>
      </w:pPr>
      <w:r>
        <w:rPr>
          <w:spacing w:val="-2"/>
          <w:sz w:val="28"/>
        </w:rPr>
        <w:t>设备（钢卷尺、水准尺、棱镜支架等）的检定证书是否符合相关规定要求，</w:t>
      </w:r>
      <w:r>
        <w:rPr>
          <w:spacing w:val="-7"/>
          <w:sz w:val="28"/>
        </w:rPr>
        <w:t>主要测量仪器的精度和使用状态是否满足施工需要，对于不能满足工程施工</w:t>
      </w:r>
      <w:r>
        <w:rPr>
          <w:spacing w:val="-19"/>
          <w:sz w:val="28"/>
        </w:rPr>
        <w:t>要求的人员及测量仪器，限期予以撤换，其使用的仪器按行业规定按时检查，</w:t>
      </w:r>
      <w:r>
        <w:rPr>
          <w:spacing w:val="-2"/>
          <w:sz w:val="28"/>
        </w:rPr>
        <w:t>对精度不符合要求的仪器，有权制止使用。</w:t>
      </w:r>
    </w:p>
    <w:p>
      <w:pPr>
        <w:spacing w:before="5"/>
        <w:ind w:left="853" w:right="0" w:firstLine="0"/>
        <w:jc w:val="left"/>
        <w:rPr>
          <w:sz w:val="28"/>
        </w:rPr>
      </w:pPr>
      <w:r>
        <w:rPr>
          <w:sz w:val="28"/>
        </w:rPr>
        <w:t>3</w:t>
      </w:r>
      <w:r>
        <w:rPr>
          <w:spacing w:val="-1"/>
          <w:sz w:val="28"/>
        </w:rPr>
        <w:t>、施工单位测量工作质量保证措施的控制：</w:t>
      </w:r>
    </w:p>
    <w:p>
      <w:pPr>
        <w:spacing w:before="141" w:line="333" w:lineRule="auto"/>
        <w:ind w:left="293" w:right="264" w:firstLine="560"/>
        <w:jc w:val="left"/>
        <w:rPr>
          <w:sz w:val="28"/>
        </w:rPr>
      </w:pPr>
      <w:r>
        <w:rPr>
          <w:spacing w:val="-12"/>
          <w:sz w:val="28"/>
        </w:rPr>
        <w:t>检查施工单位测量工作质量保证体系是否完备，测量工作的自检、互检、</w:t>
      </w:r>
      <w:r>
        <w:rPr>
          <w:spacing w:val="-2"/>
          <w:sz w:val="28"/>
        </w:rPr>
        <w:t>复检三级检查制度是否落实到人。</w:t>
      </w:r>
    </w:p>
    <w:p>
      <w:pPr>
        <w:spacing w:before="3"/>
        <w:ind w:left="853" w:right="0" w:firstLine="0"/>
        <w:jc w:val="left"/>
        <w:rPr>
          <w:sz w:val="28"/>
        </w:rPr>
      </w:pPr>
      <w:r>
        <w:rPr>
          <w:sz w:val="28"/>
        </w:rPr>
        <w:t>4</w:t>
      </w:r>
      <w:r>
        <w:rPr>
          <w:spacing w:val="-1"/>
          <w:sz w:val="28"/>
        </w:rPr>
        <w:t>、施工单位测量方案的审查：</w:t>
      </w:r>
    </w:p>
    <w:p>
      <w:pPr>
        <w:spacing w:before="141" w:line="333" w:lineRule="auto"/>
        <w:ind w:left="293" w:right="264" w:firstLine="560"/>
        <w:jc w:val="both"/>
        <w:rPr>
          <w:sz w:val="28"/>
        </w:rPr>
      </w:pPr>
      <w:r>
        <w:rPr>
          <w:spacing w:val="-2"/>
          <w:sz w:val="28"/>
        </w:rPr>
        <w:t>要求施工单位根据工程特点、规模、难易程度，分别编制桩基、地下室</w:t>
      </w:r>
      <w:r>
        <w:rPr>
          <w:spacing w:val="-2"/>
          <w:sz w:val="28"/>
        </w:rPr>
        <w:t>施工、主体施工、基坑支护变形观测、主体建筑沉降观测专项测量方案，并</w:t>
      </w:r>
      <w:r>
        <w:rPr>
          <w:spacing w:val="-2"/>
          <w:sz w:val="28"/>
        </w:rPr>
        <w:t>报监理单位审查，审查时测量监理工程师要注意测量方案中的测量方式、方</w:t>
      </w:r>
      <w:r>
        <w:rPr>
          <w:spacing w:val="-15"/>
          <w:sz w:val="28"/>
        </w:rPr>
        <w:t>法是否设计及相关规范的要求；实际操作的可行性；测量保证措施的可靠性。</w:t>
      </w:r>
    </w:p>
    <w:p>
      <w:pPr>
        <w:spacing w:before="6"/>
        <w:ind w:left="853" w:right="0" w:firstLine="0"/>
        <w:jc w:val="left"/>
        <w:rPr>
          <w:sz w:val="28"/>
        </w:rPr>
      </w:pPr>
      <w:r>
        <w:rPr>
          <w:sz w:val="28"/>
        </w:rPr>
        <w:t>5</w:t>
      </w:r>
      <w:r>
        <w:rPr>
          <w:spacing w:val="-1"/>
          <w:sz w:val="28"/>
        </w:rPr>
        <w:t>、加密控制网及成果的审查：</w:t>
      </w:r>
    </w:p>
    <w:p>
      <w:pPr>
        <w:spacing w:before="141" w:line="333" w:lineRule="auto"/>
        <w:ind w:left="293" w:right="265" w:firstLine="560"/>
        <w:jc w:val="left"/>
        <w:rPr>
          <w:sz w:val="28"/>
        </w:rPr>
      </w:pPr>
      <w:r>
        <w:rPr>
          <w:spacing w:val="-2"/>
          <w:sz w:val="28"/>
        </w:rPr>
        <w:t>要求施工单位在施工准备阶段就布设覆盖整个工程范围的加密控制网，</w:t>
      </w:r>
      <w:r>
        <w:rPr>
          <w:spacing w:val="-6"/>
          <w:sz w:val="28"/>
        </w:rPr>
        <w:t>测量监理工程师要对施工单位加密控制网的测量记录资料、成果计算表进行</w:t>
      </w:r>
      <w:r>
        <w:rPr>
          <w:spacing w:val="9"/>
          <w:sz w:val="28"/>
        </w:rPr>
        <w:t>审查， 并实际复核测量， 确保加密控制网成果符合《工程测量规范》</w:t>
      </w:r>
    </w:p>
    <w:p>
      <w:pPr>
        <w:spacing w:before="4"/>
        <w:ind w:left="293" w:right="0" w:firstLine="0"/>
        <w:jc w:val="left"/>
        <w:rPr>
          <w:sz w:val="28"/>
        </w:rPr>
      </w:pPr>
      <w:r>
        <w:rPr>
          <w:sz w:val="28"/>
        </w:rPr>
        <w:t>〔GB50026--2007</w:t>
      </w:r>
      <w:r>
        <w:rPr>
          <w:spacing w:val="-2"/>
          <w:sz w:val="28"/>
        </w:rPr>
        <w:t>〕及设计要求。</w:t>
      </w:r>
    </w:p>
    <w:p>
      <w:pPr>
        <w:pStyle w:val="Heading1"/>
        <w:spacing w:before="49"/>
      </w:pPr>
      <w:r>
        <w:pict>
          <v:shapetype id="_x0000_t202" coordsize="21600,21600" o:spt="202" path="m,l,21600r21600,l21600,xe">
            <v:stroke joinstyle="miter"/>
            <v:path gradientshapeok="t" o:connecttype="rect"/>
          </v:shapetype>
          <v:shape id="_x0000_s1026" type="#_x0000_t202" style="width:437.9pt;height:249.15pt;margin-top:26.07pt;margin-left:68.05pt;mso-position-horizontal-relative:page;position:absolute;z-index:251659264" filled="f" stroked="f">
            <v:textbox inset="0,0,0,0">
              <w:txbxContent>
                <w:tbl>
                  <w:tblPr>
                    <w:tblStyle w:val="TableNormal0"/>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5"/>
                    <w:gridCol w:w="1723"/>
                    <w:gridCol w:w="1440"/>
                    <w:gridCol w:w="612"/>
                    <w:gridCol w:w="2160"/>
                    <w:gridCol w:w="2088"/>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725" w:type="dxa"/>
                      </w:tcPr>
                      <w:p>
                        <w:pPr>
                          <w:pStyle w:val="TableParagraph"/>
                          <w:spacing w:before="179"/>
                          <w:ind w:left="137" w:right="127"/>
                          <w:jc w:val="center"/>
                          <w:rPr>
                            <w:sz w:val="21"/>
                          </w:rPr>
                        </w:pPr>
                        <w:r>
                          <w:rPr>
                            <w:spacing w:val="-5"/>
                            <w:sz w:val="21"/>
                          </w:rPr>
                          <w:t>序号</w:t>
                        </w:r>
                      </w:p>
                    </w:tc>
                    <w:tc>
                      <w:tcPr>
                        <w:tcW w:w="1723" w:type="dxa"/>
                      </w:tcPr>
                      <w:p>
                        <w:pPr>
                          <w:pStyle w:val="TableParagraph"/>
                          <w:spacing w:before="179"/>
                          <w:ind w:left="113" w:right="103"/>
                          <w:jc w:val="center"/>
                          <w:rPr>
                            <w:sz w:val="21"/>
                          </w:rPr>
                        </w:pPr>
                        <w:r>
                          <w:rPr>
                            <w:spacing w:val="-3"/>
                            <w:sz w:val="21"/>
                          </w:rPr>
                          <w:t>设备名称</w:t>
                        </w:r>
                      </w:p>
                    </w:tc>
                    <w:tc>
                      <w:tcPr>
                        <w:tcW w:w="1440" w:type="dxa"/>
                      </w:tcPr>
                      <w:p>
                        <w:pPr>
                          <w:pStyle w:val="TableParagraph"/>
                          <w:spacing w:before="179"/>
                          <w:ind w:left="131" w:right="121"/>
                          <w:jc w:val="center"/>
                          <w:rPr>
                            <w:sz w:val="21"/>
                          </w:rPr>
                        </w:pPr>
                        <w:r>
                          <w:rPr>
                            <w:spacing w:val="-3"/>
                            <w:sz w:val="21"/>
                          </w:rPr>
                          <w:t>规格型号</w:t>
                        </w:r>
                      </w:p>
                    </w:tc>
                    <w:tc>
                      <w:tcPr>
                        <w:tcW w:w="612" w:type="dxa"/>
                      </w:tcPr>
                      <w:p>
                        <w:pPr>
                          <w:pStyle w:val="TableParagraph"/>
                          <w:spacing w:before="23"/>
                          <w:ind w:left="200"/>
                          <w:rPr>
                            <w:sz w:val="21"/>
                          </w:rPr>
                        </w:pPr>
                        <w:r>
                          <w:rPr>
                            <w:sz w:val="21"/>
                          </w:rPr>
                          <w:t>数</w:t>
                        </w:r>
                      </w:p>
                      <w:p>
                        <w:pPr>
                          <w:pStyle w:val="TableParagraph"/>
                          <w:spacing w:before="43"/>
                          <w:ind w:left="200"/>
                          <w:rPr>
                            <w:sz w:val="21"/>
                          </w:rPr>
                        </w:pPr>
                        <w:r>
                          <w:rPr>
                            <w:sz w:val="21"/>
                          </w:rPr>
                          <w:t>量</w:t>
                        </w:r>
                      </w:p>
                    </w:tc>
                    <w:tc>
                      <w:tcPr>
                        <w:tcW w:w="2160" w:type="dxa"/>
                      </w:tcPr>
                      <w:p>
                        <w:pPr>
                          <w:pStyle w:val="TableParagraph"/>
                          <w:spacing w:before="179"/>
                          <w:ind w:left="124" w:right="114"/>
                          <w:jc w:val="center"/>
                          <w:rPr>
                            <w:sz w:val="21"/>
                          </w:rPr>
                        </w:pPr>
                        <w:r>
                          <w:rPr>
                            <w:spacing w:val="-2"/>
                            <w:sz w:val="21"/>
                          </w:rPr>
                          <w:t>进退场时间</w:t>
                        </w:r>
                      </w:p>
                    </w:tc>
                    <w:tc>
                      <w:tcPr>
                        <w:tcW w:w="2088" w:type="dxa"/>
                      </w:tcPr>
                      <w:p>
                        <w:pPr>
                          <w:pStyle w:val="TableParagraph"/>
                          <w:spacing w:before="179"/>
                          <w:ind w:left="190" w:right="181"/>
                          <w:jc w:val="center"/>
                          <w:rPr>
                            <w:sz w:val="21"/>
                          </w:rPr>
                        </w:pPr>
                        <w:r>
                          <w:rPr>
                            <w:spacing w:val="-5"/>
                            <w:sz w:val="21"/>
                          </w:rPr>
                          <w:t>备注</w:t>
                        </w:r>
                      </w:p>
                    </w:tc>
                  </w:tr>
                  <w:tr>
                    <w:tblPrEx>
                      <w:tblW w:w="0" w:type="auto"/>
                      <w:jc w:val="left"/>
                      <w:tblInd w:w="5" w:type="dxa"/>
                      <w:tblLayout w:type="fixed"/>
                      <w:tblCellMar>
                        <w:top w:w="0" w:type="dxa"/>
                        <w:left w:w="0" w:type="dxa"/>
                        <w:bottom w:w="0" w:type="dxa"/>
                        <w:right w:w="0" w:type="dxa"/>
                      </w:tblCellMar>
                      <w:tblLook w:val="01E0"/>
                    </w:tblPrEx>
                    <w:trPr>
                      <w:trHeight w:val="624"/>
                      <w:jc w:val="left"/>
                    </w:trPr>
                    <w:tc>
                      <w:tcPr>
                        <w:tcW w:w="725" w:type="dxa"/>
                      </w:tcPr>
                      <w:p>
                        <w:pPr>
                          <w:pStyle w:val="TableParagraph"/>
                          <w:spacing w:before="179"/>
                          <w:ind w:left="10"/>
                          <w:jc w:val="center"/>
                          <w:rPr>
                            <w:sz w:val="21"/>
                          </w:rPr>
                        </w:pPr>
                        <w:r>
                          <w:rPr>
                            <w:sz w:val="21"/>
                          </w:rPr>
                          <w:t>1</w:t>
                        </w:r>
                      </w:p>
                    </w:tc>
                    <w:tc>
                      <w:tcPr>
                        <w:tcW w:w="1723" w:type="dxa"/>
                      </w:tcPr>
                      <w:p>
                        <w:pPr>
                          <w:pStyle w:val="TableParagraph"/>
                          <w:spacing w:before="179"/>
                          <w:ind w:left="113" w:right="103"/>
                          <w:jc w:val="center"/>
                          <w:rPr>
                            <w:sz w:val="21"/>
                          </w:rPr>
                        </w:pPr>
                        <w:r>
                          <w:rPr>
                            <w:spacing w:val="-4"/>
                            <w:sz w:val="21"/>
                          </w:rPr>
                          <w:t>全站仪</w:t>
                        </w:r>
                      </w:p>
                    </w:tc>
                    <w:tc>
                      <w:tcPr>
                        <w:tcW w:w="1440" w:type="dxa"/>
                      </w:tcPr>
                      <w:p>
                        <w:pPr>
                          <w:pStyle w:val="TableParagraph"/>
                          <w:spacing w:before="4"/>
                          <w:ind w:left="72" w:right="121"/>
                          <w:jc w:val="center"/>
                          <w:rPr>
                            <w:sz w:val="24"/>
                          </w:rPr>
                        </w:pPr>
                        <w:r>
                          <w:rPr>
                            <w:spacing w:val="-5"/>
                            <w:sz w:val="24"/>
                          </w:rPr>
                          <w:t>三鼎</w:t>
                        </w:r>
                      </w:p>
                      <w:p>
                        <w:pPr>
                          <w:pStyle w:val="TableParagraph"/>
                          <w:spacing w:before="4" w:line="288" w:lineRule="exact"/>
                          <w:ind w:left="131" w:right="121"/>
                          <w:jc w:val="center"/>
                          <w:rPr>
                            <w:sz w:val="24"/>
                          </w:rPr>
                        </w:pPr>
                        <w:r>
                          <w:rPr>
                            <w:sz w:val="24"/>
                          </w:rPr>
                          <w:t>STS-</w:t>
                        </w:r>
                        <w:r>
                          <w:rPr>
                            <w:spacing w:val="-4"/>
                            <w:sz w:val="24"/>
                          </w:rPr>
                          <w:t>752R</w:t>
                        </w:r>
                      </w:p>
                    </w:tc>
                    <w:tc>
                      <w:tcPr>
                        <w:tcW w:w="612" w:type="dxa"/>
                      </w:tcPr>
                      <w:p>
                        <w:pPr>
                          <w:pStyle w:val="TableParagraph"/>
                          <w:spacing w:before="179"/>
                          <w:ind w:left="9"/>
                          <w:jc w:val="center"/>
                          <w:rPr>
                            <w:sz w:val="21"/>
                          </w:rPr>
                        </w:pPr>
                        <w:r>
                          <w:rPr>
                            <w:sz w:val="21"/>
                          </w:rPr>
                          <w:t>1</w:t>
                        </w:r>
                      </w:p>
                    </w:tc>
                    <w:tc>
                      <w:tcPr>
                        <w:tcW w:w="2160" w:type="dxa"/>
                      </w:tcPr>
                      <w:p>
                        <w:pPr>
                          <w:pStyle w:val="TableParagraph"/>
                          <w:spacing w:before="179"/>
                          <w:ind w:left="124" w:right="114"/>
                          <w:jc w:val="center"/>
                          <w:rPr>
                            <w:sz w:val="21"/>
                          </w:rPr>
                        </w:pPr>
                        <w:r>
                          <w:rPr>
                            <w:spacing w:val="-2"/>
                            <w:sz w:val="21"/>
                          </w:rPr>
                          <w:t>施工阶段至竣工验收</w:t>
                        </w:r>
                      </w:p>
                    </w:tc>
                    <w:tc>
                      <w:tcPr>
                        <w:tcW w:w="2088" w:type="dxa"/>
                      </w:tcPr>
                      <w:p>
                        <w:pPr>
                          <w:pStyle w:val="TableParagraph"/>
                          <w:spacing w:before="160"/>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4"/>
                      <w:jc w:val="left"/>
                    </w:trPr>
                    <w:tc>
                      <w:tcPr>
                        <w:tcW w:w="725" w:type="dxa"/>
                      </w:tcPr>
                      <w:p>
                        <w:pPr>
                          <w:pStyle w:val="TableParagraph"/>
                          <w:spacing w:before="94"/>
                          <w:ind w:left="10"/>
                          <w:jc w:val="center"/>
                          <w:rPr>
                            <w:sz w:val="21"/>
                          </w:rPr>
                        </w:pPr>
                        <w:r>
                          <w:rPr>
                            <w:sz w:val="21"/>
                          </w:rPr>
                          <w:t>2</w:t>
                        </w:r>
                      </w:p>
                    </w:tc>
                    <w:tc>
                      <w:tcPr>
                        <w:tcW w:w="1723" w:type="dxa"/>
                      </w:tcPr>
                      <w:p>
                        <w:pPr>
                          <w:pStyle w:val="TableParagraph"/>
                          <w:spacing w:before="94"/>
                          <w:ind w:left="113" w:right="103"/>
                          <w:jc w:val="center"/>
                          <w:rPr>
                            <w:sz w:val="21"/>
                          </w:rPr>
                        </w:pPr>
                        <w:r>
                          <w:rPr>
                            <w:spacing w:val="-3"/>
                            <w:sz w:val="21"/>
                          </w:rPr>
                          <w:t>基座棱镜</w:t>
                        </w:r>
                      </w:p>
                    </w:tc>
                    <w:tc>
                      <w:tcPr>
                        <w:tcW w:w="1440" w:type="dxa"/>
                      </w:tcPr>
                      <w:p>
                        <w:pPr>
                          <w:pStyle w:val="TableParagraph"/>
                          <w:spacing w:before="75"/>
                          <w:ind w:left="131" w:right="121"/>
                          <w:jc w:val="center"/>
                          <w:rPr>
                            <w:sz w:val="24"/>
                          </w:rPr>
                        </w:pPr>
                        <w:r>
                          <w:rPr>
                            <w:spacing w:val="-4"/>
                            <w:sz w:val="24"/>
                          </w:rPr>
                          <w:t>六棱镜</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3</w:t>
                        </w:r>
                      </w:p>
                    </w:tc>
                    <w:tc>
                      <w:tcPr>
                        <w:tcW w:w="1723" w:type="dxa"/>
                      </w:tcPr>
                      <w:p>
                        <w:pPr>
                          <w:pStyle w:val="TableParagraph"/>
                          <w:spacing w:before="94"/>
                          <w:ind w:left="113" w:right="103"/>
                          <w:jc w:val="center"/>
                          <w:rPr>
                            <w:sz w:val="21"/>
                          </w:rPr>
                        </w:pPr>
                        <w:r>
                          <w:rPr>
                            <w:spacing w:val="-3"/>
                            <w:sz w:val="21"/>
                          </w:rPr>
                          <w:t>砼回弹仪</w:t>
                        </w:r>
                      </w:p>
                    </w:tc>
                    <w:tc>
                      <w:tcPr>
                        <w:tcW w:w="1440" w:type="dxa"/>
                      </w:tcPr>
                      <w:p>
                        <w:pPr>
                          <w:pStyle w:val="TableParagraph"/>
                          <w:spacing w:before="94"/>
                          <w:ind w:left="131" w:right="121"/>
                          <w:jc w:val="center"/>
                          <w:rPr>
                            <w:sz w:val="21"/>
                          </w:rPr>
                        </w:pPr>
                        <w:r>
                          <w:rPr>
                            <w:spacing w:val="-5"/>
                            <w:sz w:val="21"/>
                          </w:rPr>
                          <w:t>ZC3</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4</w:t>
                        </w:r>
                      </w:p>
                    </w:tc>
                    <w:tc>
                      <w:tcPr>
                        <w:tcW w:w="1723" w:type="dxa"/>
                      </w:tcPr>
                      <w:p>
                        <w:pPr>
                          <w:pStyle w:val="TableParagraph"/>
                          <w:spacing w:before="94"/>
                          <w:ind w:left="113" w:right="103"/>
                          <w:jc w:val="center"/>
                          <w:rPr>
                            <w:sz w:val="21"/>
                          </w:rPr>
                        </w:pPr>
                        <w:r>
                          <w:rPr>
                            <w:spacing w:val="-3"/>
                            <w:sz w:val="21"/>
                          </w:rPr>
                          <w:t>游标卡尺</w:t>
                        </w:r>
                      </w:p>
                    </w:tc>
                    <w:tc>
                      <w:tcPr>
                        <w:tcW w:w="1440" w:type="dxa"/>
                      </w:tcPr>
                      <w:p>
                        <w:pPr>
                          <w:pStyle w:val="TableParagraph"/>
                          <w:spacing w:before="94"/>
                          <w:ind w:left="131" w:right="121"/>
                          <w:jc w:val="center"/>
                          <w:rPr>
                            <w:sz w:val="21"/>
                          </w:rPr>
                        </w:pPr>
                        <w:r>
                          <w:rPr>
                            <w:spacing w:val="-2"/>
                            <w:sz w:val="21"/>
                          </w:rPr>
                          <w:t>（0~150mm）</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5</w:t>
                        </w:r>
                      </w:p>
                    </w:tc>
                    <w:tc>
                      <w:tcPr>
                        <w:tcW w:w="1723" w:type="dxa"/>
                      </w:tcPr>
                      <w:p>
                        <w:pPr>
                          <w:pStyle w:val="TableParagraph"/>
                          <w:spacing w:before="94"/>
                          <w:ind w:left="113" w:right="103"/>
                          <w:jc w:val="center"/>
                          <w:rPr>
                            <w:sz w:val="21"/>
                          </w:rPr>
                        </w:pPr>
                        <w:r>
                          <w:rPr>
                            <w:spacing w:val="-4"/>
                            <w:sz w:val="21"/>
                          </w:rPr>
                          <w:t>钢卷尺</w:t>
                        </w:r>
                      </w:p>
                    </w:tc>
                    <w:tc>
                      <w:tcPr>
                        <w:tcW w:w="1440" w:type="dxa"/>
                      </w:tcPr>
                      <w:p>
                        <w:pPr>
                          <w:pStyle w:val="TableParagraph"/>
                          <w:spacing w:before="94"/>
                          <w:ind w:left="131" w:right="121"/>
                          <w:jc w:val="center"/>
                          <w:rPr>
                            <w:sz w:val="21"/>
                          </w:rPr>
                        </w:pPr>
                        <w:r>
                          <w:rPr>
                            <w:spacing w:val="-5"/>
                            <w:sz w:val="21"/>
                          </w:rPr>
                          <w:t>50m</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6</w:t>
                        </w:r>
                      </w:p>
                    </w:tc>
                    <w:tc>
                      <w:tcPr>
                        <w:tcW w:w="1723" w:type="dxa"/>
                      </w:tcPr>
                      <w:p>
                        <w:pPr>
                          <w:pStyle w:val="TableParagraph"/>
                          <w:spacing w:before="94"/>
                          <w:ind w:left="113" w:right="103"/>
                          <w:jc w:val="center"/>
                          <w:rPr>
                            <w:sz w:val="21"/>
                          </w:rPr>
                        </w:pPr>
                        <w:r>
                          <w:rPr>
                            <w:spacing w:val="-4"/>
                            <w:sz w:val="21"/>
                          </w:rPr>
                          <w:t>比重计</w:t>
                        </w:r>
                      </w:p>
                    </w:tc>
                    <w:tc>
                      <w:tcPr>
                        <w:tcW w:w="1440" w:type="dxa"/>
                      </w:tcPr>
                      <w:p>
                        <w:pPr>
                          <w:pStyle w:val="TableParagraph"/>
                          <w:spacing w:before="94"/>
                          <w:ind w:left="131" w:right="121"/>
                          <w:jc w:val="center"/>
                          <w:rPr>
                            <w:sz w:val="21"/>
                          </w:rPr>
                        </w:pPr>
                        <w:r>
                          <w:rPr>
                            <w:spacing w:val="-2"/>
                            <w:sz w:val="21"/>
                          </w:rPr>
                          <w:t>1.0~2.0</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7</w:t>
                        </w:r>
                      </w:p>
                    </w:tc>
                    <w:tc>
                      <w:tcPr>
                        <w:tcW w:w="1723" w:type="dxa"/>
                      </w:tcPr>
                      <w:p>
                        <w:pPr>
                          <w:pStyle w:val="TableParagraph"/>
                          <w:spacing w:before="94"/>
                          <w:ind w:left="113" w:right="103"/>
                          <w:jc w:val="center"/>
                          <w:rPr>
                            <w:sz w:val="21"/>
                          </w:rPr>
                        </w:pPr>
                        <w:r>
                          <w:rPr>
                            <w:spacing w:val="-2"/>
                            <w:sz w:val="21"/>
                          </w:rPr>
                          <w:t>温度测试仪</w:t>
                        </w:r>
                      </w:p>
                    </w:tc>
                    <w:tc>
                      <w:tcPr>
                        <w:tcW w:w="1440" w:type="dxa"/>
                      </w:tcPr>
                      <w:p>
                        <w:pPr>
                          <w:pStyle w:val="TableParagraph"/>
                          <w:spacing w:before="94"/>
                          <w:ind w:left="131" w:right="121"/>
                          <w:jc w:val="center"/>
                          <w:rPr>
                            <w:sz w:val="21"/>
                          </w:rPr>
                        </w:pPr>
                        <w:r>
                          <w:rPr>
                            <w:spacing w:val="-2"/>
                            <w:sz w:val="21"/>
                          </w:rPr>
                          <w:t>FLUKE50s</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8</w:t>
                        </w:r>
                      </w:p>
                    </w:tc>
                    <w:tc>
                      <w:tcPr>
                        <w:tcW w:w="1723" w:type="dxa"/>
                      </w:tcPr>
                      <w:p>
                        <w:pPr>
                          <w:pStyle w:val="TableParagraph"/>
                          <w:spacing w:before="94"/>
                          <w:ind w:left="113" w:right="103"/>
                          <w:jc w:val="center"/>
                          <w:rPr>
                            <w:sz w:val="21"/>
                          </w:rPr>
                        </w:pPr>
                        <w:r>
                          <w:rPr>
                            <w:spacing w:val="-2"/>
                            <w:sz w:val="21"/>
                          </w:rPr>
                          <w:t>接地电阻仪</w:t>
                        </w:r>
                      </w:p>
                    </w:tc>
                    <w:tc>
                      <w:tcPr>
                        <w:tcW w:w="1440" w:type="dxa"/>
                      </w:tcPr>
                      <w:p>
                        <w:pPr>
                          <w:pStyle w:val="TableParagraph"/>
                          <w:spacing w:before="94"/>
                          <w:ind w:left="131" w:right="121"/>
                          <w:jc w:val="center"/>
                          <w:rPr>
                            <w:sz w:val="21"/>
                          </w:rPr>
                        </w:pPr>
                        <w:r>
                          <w:rPr>
                            <w:sz w:val="21"/>
                          </w:rPr>
                          <w:t>ZC29B-</w:t>
                        </w:r>
                        <w:r>
                          <w:rPr>
                            <w:spacing w:val="-10"/>
                            <w:sz w:val="21"/>
                          </w:rPr>
                          <w:t>2</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r>
                    <w:tblPrEx>
                      <w:tblW w:w="0" w:type="auto"/>
                      <w:jc w:val="left"/>
                      <w:tblInd w:w="5"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0"/>
                          <w:jc w:val="center"/>
                          <w:rPr>
                            <w:sz w:val="21"/>
                          </w:rPr>
                        </w:pPr>
                        <w:r>
                          <w:rPr>
                            <w:sz w:val="21"/>
                          </w:rPr>
                          <w:t>9</w:t>
                        </w:r>
                      </w:p>
                    </w:tc>
                    <w:tc>
                      <w:tcPr>
                        <w:tcW w:w="1723" w:type="dxa"/>
                      </w:tcPr>
                      <w:p>
                        <w:pPr>
                          <w:pStyle w:val="TableParagraph"/>
                          <w:spacing w:before="94"/>
                          <w:ind w:left="113" w:right="103"/>
                          <w:jc w:val="center"/>
                          <w:rPr>
                            <w:sz w:val="21"/>
                          </w:rPr>
                        </w:pPr>
                        <w:r>
                          <w:rPr>
                            <w:spacing w:val="-4"/>
                            <w:sz w:val="21"/>
                          </w:rPr>
                          <w:t>万用表</w:t>
                        </w:r>
                      </w:p>
                    </w:tc>
                    <w:tc>
                      <w:tcPr>
                        <w:tcW w:w="1440" w:type="dxa"/>
                      </w:tcPr>
                      <w:p>
                        <w:pPr>
                          <w:pStyle w:val="TableParagraph"/>
                          <w:spacing w:before="94"/>
                          <w:ind w:left="131" w:right="121"/>
                          <w:jc w:val="center"/>
                          <w:rPr>
                            <w:sz w:val="21"/>
                          </w:rPr>
                        </w:pPr>
                        <w:r>
                          <w:rPr>
                            <w:spacing w:val="-2"/>
                            <w:sz w:val="21"/>
                          </w:rPr>
                          <w:t>VC9807</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left="124" w:right="114"/>
                          <w:jc w:val="center"/>
                          <w:rPr>
                            <w:sz w:val="21"/>
                          </w:rPr>
                        </w:pPr>
                        <w:r>
                          <w:rPr>
                            <w:spacing w:val="-2"/>
                            <w:sz w:val="21"/>
                          </w:rPr>
                          <w:t>施工阶段至竣工验收</w:t>
                        </w:r>
                      </w:p>
                    </w:tc>
                    <w:tc>
                      <w:tcPr>
                        <w:tcW w:w="2088" w:type="dxa"/>
                      </w:tcPr>
                      <w:p>
                        <w:pPr>
                          <w:pStyle w:val="TableParagraph"/>
                          <w:spacing w:before="75"/>
                          <w:ind w:left="191" w:right="181"/>
                          <w:jc w:val="center"/>
                          <w:rPr>
                            <w:sz w:val="24"/>
                          </w:rPr>
                        </w:pPr>
                        <w:r>
                          <w:rPr>
                            <w:spacing w:val="-2"/>
                            <w:sz w:val="24"/>
                          </w:rPr>
                          <w:t>已检测标定合格</w:t>
                        </w:r>
                      </w:p>
                    </w:tc>
                  </w:tr>
                </w:tbl>
                <w:p>
                  <w:pPr>
                    <w:pStyle w:val="BodyText"/>
                  </w:pPr>
                </w:p>
              </w:txbxContent>
            </v:textbox>
          </v:shape>
        </w:pict>
      </w:r>
      <w:bookmarkStart w:id="4" w:name="_TOC_250005"/>
      <w:bookmarkEnd w:id="4"/>
      <w:r>
        <w:rPr>
          <w:spacing w:val="-1"/>
        </w:rPr>
        <w:t>五、监理部测量工具一览表</w:t>
      </w:r>
    </w:p>
    <w:p>
      <w:pPr>
        <w:spacing w:after="0"/>
        <w:sectPr>
          <w:footerReference w:type="default" r:id="rId5"/>
          <w:pgSz w:w="11910" w:h="16840"/>
          <w:pgMar w:top="1300" w:right="880" w:bottom="1180" w:left="1180" w:header="0" w:footer="927"/>
          <w:pgNumType w:start="2"/>
          <w:cols w:space="708"/>
        </w:sectPr>
      </w:pPr>
    </w:p>
    <w:p>
      <w:pPr>
        <w:pStyle w:val="BodyText"/>
        <w:rPr>
          <w:rFonts w:ascii="Microsoft JhengHei"/>
          <w:b/>
          <w:sz w:val="2"/>
        </w:rPr>
      </w:pPr>
    </w:p>
    <w:tbl>
      <w:tblPr>
        <w:tblStyle w:val="TableNormal1"/>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5"/>
        <w:gridCol w:w="1723"/>
        <w:gridCol w:w="1440"/>
        <w:gridCol w:w="612"/>
        <w:gridCol w:w="2160"/>
        <w:gridCol w:w="2088"/>
      </w:tblGrid>
      <w:tr>
        <w:tblPrEx>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54"/>
          <w:jc w:val="left"/>
        </w:trPr>
        <w:tc>
          <w:tcPr>
            <w:tcW w:w="725" w:type="dxa"/>
          </w:tcPr>
          <w:p>
            <w:pPr>
              <w:pStyle w:val="TableParagraph"/>
              <w:spacing w:before="94"/>
              <w:ind w:left="137" w:right="127"/>
              <w:jc w:val="center"/>
              <w:rPr>
                <w:sz w:val="21"/>
              </w:rPr>
            </w:pPr>
            <w:r>
              <w:rPr>
                <w:spacing w:val="-5"/>
                <w:sz w:val="21"/>
              </w:rPr>
              <w:t>10</w:t>
            </w:r>
          </w:p>
        </w:tc>
        <w:tc>
          <w:tcPr>
            <w:tcW w:w="1723" w:type="dxa"/>
          </w:tcPr>
          <w:p>
            <w:pPr>
              <w:pStyle w:val="TableParagraph"/>
              <w:spacing w:before="94"/>
              <w:ind w:left="112" w:right="103"/>
              <w:jc w:val="center"/>
              <w:rPr>
                <w:sz w:val="21"/>
              </w:rPr>
            </w:pPr>
            <w:r>
              <w:rPr>
                <w:spacing w:val="-5"/>
                <w:sz w:val="21"/>
              </w:rPr>
              <w:t>摇表</w:t>
            </w:r>
          </w:p>
        </w:tc>
        <w:tc>
          <w:tcPr>
            <w:tcW w:w="1440" w:type="dxa"/>
          </w:tcPr>
          <w:p>
            <w:pPr>
              <w:pStyle w:val="TableParagraph"/>
              <w:spacing w:before="94"/>
              <w:ind w:left="131" w:right="121"/>
              <w:jc w:val="center"/>
              <w:rPr>
                <w:sz w:val="21"/>
              </w:rPr>
            </w:pPr>
            <w:r>
              <w:rPr>
                <w:spacing w:val="-4"/>
                <w:sz w:val="21"/>
              </w:rPr>
              <w:t>ZC25</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right="124"/>
              <w:jc w:val="right"/>
              <w:rPr>
                <w:sz w:val="21"/>
              </w:rPr>
            </w:pPr>
            <w:r>
              <w:rPr>
                <w:spacing w:val="-2"/>
                <w:sz w:val="21"/>
              </w:rPr>
              <w:t>施工阶段至竣工验收</w:t>
            </w:r>
          </w:p>
        </w:tc>
        <w:tc>
          <w:tcPr>
            <w:tcW w:w="2088" w:type="dxa"/>
          </w:tcPr>
          <w:p>
            <w:pPr>
              <w:pStyle w:val="TableParagraph"/>
              <w:spacing w:before="75"/>
              <w:ind w:right="193"/>
              <w:jc w:val="right"/>
              <w:rPr>
                <w:sz w:val="24"/>
              </w:rPr>
            </w:pPr>
            <w:r>
              <w:rPr>
                <w:spacing w:val="-2"/>
                <w:sz w:val="24"/>
              </w:rPr>
              <w:t>已检测标定合格</w:t>
            </w:r>
          </w:p>
        </w:tc>
      </w:tr>
      <w:tr>
        <w:tblPrEx>
          <w:tblW w:w="0" w:type="auto"/>
          <w:jc w:val="left"/>
          <w:tblInd w:w="190" w:type="dxa"/>
          <w:tblLayout w:type="fixed"/>
          <w:tblCellMar>
            <w:top w:w="0" w:type="dxa"/>
            <w:left w:w="0" w:type="dxa"/>
            <w:bottom w:w="0" w:type="dxa"/>
            <w:right w:w="0" w:type="dxa"/>
          </w:tblCellMar>
          <w:tblLook w:val="01E0"/>
        </w:tblPrEx>
        <w:trPr>
          <w:trHeight w:val="624"/>
          <w:jc w:val="left"/>
        </w:trPr>
        <w:tc>
          <w:tcPr>
            <w:tcW w:w="725" w:type="dxa"/>
          </w:tcPr>
          <w:p>
            <w:pPr>
              <w:pStyle w:val="TableParagraph"/>
              <w:spacing w:before="179"/>
              <w:ind w:left="137" w:right="127"/>
              <w:jc w:val="center"/>
              <w:rPr>
                <w:sz w:val="21"/>
              </w:rPr>
            </w:pPr>
            <w:r>
              <w:rPr>
                <w:spacing w:val="-5"/>
                <w:sz w:val="21"/>
              </w:rPr>
              <w:t>11</w:t>
            </w:r>
          </w:p>
        </w:tc>
        <w:tc>
          <w:tcPr>
            <w:tcW w:w="1723" w:type="dxa"/>
          </w:tcPr>
          <w:p>
            <w:pPr>
              <w:pStyle w:val="TableParagraph"/>
              <w:spacing w:before="23"/>
              <w:ind w:left="113" w:right="103"/>
              <w:jc w:val="center"/>
              <w:rPr>
                <w:sz w:val="21"/>
              </w:rPr>
            </w:pPr>
            <w:r>
              <w:rPr>
                <w:spacing w:val="-2"/>
                <w:sz w:val="21"/>
              </w:rPr>
              <w:t>多功能质量检测</w:t>
            </w:r>
          </w:p>
          <w:p>
            <w:pPr>
              <w:pStyle w:val="TableParagraph"/>
              <w:spacing w:before="43"/>
              <w:ind w:left="9"/>
              <w:jc w:val="center"/>
              <w:rPr>
                <w:sz w:val="21"/>
              </w:rPr>
            </w:pPr>
            <w:r>
              <w:rPr>
                <w:sz w:val="21"/>
              </w:rPr>
              <w:t>器</w:t>
            </w:r>
          </w:p>
        </w:tc>
        <w:tc>
          <w:tcPr>
            <w:tcW w:w="1440" w:type="dxa"/>
          </w:tcPr>
          <w:p>
            <w:pPr>
              <w:pStyle w:val="TableParagraph"/>
              <w:spacing w:before="179"/>
              <w:ind w:left="131" w:right="121"/>
              <w:jc w:val="center"/>
              <w:rPr>
                <w:sz w:val="21"/>
              </w:rPr>
            </w:pPr>
            <w:r>
              <w:rPr>
                <w:spacing w:val="-4"/>
                <w:sz w:val="21"/>
              </w:rPr>
              <w:t>JZC2</w:t>
            </w:r>
          </w:p>
        </w:tc>
        <w:tc>
          <w:tcPr>
            <w:tcW w:w="612" w:type="dxa"/>
          </w:tcPr>
          <w:p>
            <w:pPr>
              <w:pStyle w:val="TableParagraph"/>
              <w:spacing w:before="179"/>
              <w:ind w:left="9"/>
              <w:jc w:val="center"/>
              <w:rPr>
                <w:sz w:val="21"/>
              </w:rPr>
            </w:pPr>
            <w:r>
              <w:rPr>
                <w:sz w:val="21"/>
              </w:rPr>
              <w:t>3</w:t>
            </w:r>
          </w:p>
        </w:tc>
        <w:tc>
          <w:tcPr>
            <w:tcW w:w="2160" w:type="dxa"/>
          </w:tcPr>
          <w:p>
            <w:pPr>
              <w:pStyle w:val="TableParagraph"/>
              <w:spacing w:before="179"/>
              <w:ind w:right="124"/>
              <w:jc w:val="right"/>
              <w:rPr>
                <w:sz w:val="21"/>
              </w:rPr>
            </w:pPr>
            <w:r>
              <w:rPr>
                <w:spacing w:val="-2"/>
                <w:sz w:val="21"/>
              </w:rPr>
              <w:t>施工阶段至竣工验收</w:t>
            </w:r>
          </w:p>
        </w:tc>
        <w:tc>
          <w:tcPr>
            <w:tcW w:w="2088" w:type="dxa"/>
          </w:tcPr>
          <w:p>
            <w:pPr>
              <w:pStyle w:val="TableParagraph"/>
              <w:spacing w:before="160"/>
              <w:ind w:right="193"/>
              <w:jc w:val="right"/>
              <w:rPr>
                <w:sz w:val="24"/>
              </w:rPr>
            </w:pPr>
            <w:r>
              <w:rPr>
                <w:spacing w:val="-2"/>
                <w:sz w:val="24"/>
              </w:rPr>
              <w:t>已检测标定合格</w:t>
            </w:r>
          </w:p>
        </w:tc>
      </w:tr>
      <w:tr>
        <w:tblPrEx>
          <w:tblW w:w="0" w:type="auto"/>
          <w:jc w:val="left"/>
          <w:tblInd w:w="190" w:type="dxa"/>
          <w:tblLayout w:type="fixed"/>
          <w:tblCellMar>
            <w:top w:w="0" w:type="dxa"/>
            <w:left w:w="0" w:type="dxa"/>
            <w:bottom w:w="0" w:type="dxa"/>
            <w:right w:w="0" w:type="dxa"/>
          </w:tblCellMar>
          <w:tblLook w:val="01E0"/>
        </w:tblPrEx>
        <w:trPr>
          <w:trHeight w:val="624"/>
          <w:jc w:val="left"/>
        </w:trPr>
        <w:tc>
          <w:tcPr>
            <w:tcW w:w="725" w:type="dxa"/>
          </w:tcPr>
          <w:p>
            <w:pPr>
              <w:pStyle w:val="TableParagraph"/>
              <w:spacing w:before="179"/>
              <w:ind w:left="137" w:right="127"/>
              <w:jc w:val="center"/>
              <w:rPr>
                <w:sz w:val="21"/>
              </w:rPr>
            </w:pPr>
            <w:r>
              <w:rPr>
                <w:spacing w:val="-5"/>
                <w:sz w:val="21"/>
              </w:rPr>
              <w:t>12</w:t>
            </w:r>
          </w:p>
        </w:tc>
        <w:tc>
          <w:tcPr>
            <w:tcW w:w="1723" w:type="dxa"/>
          </w:tcPr>
          <w:p>
            <w:pPr>
              <w:pStyle w:val="TableParagraph"/>
              <w:spacing w:before="179"/>
              <w:ind w:left="113" w:right="103"/>
              <w:jc w:val="center"/>
              <w:rPr>
                <w:sz w:val="21"/>
              </w:rPr>
            </w:pPr>
            <w:r>
              <w:rPr>
                <w:spacing w:val="-4"/>
                <w:sz w:val="21"/>
              </w:rPr>
              <w:t>小卷尺</w:t>
            </w:r>
          </w:p>
        </w:tc>
        <w:tc>
          <w:tcPr>
            <w:tcW w:w="1440" w:type="dxa"/>
          </w:tcPr>
          <w:p>
            <w:pPr>
              <w:pStyle w:val="TableParagraph"/>
              <w:spacing w:before="179"/>
              <w:ind w:left="131" w:right="121"/>
              <w:jc w:val="center"/>
              <w:rPr>
                <w:sz w:val="21"/>
              </w:rPr>
            </w:pPr>
            <w:r>
              <w:rPr>
                <w:spacing w:val="-5"/>
                <w:sz w:val="21"/>
              </w:rPr>
              <w:t>5m</w:t>
            </w:r>
          </w:p>
        </w:tc>
        <w:tc>
          <w:tcPr>
            <w:tcW w:w="612" w:type="dxa"/>
          </w:tcPr>
          <w:p>
            <w:pPr>
              <w:pStyle w:val="TableParagraph"/>
              <w:spacing w:before="23"/>
              <w:ind w:left="122"/>
              <w:rPr>
                <w:sz w:val="21"/>
              </w:rPr>
            </w:pPr>
            <w:r>
              <w:rPr>
                <w:sz w:val="21"/>
              </w:rPr>
              <w:t>1</w:t>
            </w:r>
            <w:r>
              <w:rPr>
                <w:spacing w:val="-32"/>
                <w:sz w:val="21"/>
              </w:rPr>
              <w:t xml:space="preserve"> 把</w:t>
            </w:r>
          </w:p>
          <w:p>
            <w:pPr>
              <w:pStyle w:val="TableParagraph"/>
              <w:spacing w:before="43"/>
              <w:ind w:left="148"/>
              <w:rPr>
                <w:sz w:val="21"/>
              </w:rPr>
            </w:pPr>
            <w:r>
              <w:rPr>
                <w:spacing w:val="-5"/>
                <w:sz w:val="21"/>
              </w:rPr>
              <w:t>/人</w:t>
            </w:r>
          </w:p>
        </w:tc>
        <w:tc>
          <w:tcPr>
            <w:tcW w:w="2160" w:type="dxa"/>
          </w:tcPr>
          <w:p>
            <w:pPr>
              <w:pStyle w:val="TableParagraph"/>
              <w:spacing w:before="179"/>
              <w:ind w:right="124"/>
              <w:jc w:val="right"/>
              <w:rPr>
                <w:sz w:val="21"/>
              </w:rPr>
            </w:pPr>
            <w:r>
              <w:rPr>
                <w:spacing w:val="-2"/>
                <w:sz w:val="21"/>
              </w:rPr>
              <w:t>施工阶段至竣工验收</w:t>
            </w:r>
          </w:p>
        </w:tc>
        <w:tc>
          <w:tcPr>
            <w:tcW w:w="2088" w:type="dxa"/>
          </w:tcPr>
          <w:p>
            <w:pPr>
              <w:pStyle w:val="TableParagraph"/>
              <w:spacing w:before="160"/>
              <w:ind w:right="193"/>
              <w:jc w:val="right"/>
              <w:rPr>
                <w:sz w:val="24"/>
              </w:rPr>
            </w:pPr>
            <w:r>
              <w:rPr>
                <w:spacing w:val="-2"/>
                <w:sz w:val="24"/>
              </w:rPr>
              <w:t>已检测标定合格</w:t>
            </w:r>
          </w:p>
        </w:tc>
      </w:tr>
      <w:tr>
        <w:tblPrEx>
          <w:tblW w:w="0" w:type="auto"/>
          <w:jc w:val="left"/>
          <w:tblInd w:w="190"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37" w:right="127"/>
              <w:jc w:val="center"/>
              <w:rPr>
                <w:sz w:val="21"/>
              </w:rPr>
            </w:pPr>
            <w:r>
              <w:rPr>
                <w:spacing w:val="-5"/>
                <w:sz w:val="21"/>
              </w:rPr>
              <w:t>13</w:t>
            </w:r>
          </w:p>
        </w:tc>
        <w:tc>
          <w:tcPr>
            <w:tcW w:w="1723" w:type="dxa"/>
          </w:tcPr>
          <w:p>
            <w:pPr>
              <w:pStyle w:val="TableParagraph"/>
              <w:spacing w:before="94"/>
              <w:ind w:left="113" w:right="103"/>
              <w:jc w:val="center"/>
              <w:rPr>
                <w:sz w:val="21"/>
              </w:rPr>
            </w:pPr>
            <w:r>
              <w:rPr>
                <w:spacing w:val="-2"/>
                <w:sz w:val="21"/>
              </w:rPr>
              <w:t>涂层探测仪</w:t>
            </w:r>
          </w:p>
        </w:tc>
        <w:tc>
          <w:tcPr>
            <w:tcW w:w="1440" w:type="dxa"/>
          </w:tcPr>
          <w:p>
            <w:pPr>
              <w:pStyle w:val="TableParagraph"/>
              <w:spacing w:before="94"/>
              <w:ind w:left="131" w:right="121"/>
              <w:jc w:val="center"/>
              <w:rPr>
                <w:sz w:val="21"/>
              </w:rPr>
            </w:pPr>
            <w:r>
              <w:rPr>
                <w:sz w:val="21"/>
              </w:rPr>
              <w:t>HCC-</w:t>
            </w:r>
            <w:r>
              <w:rPr>
                <w:spacing w:val="-5"/>
                <w:sz w:val="21"/>
              </w:rPr>
              <w:t>24</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right="124"/>
              <w:jc w:val="right"/>
              <w:rPr>
                <w:sz w:val="21"/>
              </w:rPr>
            </w:pPr>
            <w:r>
              <w:rPr>
                <w:spacing w:val="-2"/>
                <w:sz w:val="21"/>
              </w:rPr>
              <w:t>施工阶段至竣工验收</w:t>
            </w:r>
          </w:p>
        </w:tc>
        <w:tc>
          <w:tcPr>
            <w:tcW w:w="2088" w:type="dxa"/>
          </w:tcPr>
          <w:p>
            <w:pPr>
              <w:pStyle w:val="TableParagraph"/>
              <w:spacing w:before="75"/>
              <w:ind w:right="193"/>
              <w:jc w:val="right"/>
              <w:rPr>
                <w:sz w:val="24"/>
              </w:rPr>
            </w:pPr>
            <w:r>
              <w:rPr>
                <w:spacing w:val="-2"/>
                <w:sz w:val="24"/>
              </w:rPr>
              <w:t>已检测标定合格</w:t>
            </w:r>
          </w:p>
        </w:tc>
      </w:tr>
      <w:tr>
        <w:tblPrEx>
          <w:tblW w:w="0" w:type="auto"/>
          <w:jc w:val="left"/>
          <w:tblInd w:w="190"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37" w:right="127"/>
              <w:jc w:val="center"/>
              <w:rPr>
                <w:sz w:val="21"/>
              </w:rPr>
            </w:pPr>
            <w:r>
              <w:rPr>
                <w:spacing w:val="-5"/>
                <w:sz w:val="21"/>
              </w:rPr>
              <w:t>14</w:t>
            </w:r>
          </w:p>
        </w:tc>
        <w:tc>
          <w:tcPr>
            <w:tcW w:w="1723" w:type="dxa"/>
          </w:tcPr>
          <w:p>
            <w:pPr>
              <w:pStyle w:val="TableParagraph"/>
              <w:spacing w:before="94"/>
              <w:ind w:left="113" w:right="103"/>
              <w:jc w:val="center"/>
              <w:rPr>
                <w:sz w:val="21"/>
              </w:rPr>
            </w:pPr>
            <w:r>
              <w:rPr>
                <w:spacing w:val="-4"/>
                <w:sz w:val="21"/>
              </w:rPr>
              <w:t>测距仪</w:t>
            </w:r>
          </w:p>
        </w:tc>
        <w:tc>
          <w:tcPr>
            <w:tcW w:w="1440" w:type="dxa"/>
          </w:tcPr>
          <w:p>
            <w:pPr>
              <w:pStyle w:val="TableParagraph"/>
              <w:spacing w:before="94"/>
              <w:ind w:left="131" w:right="121"/>
              <w:jc w:val="center"/>
              <w:rPr>
                <w:sz w:val="21"/>
              </w:rPr>
            </w:pPr>
            <w:r>
              <w:rPr>
                <w:spacing w:val="-3"/>
                <w:sz w:val="21"/>
              </w:rPr>
              <w:t>各种型号</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right="124"/>
              <w:jc w:val="right"/>
              <w:rPr>
                <w:sz w:val="21"/>
              </w:rPr>
            </w:pPr>
            <w:r>
              <w:rPr>
                <w:spacing w:val="-2"/>
                <w:sz w:val="21"/>
              </w:rPr>
              <w:t>施工阶段至竣工验收</w:t>
            </w:r>
          </w:p>
        </w:tc>
        <w:tc>
          <w:tcPr>
            <w:tcW w:w="2088" w:type="dxa"/>
          </w:tcPr>
          <w:p>
            <w:pPr>
              <w:pStyle w:val="TableParagraph"/>
              <w:spacing w:before="75"/>
              <w:ind w:right="193"/>
              <w:jc w:val="right"/>
              <w:rPr>
                <w:sz w:val="24"/>
              </w:rPr>
            </w:pPr>
            <w:r>
              <w:rPr>
                <w:spacing w:val="-2"/>
                <w:sz w:val="24"/>
              </w:rPr>
              <w:t>已检测标定合格</w:t>
            </w:r>
          </w:p>
        </w:tc>
      </w:tr>
      <w:tr>
        <w:tblPrEx>
          <w:tblW w:w="0" w:type="auto"/>
          <w:jc w:val="left"/>
          <w:tblInd w:w="190" w:type="dxa"/>
          <w:tblLayout w:type="fixed"/>
          <w:tblCellMar>
            <w:top w:w="0" w:type="dxa"/>
            <w:left w:w="0" w:type="dxa"/>
            <w:bottom w:w="0" w:type="dxa"/>
            <w:right w:w="0" w:type="dxa"/>
          </w:tblCellMar>
          <w:tblLook w:val="01E0"/>
        </w:tblPrEx>
        <w:trPr>
          <w:trHeight w:val="453"/>
          <w:jc w:val="left"/>
        </w:trPr>
        <w:tc>
          <w:tcPr>
            <w:tcW w:w="725" w:type="dxa"/>
          </w:tcPr>
          <w:p>
            <w:pPr>
              <w:pStyle w:val="TableParagraph"/>
              <w:spacing w:before="94"/>
              <w:ind w:left="137" w:right="127"/>
              <w:jc w:val="center"/>
              <w:rPr>
                <w:sz w:val="21"/>
              </w:rPr>
            </w:pPr>
            <w:r>
              <w:rPr>
                <w:spacing w:val="-5"/>
                <w:sz w:val="21"/>
              </w:rPr>
              <w:t>15</w:t>
            </w:r>
          </w:p>
        </w:tc>
        <w:tc>
          <w:tcPr>
            <w:tcW w:w="1723" w:type="dxa"/>
          </w:tcPr>
          <w:p>
            <w:pPr>
              <w:pStyle w:val="TableParagraph"/>
              <w:spacing w:before="94"/>
              <w:ind w:left="112" w:right="103"/>
              <w:jc w:val="center"/>
              <w:rPr>
                <w:sz w:val="21"/>
              </w:rPr>
            </w:pPr>
            <w:r>
              <w:rPr>
                <w:spacing w:val="-5"/>
                <w:sz w:val="21"/>
              </w:rPr>
              <w:t>靠尺</w:t>
            </w:r>
          </w:p>
        </w:tc>
        <w:tc>
          <w:tcPr>
            <w:tcW w:w="1440" w:type="dxa"/>
          </w:tcPr>
          <w:p>
            <w:pPr>
              <w:pStyle w:val="TableParagraph"/>
              <w:spacing w:before="94"/>
              <w:ind w:left="131" w:right="121"/>
              <w:jc w:val="center"/>
              <w:rPr>
                <w:sz w:val="21"/>
              </w:rPr>
            </w:pPr>
            <w:r>
              <w:rPr>
                <w:spacing w:val="-5"/>
                <w:sz w:val="21"/>
              </w:rPr>
              <w:t>2M</w:t>
            </w:r>
          </w:p>
        </w:tc>
        <w:tc>
          <w:tcPr>
            <w:tcW w:w="612" w:type="dxa"/>
          </w:tcPr>
          <w:p>
            <w:pPr>
              <w:pStyle w:val="TableParagraph"/>
              <w:spacing w:before="94"/>
              <w:ind w:left="9"/>
              <w:jc w:val="center"/>
              <w:rPr>
                <w:sz w:val="21"/>
              </w:rPr>
            </w:pPr>
            <w:r>
              <w:rPr>
                <w:sz w:val="21"/>
              </w:rPr>
              <w:t>1</w:t>
            </w:r>
          </w:p>
        </w:tc>
        <w:tc>
          <w:tcPr>
            <w:tcW w:w="2160" w:type="dxa"/>
          </w:tcPr>
          <w:p>
            <w:pPr>
              <w:pStyle w:val="TableParagraph"/>
              <w:spacing w:before="94"/>
              <w:ind w:right="124"/>
              <w:jc w:val="right"/>
              <w:rPr>
                <w:sz w:val="21"/>
              </w:rPr>
            </w:pPr>
            <w:r>
              <w:rPr>
                <w:spacing w:val="-2"/>
                <w:sz w:val="21"/>
              </w:rPr>
              <w:t>施工阶段至竣工验收</w:t>
            </w:r>
          </w:p>
        </w:tc>
        <w:tc>
          <w:tcPr>
            <w:tcW w:w="2088" w:type="dxa"/>
          </w:tcPr>
          <w:p>
            <w:pPr>
              <w:pStyle w:val="TableParagraph"/>
              <w:spacing w:before="75"/>
              <w:ind w:right="193"/>
              <w:jc w:val="right"/>
              <w:rPr>
                <w:sz w:val="24"/>
              </w:rPr>
            </w:pPr>
            <w:r>
              <w:rPr>
                <w:spacing w:val="-2"/>
                <w:sz w:val="24"/>
              </w:rPr>
              <w:t>已检测标定合格</w:t>
            </w:r>
          </w:p>
        </w:tc>
      </w:tr>
    </w:tbl>
    <w:p>
      <w:pPr>
        <w:pStyle w:val="Heading1"/>
        <w:spacing w:before="37"/>
      </w:pPr>
      <w:r>
        <w:pict>
          <v:group id="_x0000_s1027" style="width:428.55pt;height:258.75pt;margin-top:158.74pt;margin-left:87.43pt;mso-position-horizontal-relative:page;position:absolute;z-index:-251656192" coordorigin="1749,3175" coordsize="8571,5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3167;height:285;left:3031;position:absolute;top:4109" stroked="f">
              <v:imagedata r:id="rId6" o:title=""/>
            </v:shape>
            <v:shape id="_x0000_s1029" type="#_x0000_t75" style="width:3167;height:270;left:3031;position:absolute;top:4394" stroked="f">
              <v:imagedata r:id="rId7" o:title=""/>
            </v:shape>
            <v:shape id="_x0000_s1030" type="#_x0000_t75" style="width:3485;height:1244;left:6834;position:absolute;top:3705" stroked="f">
              <v:imagedata r:id="rId8" o:title=""/>
            </v:shape>
            <v:line id="_x0000_s1031" style="position:absolute" from="6194,4410" to="6827,4410" stroked="t" strokecolor="black" strokeweight="1.2pt">
              <v:stroke dashstyle="longDash"/>
            </v:line>
            <v:shape id="_x0000_s1032" type="#_x0000_t75" style="width:3167;height:285;left:3031;position:absolute;top:5233" stroked="f">
              <v:imagedata r:id="rId6" o:title=""/>
            </v:shape>
            <v:shape id="_x0000_s1033" type="#_x0000_t75" style="width:3167;height:285;left:3031;position:absolute;top:5518" stroked="f">
              <v:imagedata r:id="rId9" o:title=""/>
            </v:shape>
            <v:shape id="_x0000_s1034" type="#_x0000_t75" style="width:2513;height:850;left:3367;position:absolute;top:6375" stroked="f">
              <v:imagedata r:id="rId10" o:title=""/>
            </v:shape>
            <v:shape id="_x0000_s1035" style="width:2533;height:850;left:3344;position:absolute;top:6363" coordorigin="3345,6363" coordsize="2533,850" path="m3345,6788l4611,6363,5877,6788,4611,7213,3345,6788xe" filled="f" stroked="t" strokecolor="black" strokeweight="0.73pt">
              <v:stroke dashstyle="solid"/>
              <v:path arrowok="t"/>
            </v:shape>
            <v:shape id="_x0000_s1036" style="width:1583;height:3568;left:1761;position:absolute;top:3249" coordorigin="1762,3249" coordsize="1583,3568" path="m3345,6816l1762,6816,1762,3249,2800,3249e" filled="f" stroked="t" strokecolor="black" strokeweight="1.32pt">
              <v:stroke dashstyle="solid"/>
              <v:path arrowok="t"/>
            </v:shape>
            <v:shape id="_x0000_s1037" style="width:250;height:149;left:2778;position:absolute;top:3174" coordorigin="2779,3175" coordsize="250,149" path="m2779,3323l2779,3175,3028,3249,2779,3323xe" filled="t" fillcolor="black" stroked="f">
              <v:fill type="solid"/>
              <v:path arrowok="t"/>
            </v:shape>
            <v:line id="_x0000_s1038" style="position:absolute" from="4611,4665" to="4611,5118" stroked="t" strokecolor="black" strokeweight="1.34pt">
              <v:stroke dashstyle="solid"/>
            </v:line>
            <v:shape id="_x0000_s1039" type="#_x0000_t75" style="width:167;height:149;left:4527;position:absolute;top:5082" stroked="f">
              <v:imagedata r:id="rId11" o:title=""/>
            </v:shape>
            <v:shape id="_x0000_s1040" type="#_x0000_t75" style="width:167;height:149;left:4527;position:absolute;top:6214" stroked="f">
              <v:imagedata r:id="rId11" o:title=""/>
            </v:shape>
            <v:line id="_x0000_s1041" style="position:absolute" from="4611,7213" to="4611,7666" stroked="t" strokecolor="black" strokeweight="1.34pt">
              <v:stroke dashstyle="solid"/>
            </v:line>
            <v:shape id="_x0000_s1042" type="#_x0000_t75" style="width:3167;height:285;left:3031;position:absolute;top:7780" stroked="f">
              <v:imagedata r:id="rId6" o:title=""/>
            </v:shape>
            <v:shape id="_x0000_s1043" type="#_x0000_t75" style="width:3167;height:285;left:3031;position:absolute;top:8064" stroked="f">
              <v:imagedata r:id="rId6" o:title=""/>
            </v:shape>
            <v:shape id="_x0000_s1044" type="#_x0000_t75" style="width:167;height:149;left:4527;position:absolute;top:7630" stroked="f">
              <v:imagedata r:id="rId11" o:title=""/>
            </v:shape>
            <v:shape id="_x0000_s1045" type="#_x0000_t75" style="width:167;height:149;left:4527;position:absolute;top:3949" stroked="f">
              <v:imagedata r:id="rId11" o:title=""/>
            </v:shape>
            <v:shape id="_x0000_s1046" type="#_x0000_t202" style="width:625;height:180;left:2250;position:absolute;top:6545" filled="f" stroked="f">
              <v:textbox inset="0,0,0,0">
                <w:txbxContent>
                  <w:p>
                    <w:pPr>
                      <w:spacing w:before="0" w:line="180" w:lineRule="exact"/>
                      <w:ind w:left="0" w:right="0" w:firstLine="0"/>
                      <w:jc w:val="left"/>
                      <w:rPr>
                        <w:rFonts w:ascii="Microsoft JhengHei" w:eastAsia="Microsoft JhengHei"/>
                        <w:b/>
                        <w:sz w:val="18"/>
                      </w:rPr>
                    </w:pPr>
                    <w:r>
                      <w:rPr>
                        <w:rFonts w:ascii="Microsoft JhengHei" w:eastAsia="Microsoft JhengHei"/>
                        <w:b/>
                        <w:w w:val="110"/>
                        <w:sz w:val="18"/>
                      </w:rPr>
                      <w:t>不</w:t>
                    </w:r>
                    <w:r>
                      <w:rPr>
                        <w:rFonts w:ascii="Microsoft JhengHei" w:eastAsia="Microsoft JhengHei"/>
                        <w:b/>
                        <w:w w:val="110"/>
                        <w:sz w:val="18"/>
                      </w:rPr>
                      <w:t>合</w:t>
                    </w:r>
                    <w:r>
                      <w:rPr>
                        <w:rFonts w:ascii="Microsoft JhengHei" w:eastAsia="Microsoft JhengHei"/>
                        <w:b/>
                        <w:spacing w:val="-10"/>
                        <w:w w:val="110"/>
                        <w:sz w:val="18"/>
                      </w:rPr>
                      <w:t>格</w:t>
                    </w:r>
                  </w:p>
                </w:txbxContent>
              </v:textbox>
            </v:shape>
            <v:shape id="_x0000_s1047" type="#_x0000_t202" style="width:827;height:180;left:4207;position:absolute;top:6687" filled="f" stroked="f">
              <v:textbox inset="0,0,0,0">
                <w:txbxContent>
                  <w:p>
                    <w:pPr>
                      <w:spacing w:before="0" w:line="180" w:lineRule="exact"/>
                      <w:ind w:left="0" w:right="0" w:firstLine="0"/>
                      <w:jc w:val="left"/>
                      <w:rPr>
                        <w:rFonts w:ascii="Microsoft JhengHei" w:eastAsia="Microsoft JhengHei"/>
                        <w:b/>
                        <w:sz w:val="18"/>
                      </w:rPr>
                    </w:pPr>
                    <w:r>
                      <w:rPr>
                        <w:rFonts w:ascii="Microsoft JhengHei" w:eastAsia="Microsoft JhengHei"/>
                        <w:b/>
                        <w:w w:val="110"/>
                        <w:sz w:val="18"/>
                      </w:rPr>
                      <w:t>复</w:t>
                    </w:r>
                    <w:r>
                      <w:rPr>
                        <w:rFonts w:ascii="Microsoft JhengHei" w:eastAsia="Microsoft JhengHei"/>
                        <w:b/>
                        <w:w w:val="110"/>
                        <w:sz w:val="18"/>
                      </w:rPr>
                      <w:t>核</w:t>
                    </w:r>
                    <w:r>
                      <w:rPr>
                        <w:rFonts w:ascii="Microsoft JhengHei" w:eastAsia="Microsoft JhengHei"/>
                        <w:b/>
                        <w:w w:val="110"/>
                        <w:sz w:val="18"/>
                      </w:rPr>
                      <w:t>结</w:t>
                    </w:r>
                    <w:r>
                      <w:rPr>
                        <w:rFonts w:ascii="Microsoft JhengHei" w:eastAsia="Microsoft JhengHei"/>
                        <w:b/>
                        <w:spacing w:val="-10"/>
                        <w:w w:val="110"/>
                        <w:sz w:val="18"/>
                      </w:rPr>
                      <w:t>果</w:t>
                    </w:r>
                  </w:p>
                </w:txbxContent>
              </v:textbox>
            </v:shape>
            <v:shape id="_x0000_s1048" type="#_x0000_t202" style="width:423;height:180;left:4883;position:absolute;top:7395" filled="f" stroked="f">
              <v:textbox inset="0,0,0,0">
                <w:txbxContent>
                  <w:p>
                    <w:pPr>
                      <w:spacing w:before="0" w:line="180" w:lineRule="exact"/>
                      <w:ind w:left="0" w:right="0" w:firstLine="0"/>
                      <w:jc w:val="left"/>
                      <w:rPr>
                        <w:rFonts w:ascii="Microsoft JhengHei" w:eastAsia="Microsoft JhengHei"/>
                        <w:b/>
                        <w:sz w:val="18"/>
                      </w:rPr>
                    </w:pPr>
                    <w:r>
                      <w:rPr>
                        <w:rFonts w:ascii="Microsoft JhengHei" w:eastAsia="Microsoft JhengHei"/>
                        <w:b/>
                        <w:w w:val="110"/>
                        <w:sz w:val="18"/>
                      </w:rPr>
                      <w:t>合</w:t>
                    </w:r>
                    <w:r>
                      <w:rPr>
                        <w:rFonts w:ascii="Microsoft JhengHei" w:eastAsia="Microsoft JhengHei"/>
                        <w:b/>
                        <w:spacing w:val="-10"/>
                        <w:w w:val="110"/>
                        <w:sz w:val="18"/>
                      </w:rPr>
                      <w:t>格</w:t>
                    </w:r>
                  </w:p>
                </w:txbxContent>
              </v:textbox>
            </v:shape>
            <v:shape id="_x0000_s1049" type="#_x0000_t202" style="width:3166;height:284;left:3028;position:absolute;top:4381" filled="f" stroked="t" strokecolor="black" strokeweight="0.72pt">
              <v:stroke dashstyle="solid"/>
              <v:textbox inset="0,0,0,0">
                <w:txbxContent>
                  <w:p>
                    <w:pPr>
                      <w:spacing w:before="0" w:line="269" w:lineRule="exact"/>
                      <w:ind w:left="1164" w:right="1164" w:firstLine="0"/>
                      <w:jc w:val="center"/>
                      <w:rPr>
                        <w:rFonts w:ascii="Microsoft JhengHei" w:eastAsia="Microsoft JhengHei"/>
                        <w:b/>
                        <w:sz w:val="18"/>
                      </w:rPr>
                    </w:pP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单</w:t>
                    </w:r>
                    <w:r>
                      <w:rPr>
                        <w:rFonts w:ascii="Microsoft JhengHei" w:eastAsia="Microsoft JhengHei"/>
                        <w:b/>
                        <w:spacing w:val="-10"/>
                        <w:w w:val="110"/>
                        <w:sz w:val="18"/>
                      </w:rPr>
                      <w:t>位</w:t>
                    </w:r>
                  </w:p>
                </w:txbxContent>
              </v:textbox>
            </v:shape>
            <v:shape id="_x0000_s1050" type="#_x0000_t202" style="width:3166;height:284;left:3028;position:absolute;top:4098" filled="f" stroked="t" strokecolor="black" strokeweight="0.72pt">
              <v:stroke dashstyle="solid"/>
              <v:textbox inset="0,0,0,0">
                <w:txbxContent>
                  <w:p>
                    <w:pPr>
                      <w:spacing w:before="0" w:line="269" w:lineRule="exact"/>
                      <w:ind w:left="793" w:right="0" w:firstLine="0"/>
                      <w:jc w:val="left"/>
                      <w:rPr>
                        <w:rFonts w:ascii="Microsoft JhengHei" w:eastAsia="Microsoft JhengHei"/>
                        <w:b/>
                        <w:sz w:val="18"/>
                      </w:rPr>
                    </w:pPr>
                    <w:r>
                      <w:rPr>
                        <w:rFonts w:ascii="Microsoft JhengHei" w:eastAsia="Microsoft JhengHei"/>
                        <w:b/>
                        <w:w w:val="110"/>
                        <w:sz w:val="18"/>
                      </w:rPr>
                      <w:t>填</w:t>
                    </w:r>
                    <w:r>
                      <w:rPr>
                        <w:rFonts w:ascii="Microsoft JhengHei" w:eastAsia="Microsoft JhengHei"/>
                        <w:b/>
                        <w:w w:val="110"/>
                        <w:sz w:val="18"/>
                      </w:rPr>
                      <w:t>报</w:t>
                    </w:r>
                    <w:r>
                      <w:rPr>
                        <w:rFonts w:ascii="Microsoft JhengHei" w:eastAsia="Microsoft JhengHei"/>
                        <w:b/>
                        <w:w w:val="110"/>
                        <w:sz w:val="18"/>
                      </w:rPr>
                      <w:t>相</w:t>
                    </w:r>
                    <w:r>
                      <w:rPr>
                        <w:rFonts w:ascii="Microsoft JhengHei" w:eastAsia="Microsoft JhengHei"/>
                        <w:b/>
                        <w:w w:val="110"/>
                        <w:sz w:val="18"/>
                      </w:rPr>
                      <w:t>关</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记</w:t>
                    </w:r>
                    <w:r>
                      <w:rPr>
                        <w:rFonts w:ascii="Microsoft JhengHei" w:eastAsia="Microsoft JhengHei"/>
                        <w:b/>
                        <w:spacing w:val="-10"/>
                        <w:w w:val="110"/>
                        <w:sz w:val="18"/>
                      </w:rPr>
                      <w:t>录</w:t>
                    </w:r>
                  </w:p>
                </w:txbxContent>
              </v:textbox>
            </v:shape>
            <v:shape id="_x0000_s1051" type="#_x0000_t202" style="width:3483;height:1246;left:6827;position:absolute;top:3702" filled="f" stroked="t" strokecolor="black" strokeweight="0.73pt">
              <v:stroke dashstyle="solid"/>
              <v:textbox inset="0,0,0,0">
                <w:txbxContent>
                  <w:p>
                    <w:pPr>
                      <w:spacing w:before="82" w:line="156" w:lineRule="auto"/>
                      <w:ind w:left="82" w:right="962" w:firstLine="0"/>
                      <w:jc w:val="left"/>
                      <w:rPr>
                        <w:rFonts w:ascii="Microsoft JhengHei" w:eastAsia="Microsoft JhengHei"/>
                        <w:b/>
                        <w:sz w:val="18"/>
                      </w:rPr>
                    </w:pPr>
                    <w:r>
                      <w:rPr>
                        <w:rFonts w:ascii="Microsoft JhengHei" w:eastAsia="Microsoft JhengHei"/>
                        <w:b/>
                        <w:spacing w:val="-2"/>
                        <w:w w:val="110"/>
                        <w:sz w:val="18"/>
                      </w:rPr>
                      <w:t>单</w:t>
                    </w:r>
                    <w:r>
                      <w:rPr>
                        <w:rFonts w:ascii="Microsoft JhengHei" w:eastAsia="Microsoft JhengHei"/>
                        <w:b/>
                        <w:spacing w:val="-2"/>
                        <w:w w:val="110"/>
                        <w:sz w:val="18"/>
                      </w:rPr>
                      <w:t>位</w:t>
                    </w:r>
                    <w:r>
                      <w:rPr>
                        <w:rFonts w:ascii="Microsoft JhengHei" w:eastAsia="Microsoft JhengHei"/>
                        <w:b/>
                        <w:spacing w:val="-2"/>
                        <w:w w:val="110"/>
                        <w:sz w:val="18"/>
                      </w:rPr>
                      <w:t>工</w:t>
                    </w:r>
                    <w:r>
                      <w:rPr>
                        <w:rFonts w:ascii="Microsoft JhengHei" w:eastAsia="Microsoft JhengHei"/>
                        <w:b/>
                        <w:spacing w:val="-2"/>
                        <w:w w:val="110"/>
                        <w:sz w:val="18"/>
                      </w:rPr>
                      <w:t>程</w:t>
                    </w:r>
                    <w:r>
                      <w:rPr>
                        <w:rFonts w:ascii="Microsoft JhengHei" w:eastAsia="Microsoft JhengHei"/>
                        <w:b/>
                        <w:spacing w:val="-2"/>
                        <w:w w:val="110"/>
                        <w:sz w:val="18"/>
                      </w:rPr>
                      <w:t>坐</w:t>
                    </w:r>
                    <w:r>
                      <w:rPr>
                        <w:rFonts w:ascii="Microsoft JhengHei" w:eastAsia="Microsoft JhengHei"/>
                        <w:b/>
                        <w:spacing w:val="-2"/>
                        <w:w w:val="110"/>
                        <w:sz w:val="18"/>
                      </w:rPr>
                      <w:t>标</w:t>
                    </w:r>
                    <w:r>
                      <w:rPr>
                        <w:rFonts w:ascii="Microsoft JhengHei" w:eastAsia="Microsoft JhengHei"/>
                        <w:b/>
                        <w:spacing w:val="-2"/>
                        <w:w w:val="110"/>
                        <w:sz w:val="18"/>
                      </w:rPr>
                      <w:t>定</w:t>
                    </w:r>
                    <w:r>
                      <w:rPr>
                        <w:rFonts w:ascii="Microsoft JhengHei" w:eastAsia="Microsoft JhengHei"/>
                        <w:b/>
                        <w:spacing w:val="-2"/>
                        <w:w w:val="110"/>
                        <w:sz w:val="18"/>
                      </w:rPr>
                      <w:t>位</w:t>
                    </w:r>
                    <w:r>
                      <w:rPr>
                        <w:rFonts w:ascii="Microsoft JhengHei" w:eastAsia="Microsoft JhengHei"/>
                        <w:b/>
                        <w:spacing w:val="-2"/>
                        <w:w w:val="110"/>
                        <w:sz w:val="18"/>
                      </w:rPr>
                      <w:t>测</w:t>
                    </w:r>
                    <w:r>
                      <w:rPr>
                        <w:rFonts w:ascii="Microsoft JhengHei" w:eastAsia="Microsoft JhengHei"/>
                        <w:b/>
                        <w:spacing w:val="-2"/>
                        <w:w w:val="110"/>
                        <w:sz w:val="18"/>
                      </w:rPr>
                      <w:t>量</w:t>
                    </w:r>
                    <w:r>
                      <w:rPr>
                        <w:rFonts w:ascii="Microsoft JhengHei" w:eastAsia="Microsoft JhengHei"/>
                        <w:b/>
                        <w:spacing w:val="-2"/>
                        <w:w w:val="110"/>
                        <w:sz w:val="18"/>
                      </w:rPr>
                      <w:t>记</w:t>
                    </w:r>
                    <w:r>
                      <w:rPr>
                        <w:rFonts w:ascii="Microsoft JhengHei" w:eastAsia="Microsoft JhengHei"/>
                        <w:b/>
                        <w:spacing w:val="-2"/>
                        <w:w w:val="110"/>
                        <w:sz w:val="18"/>
                      </w:rPr>
                      <w:t>录</w:t>
                    </w:r>
                    <w:r>
                      <w:rPr>
                        <w:rFonts w:ascii="Microsoft JhengHei" w:eastAsia="Microsoft JhengHei"/>
                        <w:b/>
                        <w:spacing w:val="-2"/>
                        <w:w w:val="110"/>
                        <w:sz w:val="18"/>
                      </w:rPr>
                      <w:t>工</w:t>
                    </w:r>
                    <w:r>
                      <w:rPr>
                        <w:rFonts w:ascii="Microsoft JhengHei" w:eastAsia="Microsoft JhengHei"/>
                        <w:b/>
                        <w:spacing w:val="-2"/>
                        <w:w w:val="110"/>
                        <w:sz w:val="18"/>
                      </w:rPr>
                      <w:t>程</w:t>
                    </w:r>
                    <w:r>
                      <w:rPr>
                        <w:rFonts w:ascii="Microsoft JhengHei" w:eastAsia="Microsoft JhengHei"/>
                        <w:b/>
                        <w:spacing w:val="-2"/>
                        <w:w w:val="110"/>
                        <w:sz w:val="18"/>
                      </w:rPr>
                      <w:t>基</w:t>
                    </w:r>
                    <w:r>
                      <w:rPr>
                        <w:rFonts w:ascii="Microsoft JhengHei" w:eastAsia="Microsoft JhengHei"/>
                        <w:b/>
                        <w:spacing w:val="-2"/>
                        <w:w w:val="110"/>
                        <w:sz w:val="18"/>
                      </w:rPr>
                      <w:t>线</w:t>
                    </w:r>
                    <w:r>
                      <w:rPr>
                        <w:rFonts w:ascii="Microsoft JhengHei" w:eastAsia="Microsoft JhengHei"/>
                        <w:b/>
                        <w:spacing w:val="-2"/>
                        <w:w w:val="110"/>
                        <w:sz w:val="18"/>
                      </w:rPr>
                      <w:t>复</w:t>
                    </w:r>
                    <w:r>
                      <w:rPr>
                        <w:rFonts w:ascii="Microsoft JhengHei" w:eastAsia="Microsoft JhengHei"/>
                        <w:b/>
                        <w:spacing w:val="-2"/>
                        <w:w w:val="110"/>
                        <w:sz w:val="18"/>
                      </w:rPr>
                      <w:t>核</w:t>
                    </w:r>
                    <w:r>
                      <w:rPr>
                        <w:rFonts w:ascii="Microsoft JhengHei" w:eastAsia="Microsoft JhengHei"/>
                        <w:b/>
                        <w:spacing w:val="-2"/>
                        <w:w w:val="110"/>
                        <w:sz w:val="18"/>
                      </w:rPr>
                      <w:t>表</w:t>
                    </w:r>
                  </w:p>
                  <w:p>
                    <w:pPr>
                      <w:spacing w:before="0" w:line="191" w:lineRule="exact"/>
                      <w:ind w:left="82" w:right="0" w:firstLine="0"/>
                      <w:jc w:val="left"/>
                      <w:rPr>
                        <w:rFonts w:ascii="Microsoft JhengHei" w:eastAsia="Microsoft JhengHei"/>
                        <w:b/>
                        <w:sz w:val="18"/>
                      </w:rPr>
                    </w:pPr>
                    <w:r>
                      <w:rPr>
                        <w:rFonts w:ascii="Microsoft JhengHei" w:eastAsia="Microsoft JhengHei"/>
                        <w:b/>
                        <w:w w:val="110"/>
                        <w:sz w:val="18"/>
                      </w:rPr>
                      <w:t>基</w:t>
                    </w:r>
                    <w:r>
                      <w:rPr>
                        <w:rFonts w:ascii="Microsoft JhengHei" w:eastAsia="Microsoft JhengHei"/>
                        <w:b/>
                        <w:w w:val="110"/>
                        <w:sz w:val="18"/>
                      </w:rPr>
                      <w:t>坑</w:t>
                    </w:r>
                    <w:r>
                      <w:rPr>
                        <w:rFonts w:ascii="Microsoft JhengHei" w:eastAsia="Microsoft JhengHei"/>
                        <w:b/>
                        <w:w w:val="110"/>
                        <w:sz w:val="18"/>
                      </w:rPr>
                      <w:t>沉</w:t>
                    </w:r>
                    <w:r>
                      <w:rPr>
                        <w:rFonts w:ascii="Microsoft JhengHei" w:eastAsia="Microsoft JhengHei"/>
                        <w:b/>
                        <w:w w:val="110"/>
                        <w:sz w:val="18"/>
                      </w:rPr>
                      <w:t>降</w:t>
                    </w:r>
                    <w:r>
                      <w:rPr>
                        <w:rFonts w:ascii="Microsoft JhengHei" w:eastAsia="Microsoft JhengHei"/>
                        <w:b/>
                        <w:w w:val="110"/>
                        <w:sz w:val="18"/>
                      </w:rPr>
                      <w:t>位</w:t>
                    </w:r>
                    <w:r>
                      <w:rPr>
                        <w:rFonts w:ascii="Microsoft JhengHei" w:eastAsia="Microsoft JhengHei"/>
                        <w:b/>
                        <w:w w:val="110"/>
                        <w:sz w:val="18"/>
                      </w:rPr>
                      <w:t>移</w:t>
                    </w:r>
                    <w:r>
                      <w:rPr>
                        <w:rFonts w:ascii="Microsoft JhengHei" w:eastAsia="Microsoft JhengHei"/>
                        <w:b/>
                        <w:w w:val="110"/>
                        <w:sz w:val="18"/>
                      </w:rPr>
                      <w:t>观</w:t>
                    </w:r>
                    <w:r>
                      <w:rPr>
                        <w:rFonts w:ascii="Microsoft JhengHei" w:eastAsia="Microsoft JhengHei"/>
                        <w:b/>
                        <w:w w:val="110"/>
                        <w:sz w:val="18"/>
                      </w:rPr>
                      <w:t>测</w:t>
                    </w:r>
                    <w:r>
                      <w:rPr>
                        <w:rFonts w:ascii="Microsoft JhengHei" w:eastAsia="Microsoft JhengHei"/>
                        <w:b/>
                        <w:w w:val="110"/>
                        <w:sz w:val="18"/>
                      </w:rPr>
                      <w:t>记</w:t>
                    </w:r>
                    <w:r>
                      <w:rPr>
                        <w:rFonts w:ascii="Microsoft JhengHei" w:eastAsia="Microsoft JhengHei"/>
                        <w:b/>
                        <w:spacing w:val="-10"/>
                        <w:w w:val="110"/>
                        <w:sz w:val="18"/>
                      </w:rPr>
                      <w:t>录</w:t>
                    </w:r>
                  </w:p>
                  <w:p>
                    <w:pPr>
                      <w:spacing w:before="26" w:line="156" w:lineRule="auto"/>
                      <w:ind w:left="82" w:right="155" w:firstLine="0"/>
                      <w:jc w:val="left"/>
                      <w:rPr>
                        <w:rFonts w:ascii="Microsoft JhengHei" w:eastAsia="Microsoft JhengHei"/>
                        <w:b/>
                        <w:sz w:val="18"/>
                      </w:rPr>
                    </w:pPr>
                    <w:r>
                      <w:rPr>
                        <w:rFonts w:ascii="Microsoft JhengHei" w:eastAsia="Microsoft JhengHei"/>
                        <w:b/>
                        <w:spacing w:val="-2"/>
                        <w:w w:val="110"/>
                        <w:sz w:val="18"/>
                      </w:rPr>
                      <w:t>建</w:t>
                    </w:r>
                    <w:r>
                      <w:rPr>
                        <w:rFonts w:ascii="Microsoft JhengHei" w:eastAsia="Microsoft JhengHei"/>
                        <w:b/>
                        <w:spacing w:val="-2"/>
                        <w:w w:val="110"/>
                        <w:sz w:val="18"/>
                      </w:rPr>
                      <w:t>筑</w:t>
                    </w:r>
                    <w:r>
                      <w:rPr>
                        <w:rFonts w:ascii="Microsoft JhengHei" w:eastAsia="Microsoft JhengHei"/>
                        <w:b/>
                        <w:spacing w:val="-2"/>
                        <w:w w:val="110"/>
                        <w:sz w:val="18"/>
                      </w:rPr>
                      <w:t>物</w:t>
                    </w:r>
                    <w:r>
                      <w:rPr>
                        <w:rFonts w:ascii="Microsoft JhengHei" w:eastAsia="Microsoft JhengHei"/>
                        <w:b/>
                        <w:spacing w:val="-2"/>
                        <w:w w:val="110"/>
                        <w:sz w:val="18"/>
                      </w:rPr>
                      <w:t>垂</w:t>
                    </w:r>
                    <w:r>
                      <w:rPr>
                        <w:rFonts w:ascii="Microsoft JhengHei" w:eastAsia="Microsoft JhengHei"/>
                        <w:b/>
                        <w:spacing w:val="-2"/>
                        <w:w w:val="110"/>
                        <w:sz w:val="18"/>
                      </w:rPr>
                      <w:t>直</w:t>
                    </w:r>
                    <w:r>
                      <w:rPr>
                        <w:rFonts w:ascii="Microsoft JhengHei" w:eastAsia="Microsoft JhengHei"/>
                        <w:b/>
                        <w:spacing w:val="-2"/>
                        <w:w w:val="110"/>
                        <w:sz w:val="18"/>
                      </w:rPr>
                      <w:t>度</w:t>
                    </w:r>
                    <w:r>
                      <w:rPr>
                        <w:rFonts w:ascii="Microsoft JhengHei" w:eastAsia="Microsoft JhengHei"/>
                        <w:b/>
                        <w:spacing w:val="-2"/>
                        <w:w w:val="110"/>
                        <w:sz w:val="18"/>
                      </w:rPr>
                      <w:t>、</w:t>
                    </w:r>
                    <w:r>
                      <w:rPr>
                        <w:rFonts w:ascii="Microsoft JhengHei" w:eastAsia="Microsoft JhengHei"/>
                        <w:b/>
                        <w:spacing w:val="-2"/>
                        <w:w w:val="110"/>
                        <w:sz w:val="18"/>
                      </w:rPr>
                      <w:t>标</w:t>
                    </w:r>
                    <w:r>
                      <w:rPr>
                        <w:rFonts w:ascii="Microsoft JhengHei" w:eastAsia="Microsoft JhengHei"/>
                        <w:b/>
                        <w:spacing w:val="-2"/>
                        <w:w w:val="110"/>
                        <w:sz w:val="18"/>
                      </w:rPr>
                      <w:t>高</w:t>
                    </w:r>
                    <w:r>
                      <w:rPr>
                        <w:rFonts w:ascii="Microsoft JhengHei" w:eastAsia="Microsoft JhengHei"/>
                        <w:b/>
                        <w:spacing w:val="-2"/>
                        <w:w w:val="110"/>
                        <w:sz w:val="18"/>
                      </w:rPr>
                      <w:t>、</w:t>
                    </w:r>
                    <w:r>
                      <w:rPr>
                        <w:rFonts w:ascii="Microsoft JhengHei" w:eastAsia="Microsoft JhengHei"/>
                        <w:b/>
                        <w:spacing w:val="-2"/>
                        <w:w w:val="110"/>
                        <w:sz w:val="18"/>
                      </w:rPr>
                      <w:t>全</w:t>
                    </w:r>
                    <w:r>
                      <w:rPr>
                        <w:rFonts w:ascii="Microsoft JhengHei" w:eastAsia="Microsoft JhengHei"/>
                        <w:b/>
                        <w:spacing w:val="-2"/>
                        <w:w w:val="110"/>
                        <w:sz w:val="18"/>
                      </w:rPr>
                      <w:t>高</w:t>
                    </w:r>
                    <w:r>
                      <w:rPr>
                        <w:rFonts w:ascii="Microsoft JhengHei" w:eastAsia="Microsoft JhengHei"/>
                        <w:b/>
                        <w:spacing w:val="-2"/>
                        <w:w w:val="110"/>
                        <w:sz w:val="18"/>
                      </w:rPr>
                      <w:t>测</w:t>
                    </w:r>
                    <w:r>
                      <w:rPr>
                        <w:rFonts w:ascii="Microsoft JhengHei" w:eastAsia="Microsoft JhengHei"/>
                        <w:b/>
                        <w:spacing w:val="-2"/>
                        <w:w w:val="110"/>
                        <w:sz w:val="18"/>
                      </w:rPr>
                      <w:t>量</w:t>
                    </w:r>
                    <w:r>
                      <w:rPr>
                        <w:rFonts w:ascii="Microsoft JhengHei" w:eastAsia="Microsoft JhengHei"/>
                        <w:b/>
                        <w:spacing w:val="-2"/>
                        <w:w w:val="110"/>
                        <w:sz w:val="18"/>
                      </w:rPr>
                      <w:t>记</w:t>
                    </w:r>
                    <w:r>
                      <w:rPr>
                        <w:rFonts w:ascii="Microsoft JhengHei" w:eastAsia="Microsoft JhengHei"/>
                        <w:b/>
                        <w:spacing w:val="-2"/>
                        <w:w w:val="110"/>
                        <w:sz w:val="18"/>
                      </w:rPr>
                      <w:t>录</w:t>
                    </w:r>
                    <w:r>
                      <w:rPr>
                        <w:rFonts w:ascii="Microsoft JhengHei" w:eastAsia="Microsoft JhengHei"/>
                        <w:b/>
                        <w:spacing w:val="-2"/>
                        <w:w w:val="110"/>
                        <w:sz w:val="18"/>
                      </w:rPr>
                      <w:t>建</w:t>
                    </w:r>
                    <w:r>
                      <w:rPr>
                        <w:rFonts w:ascii="Microsoft JhengHei" w:eastAsia="Microsoft JhengHei"/>
                        <w:b/>
                        <w:spacing w:val="-2"/>
                        <w:w w:val="110"/>
                        <w:sz w:val="18"/>
                      </w:rPr>
                      <w:t>筑</w:t>
                    </w:r>
                    <w:r>
                      <w:rPr>
                        <w:rFonts w:ascii="Microsoft JhengHei" w:eastAsia="Microsoft JhengHei"/>
                        <w:b/>
                        <w:spacing w:val="-2"/>
                        <w:w w:val="110"/>
                        <w:sz w:val="18"/>
                      </w:rPr>
                      <w:t>物</w:t>
                    </w:r>
                    <w:r>
                      <w:rPr>
                        <w:rFonts w:ascii="Microsoft JhengHei" w:eastAsia="Microsoft JhengHei"/>
                        <w:b/>
                        <w:spacing w:val="-2"/>
                        <w:w w:val="110"/>
                        <w:sz w:val="18"/>
                      </w:rPr>
                      <w:t>沉</w:t>
                    </w:r>
                    <w:r>
                      <w:rPr>
                        <w:rFonts w:ascii="Microsoft JhengHei" w:eastAsia="Microsoft JhengHei"/>
                        <w:b/>
                        <w:spacing w:val="-2"/>
                        <w:w w:val="110"/>
                        <w:sz w:val="18"/>
                      </w:rPr>
                      <w:t>降</w:t>
                    </w:r>
                    <w:r>
                      <w:rPr>
                        <w:rFonts w:ascii="Microsoft JhengHei" w:eastAsia="Microsoft JhengHei"/>
                        <w:b/>
                        <w:spacing w:val="-2"/>
                        <w:w w:val="110"/>
                        <w:sz w:val="18"/>
                      </w:rPr>
                      <w:t>观</w:t>
                    </w:r>
                    <w:r>
                      <w:rPr>
                        <w:rFonts w:ascii="Microsoft JhengHei" w:eastAsia="Microsoft JhengHei"/>
                        <w:b/>
                        <w:spacing w:val="-2"/>
                        <w:w w:val="110"/>
                        <w:sz w:val="18"/>
                      </w:rPr>
                      <w:t>测</w:t>
                    </w:r>
                    <w:r>
                      <w:rPr>
                        <w:rFonts w:ascii="Microsoft JhengHei" w:eastAsia="Microsoft JhengHei"/>
                        <w:b/>
                        <w:spacing w:val="-2"/>
                        <w:w w:val="110"/>
                        <w:sz w:val="18"/>
                      </w:rPr>
                      <w:t>记</w:t>
                    </w:r>
                    <w:r>
                      <w:rPr>
                        <w:rFonts w:ascii="Microsoft JhengHei" w:eastAsia="Microsoft JhengHei"/>
                        <w:b/>
                        <w:spacing w:val="-2"/>
                        <w:w w:val="110"/>
                        <w:sz w:val="18"/>
                      </w:rPr>
                      <w:t>录</w:t>
                    </w:r>
                    <w:r>
                      <w:rPr>
                        <w:rFonts w:ascii="Microsoft JhengHei" w:eastAsia="Microsoft JhengHei"/>
                        <w:b/>
                        <w:spacing w:val="-2"/>
                        <w:w w:val="110"/>
                        <w:sz w:val="18"/>
                      </w:rPr>
                      <w:t>等</w:t>
                    </w:r>
                  </w:p>
                </w:txbxContent>
              </v:textbox>
            </v:shape>
          </v:group>
        </w:pict>
      </w:r>
      <w:r>
        <w:pict>
          <v:group id="_x0000_s1052" style="width:158.35pt;height:28.5pt;margin-top:35.47pt;margin-left:151.6pt;mso-position-horizontal-relative:page;position:absolute;z-index:-251654144" coordorigin="3032,709" coordsize="3167,570">
            <v:shape id="_x0000_s1053" type="#_x0000_t75" style="width:3167;height:285;left:3031;position:absolute;top:709" stroked="f">
              <v:imagedata r:id="rId6" o:title=""/>
            </v:shape>
            <v:shape id="_x0000_s1054" type="#_x0000_t75" style="width:3167;height:285;left:3031;position:absolute;top:994" stroked="f">
              <v:imagedata r:id="rId6" o:title=""/>
            </v:shape>
          </v:group>
        </w:pict>
      </w:r>
      <w:r>
        <w:pict>
          <v:group id="_x0000_s1055" style="width:174.25pt;height:35.9pt;margin-top:84.25pt;margin-left:144.06pt;mso-position-horizontal-relative:page;position:absolute;z-index:-251653120" coordorigin="2881,1685" coordsize="3485,718">
            <v:shape id="_x0000_s1056" type="#_x0000_t75" style="width:3485;height:270;left:2881;position:absolute;top:1847" stroked="f">
              <v:imagedata r:id="rId12" o:title=""/>
            </v:shape>
            <v:shape id="_x0000_s1057" type="#_x0000_t75" style="width:3485;height:285;left:2881;position:absolute;top:2117" stroked="f">
              <v:imagedata r:id="rId13" o:title=""/>
            </v:shape>
            <v:shape id="_x0000_s1058" type="#_x0000_t75" style="width:167;height:149;left:4527;position:absolute;top:1685" stroked="f">
              <v:imagedata r:id="rId11" o:title=""/>
            </v:shape>
          </v:group>
        </w:pict>
      </w:r>
      <w:r>
        <w:pict>
          <v:group id="_x0000_s1059" style="width:174.25pt;height:36.2pt;margin-top:140.87pt;margin-left:145.73pt;mso-position-horizontal-relative:page;position:absolute;z-index:-251652096" coordorigin="2915,2817" coordsize="3485,724">
            <v:shape id="_x0000_s1060" type="#_x0000_t75" style="width:3485;height:285;left:2914;position:absolute;top:2971" stroked="f">
              <v:imagedata r:id="rId14" o:title=""/>
            </v:shape>
            <v:shape id="_x0000_s1061" type="#_x0000_t75" style="width:3485;height:285;left:2914;position:absolute;top:3256" stroked="f">
              <v:imagedata r:id="rId14" o:title=""/>
            </v:shape>
            <v:shape id="_x0000_s1062" type="#_x0000_t75" style="width:167;height:149;left:4527;position:absolute;top:2817" stroked="f">
              <v:imagedata r:id="rId11" o:title=""/>
            </v:shape>
          </v:group>
        </w:pict>
      </w:r>
      <w:bookmarkStart w:id="5" w:name="_TOC_250004"/>
      <w:bookmarkEnd w:id="5"/>
      <w:r>
        <w:rPr>
          <w:spacing w:val="-1"/>
        </w:rPr>
        <w:t>六、测量监理工作流程</w:t>
      </w:r>
    </w:p>
    <w:p>
      <w:pPr>
        <w:pStyle w:val="BodyText"/>
        <w:spacing w:before="14"/>
        <w:rPr>
          <w:rFonts w:ascii="Microsoft JhengHei"/>
          <w:b/>
          <w:sz w:val="7"/>
        </w:rPr>
      </w:pPr>
    </w:p>
    <w:tbl>
      <w:tblPr>
        <w:tblStyle w:val="TableNormal1"/>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83"/>
        <w:gridCol w:w="1583"/>
      </w:tblGrid>
      <w:tr>
        <w:tblPrEx>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573"/>
              <w:rPr>
                <w:rFonts w:ascii="Microsoft JhengHei" w:eastAsia="Microsoft JhengHei"/>
                <w:b/>
                <w:sz w:val="18"/>
              </w:rPr>
            </w:pPr>
            <w:r>
              <w:rPr>
                <w:rFonts w:ascii="Microsoft JhengHei" w:eastAsia="Microsoft JhengHei"/>
                <w:b/>
                <w:w w:val="110"/>
                <w:sz w:val="18"/>
              </w:rPr>
              <w:t>审</w:t>
            </w:r>
            <w:r>
              <w:rPr>
                <w:rFonts w:ascii="Microsoft JhengHei" w:eastAsia="Microsoft JhengHei"/>
                <w:b/>
                <w:w w:val="110"/>
                <w:sz w:val="18"/>
              </w:rPr>
              <w:t>批</w:t>
            </w: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单</w:t>
            </w:r>
            <w:r>
              <w:rPr>
                <w:rFonts w:ascii="Microsoft JhengHei" w:eastAsia="Microsoft JhengHei"/>
                <w:b/>
                <w:w w:val="110"/>
                <w:sz w:val="18"/>
              </w:rPr>
              <w:t>位</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方</w:t>
            </w:r>
            <w:r>
              <w:rPr>
                <w:rFonts w:ascii="Microsoft JhengHei" w:eastAsia="Microsoft JhengHei"/>
                <w:b/>
                <w:spacing w:val="-10"/>
                <w:w w:val="110"/>
                <w:sz w:val="18"/>
              </w:rPr>
              <w:t>案</w:t>
            </w:r>
          </w:p>
        </w:tc>
      </w:tr>
      <w:tr>
        <w:tblPrEx>
          <w:tblW w:w="0" w:type="auto"/>
          <w:jc w:val="left"/>
          <w:tblInd w:w="1855" w:type="dxa"/>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775"/>
              <w:rPr>
                <w:rFonts w:ascii="Microsoft JhengHei" w:eastAsia="Microsoft JhengHei"/>
                <w:b/>
                <w:sz w:val="18"/>
              </w:rPr>
            </w:pP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工</w:t>
            </w:r>
            <w:r>
              <w:rPr>
                <w:rFonts w:ascii="Microsoft JhengHei" w:eastAsia="Microsoft JhengHei"/>
                <w:b/>
                <w:w w:val="110"/>
                <w:sz w:val="18"/>
              </w:rPr>
              <w:t>程</w:t>
            </w:r>
            <w:r>
              <w:rPr>
                <w:rFonts w:ascii="Microsoft JhengHei" w:eastAsia="Microsoft JhengHei"/>
                <w:b/>
                <w:w w:val="110"/>
                <w:sz w:val="18"/>
              </w:rPr>
              <w:t>师</w:t>
            </w:r>
            <w:r>
              <w:rPr>
                <w:rFonts w:ascii="Microsoft JhengHei" w:eastAsia="Microsoft JhengHei"/>
                <w:b/>
                <w:w w:val="110"/>
                <w:sz w:val="18"/>
              </w:rPr>
              <w:t>及</w:t>
            </w:r>
            <w:r>
              <w:rPr>
                <w:rFonts w:ascii="Microsoft JhengHei" w:eastAsia="Microsoft JhengHei"/>
                <w:b/>
                <w:w w:val="110"/>
                <w:sz w:val="18"/>
              </w:rPr>
              <w:t>总</w:t>
            </w:r>
            <w:r>
              <w:rPr>
                <w:rFonts w:ascii="Microsoft JhengHei" w:eastAsia="Microsoft JhengHei"/>
                <w:b/>
                <w:spacing w:val="-10"/>
                <w:w w:val="110"/>
                <w:sz w:val="18"/>
              </w:rPr>
              <w:t>监</w:t>
            </w:r>
          </w:p>
        </w:tc>
      </w:tr>
      <w:tr>
        <w:tblPrEx>
          <w:tblW w:w="0" w:type="auto"/>
          <w:jc w:val="left"/>
          <w:tblInd w:w="1855" w:type="dxa"/>
          <w:tblLayout w:type="fixed"/>
          <w:tblCellMar>
            <w:top w:w="0" w:type="dxa"/>
            <w:left w:w="0" w:type="dxa"/>
            <w:bottom w:w="0" w:type="dxa"/>
            <w:right w:w="0" w:type="dxa"/>
          </w:tblCellMar>
          <w:tblLook w:val="01E0"/>
        </w:tblPrEx>
        <w:trPr>
          <w:trHeight w:val="446"/>
          <w:jc w:val="left"/>
        </w:trPr>
        <w:tc>
          <w:tcPr>
            <w:tcW w:w="1583" w:type="dxa"/>
            <w:tcBorders>
              <w:left w:val="nil"/>
              <w:bottom w:val="nil"/>
              <w:right w:val="single" w:sz="12" w:space="0" w:color="000000"/>
            </w:tcBorders>
          </w:tcPr>
          <w:p>
            <w:pPr>
              <w:pStyle w:val="TableParagraph"/>
              <w:rPr>
                <w:rFonts w:ascii="Times New Roman"/>
                <w:sz w:val="20"/>
              </w:rPr>
            </w:pPr>
          </w:p>
        </w:tc>
        <w:tc>
          <w:tcPr>
            <w:tcW w:w="1583" w:type="dxa"/>
            <w:tcBorders>
              <w:left w:val="single" w:sz="12" w:space="0" w:color="000000"/>
              <w:bottom w:val="nil"/>
              <w:right w:val="nil"/>
            </w:tcBorders>
          </w:tcPr>
          <w:p>
            <w:pPr>
              <w:pStyle w:val="TableParagraph"/>
              <w:rPr>
                <w:rFonts w:ascii="Times New Roman"/>
                <w:sz w:val="20"/>
              </w:rPr>
            </w:pPr>
          </w:p>
        </w:tc>
      </w:tr>
    </w:tbl>
    <w:p>
      <w:pPr>
        <w:pStyle w:val="BodyText"/>
        <w:spacing w:before="13"/>
        <w:rPr>
          <w:rFonts w:ascii="Microsoft JhengHei"/>
          <w:b/>
          <w:sz w:val="5"/>
        </w:rPr>
      </w:pPr>
    </w:p>
    <w:tbl>
      <w:tblPr>
        <w:tblStyle w:val="TableNormal1"/>
        <w:tblW w:w="0" w:type="auto"/>
        <w:jc w:val="left"/>
        <w:tblInd w:w="16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41"/>
        <w:gridCol w:w="1741"/>
      </w:tblGrid>
      <w:tr>
        <w:tblPrEx>
          <w:tblW w:w="0" w:type="auto"/>
          <w:jc w:val="left"/>
          <w:tblInd w:w="16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8"/>
          <w:jc w:val="left"/>
        </w:trPr>
        <w:tc>
          <w:tcPr>
            <w:tcW w:w="3482" w:type="dxa"/>
            <w:gridSpan w:val="2"/>
          </w:tcPr>
          <w:p>
            <w:pPr>
              <w:pStyle w:val="TableParagraph"/>
              <w:spacing w:line="248" w:lineRule="exact"/>
              <w:ind w:left="227"/>
              <w:rPr>
                <w:rFonts w:ascii="Microsoft JhengHei" w:eastAsia="Microsoft JhengHei"/>
                <w:b/>
                <w:sz w:val="18"/>
              </w:rPr>
            </w:pPr>
            <w:r>
              <w:rPr>
                <w:rFonts w:ascii="Microsoft JhengHei" w:eastAsia="Microsoft JhengHei"/>
                <w:b/>
                <w:w w:val="110"/>
                <w:sz w:val="18"/>
              </w:rPr>
              <w:t>审</w:t>
            </w:r>
            <w:r>
              <w:rPr>
                <w:rFonts w:ascii="Microsoft JhengHei" w:eastAsia="Microsoft JhengHei"/>
                <w:b/>
                <w:w w:val="110"/>
                <w:sz w:val="18"/>
              </w:rPr>
              <w:t>查</w:t>
            </w: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单</w:t>
            </w:r>
            <w:r>
              <w:rPr>
                <w:rFonts w:ascii="Microsoft JhengHei" w:eastAsia="Microsoft JhengHei"/>
                <w:b/>
                <w:w w:val="110"/>
                <w:sz w:val="18"/>
              </w:rPr>
              <w:t>位</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人</w:t>
            </w:r>
            <w:r>
              <w:rPr>
                <w:rFonts w:ascii="Microsoft JhengHei" w:eastAsia="Microsoft JhengHei"/>
                <w:b/>
                <w:w w:val="110"/>
                <w:sz w:val="18"/>
              </w:rPr>
              <w:t>员</w:t>
            </w:r>
            <w:r>
              <w:rPr>
                <w:rFonts w:ascii="Microsoft JhengHei" w:eastAsia="Microsoft JhengHei"/>
                <w:b/>
                <w:w w:val="110"/>
                <w:sz w:val="18"/>
              </w:rPr>
              <w:t>及</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仪</w:t>
            </w:r>
            <w:r>
              <w:rPr>
                <w:rFonts w:ascii="Microsoft JhengHei" w:eastAsia="Microsoft JhengHei"/>
                <w:b/>
                <w:spacing w:val="-10"/>
                <w:w w:val="110"/>
                <w:sz w:val="18"/>
              </w:rPr>
              <w:t>器</w:t>
            </w:r>
          </w:p>
        </w:tc>
      </w:tr>
      <w:tr>
        <w:tblPrEx>
          <w:tblW w:w="0" w:type="auto"/>
          <w:jc w:val="left"/>
          <w:tblInd w:w="1697" w:type="dxa"/>
          <w:tblLayout w:type="fixed"/>
          <w:tblCellMar>
            <w:top w:w="0" w:type="dxa"/>
            <w:left w:w="0" w:type="dxa"/>
            <w:bottom w:w="0" w:type="dxa"/>
            <w:right w:w="0" w:type="dxa"/>
          </w:tblCellMar>
          <w:tblLook w:val="01E0"/>
        </w:tblPrEx>
        <w:trPr>
          <w:trHeight w:val="268"/>
          <w:jc w:val="left"/>
        </w:trPr>
        <w:tc>
          <w:tcPr>
            <w:tcW w:w="3482" w:type="dxa"/>
            <w:gridSpan w:val="2"/>
          </w:tcPr>
          <w:p>
            <w:pPr>
              <w:pStyle w:val="TableParagraph"/>
              <w:spacing w:line="248" w:lineRule="exact"/>
              <w:ind w:left="1230" w:right="1217"/>
              <w:jc w:val="center"/>
              <w:rPr>
                <w:rFonts w:ascii="Microsoft JhengHei" w:eastAsia="Microsoft JhengHei"/>
                <w:b/>
                <w:sz w:val="18"/>
              </w:rPr>
            </w:pP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工</w:t>
            </w:r>
            <w:r>
              <w:rPr>
                <w:rFonts w:ascii="Microsoft JhengHei" w:eastAsia="Microsoft JhengHei"/>
                <w:b/>
                <w:w w:val="110"/>
                <w:sz w:val="18"/>
              </w:rPr>
              <w:t>程</w:t>
            </w:r>
            <w:r>
              <w:rPr>
                <w:rFonts w:ascii="Microsoft JhengHei" w:eastAsia="Microsoft JhengHei"/>
                <w:b/>
                <w:spacing w:val="-10"/>
                <w:w w:val="110"/>
                <w:sz w:val="18"/>
              </w:rPr>
              <w:t>师</w:t>
            </w:r>
          </w:p>
        </w:tc>
      </w:tr>
      <w:tr>
        <w:tblPrEx>
          <w:tblW w:w="0" w:type="auto"/>
          <w:jc w:val="left"/>
          <w:tblInd w:w="1697" w:type="dxa"/>
          <w:tblLayout w:type="fixed"/>
          <w:tblCellMar>
            <w:top w:w="0" w:type="dxa"/>
            <w:left w:w="0" w:type="dxa"/>
            <w:bottom w:w="0" w:type="dxa"/>
            <w:right w:w="0" w:type="dxa"/>
          </w:tblCellMar>
          <w:tblLook w:val="01E0"/>
        </w:tblPrEx>
        <w:trPr>
          <w:trHeight w:val="446"/>
          <w:jc w:val="left"/>
        </w:trPr>
        <w:tc>
          <w:tcPr>
            <w:tcW w:w="1741" w:type="dxa"/>
            <w:tcBorders>
              <w:left w:val="nil"/>
              <w:bottom w:val="nil"/>
              <w:right w:val="single" w:sz="12" w:space="0" w:color="000000"/>
            </w:tcBorders>
          </w:tcPr>
          <w:p>
            <w:pPr>
              <w:pStyle w:val="TableParagraph"/>
              <w:rPr>
                <w:rFonts w:ascii="Times New Roman"/>
                <w:sz w:val="20"/>
              </w:rPr>
            </w:pPr>
          </w:p>
        </w:tc>
        <w:tc>
          <w:tcPr>
            <w:tcW w:w="1741" w:type="dxa"/>
            <w:tcBorders>
              <w:left w:val="single" w:sz="12" w:space="0" w:color="000000"/>
              <w:bottom w:val="nil"/>
              <w:right w:val="nil"/>
            </w:tcBorders>
          </w:tcPr>
          <w:p>
            <w:pPr>
              <w:pStyle w:val="TableParagraph"/>
              <w:rPr>
                <w:rFonts w:ascii="Times New Roman"/>
                <w:sz w:val="20"/>
              </w:rPr>
            </w:pPr>
          </w:p>
        </w:tc>
      </w:tr>
    </w:tbl>
    <w:p>
      <w:pPr>
        <w:pStyle w:val="BodyText"/>
        <w:spacing w:before="13"/>
        <w:rPr>
          <w:rFonts w:ascii="Microsoft JhengHei"/>
          <w:b/>
          <w:sz w:val="5"/>
        </w:rPr>
      </w:pPr>
    </w:p>
    <w:tbl>
      <w:tblPr>
        <w:tblStyle w:val="TableNormal1"/>
        <w:tblW w:w="0" w:type="auto"/>
        <w:jc w:val="left"/>
        <w:tblInd w:w="17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10"/>
        <w:gridCol w:w="1773"/>
      </w:tblGrid>
      <w:tr>
        <w:tblPrEx>
          <w:tblW w:w="0" w:type="auto"/>
          <w:jc w:val="left"/>
          <w:tblInd w:w="17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8"/>
          <w:jc w:val="left"/>
        </w:trPr>
        <w:tc>
          <w:tcPr>
            <w:tcW w:w="3483" w:type="dxa"/>
            <w:gridSpan w:val="2"/>
          </w:tcPr>
          <w:p>
            <w:pPr>
              <w:pStyle w:val="TableParagraph"/>
              <w:spacing w:line="248" w:lineRule="exact"/>
              <w:ind w:left="227"/>
              <w:rPr>
                <w:rFonts w:ascii="Microsoft JhengHei" w:eastAsia="Microsoft JhengHei"/>
                <w:b/>
                <w:sz w:val="18"/>
              </w:rPr>
            </w:pPr>
            <w:r>
              <w:rPr>
                <w:rFonts w:ascii="Microsoft JhengHei" w:eastAsia="Microsoft JhengHei"/>
                <w:b/>
                <w:w w:val="110"/>
                <w:sz w:val="18"/>
              </w:rPr>
              <w:t>实</w:t>
            </w: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程</w:t>
            </w:r>
            <w:r>
              <w:rPr>
                <w:rFonts w:ascii="Microsoft JhengHei" w:eastAsia="Microsoft JhengHei"/>
                <w:b/>
                <w:w w:val="110"/>
                <w:sz w:val="18"/>
              </w:rPr>
              <w:t>定</w:t>
            </w:r>
            <w:r>
              <w:rPr>
                <w:rFonts w:ascii="Microsoft JhengHei" w:eastAsia="Microsoft JhengHei"/>
                <w:b/>
                <w:w w:val="110"/>
                <w:sz w:val="18"/>
              </w:rPr>
              <w:t>位</w:t>
            </w:r>
            <w:r>
              <w:rPr>
                <w:rFonts w:ascii="Microsoft JhengHei" w:eastAsia="Microsoft JhengHei"/>
                <w:b/>
                <w:w w:val="110"/>
                <w:sz w:val="18"/>
              </w:rPr>
              <w:t>放</w:t>
            </w:r>
            <w:r>
              <w:rPr>
                <w:rFonts w:ascii="Microsoft JhengHei" w:eastAsia="Microsoft JhengHei"/>
                <w:b/>
                <w:w w:val="110"/>
                <w:sz w:val="18"/>
              </w:rPr>
              <w:t>线</w:t>
            </w:r>
            <w:r>
              <w:rPr>
                <w:rFonts w:ascii="Microsoft JhengHei" w:eastAsia="Microsoft JhengHei"/>
                <w:b/>
                <w:w w:val="110"/>
                <w:sz w:val="18"/>
              </w:rPr>
              <w:t>及</w:t>
            </w: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放</w:t>
            </w:r>
            <w:r>
              <w:rPr>
                <w:rFonts w:ascii="Microsoft JhengHei" w:eastAsia="Microsoft JhengHei"/>
                <w:b/>
                <w:spacing w:val="-10"/>
                <w:w w:val="110"/>
                <w:sz w:val="18"/>
              </w:rPr>
              <w:t>线</w:t>
            </w:r>
          </w:p>
        </w:tc>
      </w:tr>
      <w:tr>
        <w:tblPrEx>
          <w:tblW w:w="0" w:type="auto"/>
          <w:jc w:val="left"/>
          <w:tblInd w:w="1729" w:type="dxa"/>
          <w:tblLayout w:type="fixed"/>
          <w:tblCellMar>
            <w:top w:w="0" w:type="dxa"/>
            <w:left w:w="0" w:type="dxa"/>
            <w:bottom w:w="0" w:type="dxa"/>
            <w:right w:w="0" w:type="dxa"/>
          </w:tblCellMar>
          <w:tblLook w:val="01E0"/>
        </w:tblPrEx>
        <w:trPr>
          <w:trHeight w:val="268"/>
          <w:jc w:val="left"/>
        </w:trPr>
        <w:tc>
          <w:tcPr>
            <w:tcW w:w="3483" w:type="dxa"/>
            <w:gridSpan w:val="2"/>
          </w:tcPr>
          <w:p>
            <w:pPr>
              <w:pStyle w:val="TableParagraph"/>
              <w:spacing w:line="248" w:lineRule="exact"/>
              <w:ind w:left="1329" w:right="1317"/>
              <w:jc w:val="center"/>
              <w:rPr>
                <w:rFonts w:ascii="Microsoft JhengHei" w:eastAsia="Microsoft JhengHei"/>
                <w:b/>
                <w:sz w:val="18"/>
              </w:rPr>
            </w:pP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单</w:t>
            </w:r>
            <w:r>
              <w:rPr>
                <w:rFonts w:ascii="Microsoft JhengHei" w:eastAsia="Microsoft JhengHei"/>
                <w:b/>
                <w:spacing w:val="-10"/>
                <w:w w:val="110"/>
                <w:sz w:val="18"/>
              </w:rPr>
              <w:t>位</w:t>
            </w:r>
          </w:p>
        </w:tc>
      </w:tr>
      <w:tr>
        <w:tblPrEx>
          <w:tblW w:w="0" w:type="auto"/>
          <w:jc w:val="left"/>
          <w:tblInd w:w="1729" w:type="dxa"/>
          <w:tblLayout w:type="fixed"/>
          <w:tblCellMar>
            <w:top w:w="0" w:type="dxa"/>
            <w:left w:w="0" w:type="dxa"/>
            <w:bottom w:w="0" w:type="dxa"/>
            <w:right w:w="0" w:type="dxa"/>
          </w:tblCellMar>
          <w:tblLook w:val="01E0"/>
        </w:tblPrEx>
        <w:trPr>
          <w:trHeight w:val="446"/>
          <w:jc w:val="left"/>
        </w:trPr>
        <w:tc>
          <w:tcPr>
            <w:tcW w:w="1710" w:type="dxa"/>
            <w:tcBorders>
              <w:left w:val="nil"/>
              <w:bottom w:val="nil"/>
              <w:right w:val="single" w:sz="12" w:space="0" w:color="000000"/>
            </w:tcBorders>
          </w:tcPr>
          <w:p>
            <w:pPr>
              <w:pStyle w:val="TableParagraph"/>
              <w:rPr>
                <w:rFonts w:ascii="Times New Roman"/>
                <w:sz w:val="20"/>
              </w:rPr>
            </w:pPr>
          </w:p>
        </w:tc>
        <w:tc>
          <w:tcPr>
            <w:tcW w:w="1773" w:type="dxa"/>
            <w:tcBorders>
              <w:left w:val="single" w:sz="12" w:space="0" w:color="000000"/>
              <w:bottom w:val="nil"/>
              <w:right w:val="nil"/>
            </w:tcBorders>
          </w:tcPr>
          <w:p>
            <w:pPr>
              <w:pStyle w:val="TableParagraph"/>
              <w:rPr>
                <w:rFonts w:ascii="Times New Roman"/>
                <w:sz w:val="20"/>
              </w:rPr>
            </w:pPr>
          </w:p>
        </w:tc>
      </w:tr>
    </w:tbl>
    <w:p>
      <w:pPr>
        <w:pStyle w:val="BodyText"/>
        <w:rPr>
          <w:rFonts w:ascii="Microsoft JhengHei"/>
          <w:b/>
          <w:sz w:val="20"/>
        </w:rPr>
      </w:pPr>
    </w:p>
    <w:p>
      <w:pPr>
        <w:pStyle w:val="BodyText"/>
        <w:rPr>
          <w:rFonts w:ascii="Microsoft JhengHei"/>
          <w:b/>
          <w:sz w:val="20"/>
        </w:rPr>
      </w:pPr>
    </w:p>
    <w:p>
      <w:pPr>
        <w:pStyle w:val="BodyText"/>
        <w:spacing w:before="5"/>
        <w:rPr>
          <w:rFonts w:ascii="Microsoft JhengHei"/>
          <w:b/>
          <w:sz w:val="27"/>
        </w:rPr>
      </w:pPr>
    </w:p>
    <w:tbl>
      <w:tblPr>
        <w:tblStyle w:val="TableNormal1"/>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83"/>
        <w:gridCol w:w="1583"/>
      </w:tblGrid>
      <w:tr>
        <w:tblPrEx>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775"/>
              <w:rPr>
                <w:rFonts w:ascii="Microsoft JhengHei" w:eastAsia="Microsoft JhengHei"/>
                <w:b/>
                <w:sz w:val="18"/>
              </w:rPr>
            </w:pPr>
            <w:r>
              <w:rPr>
                <w:rFonts w:ascii="Microsoft JhengHei" w:eastAsia="Microsoft JhengHei"/>
                <w:b/>
                <w:w w:val="110"/>
                <w:sz w:val="18"/>
              </w:rPr>
              <w:t>复</w:t>
            </w:r>
            <w:r>
              <w:rPr>
                <w:rFonts w:ascii="Microsoft JhengHei" w:eastAsia="Microsoft JhengHei"/>
                <w:b/>
                <w:w w:val="110"/>
                <w:sz w:val="18"/>
              </w:rPr>
              <w:t>核</w:t>
            </w:r>
            <w:r>
              <w:rPr>
                <w:rFonts w:ascii="Microsoft JhengHei" w:eastAsia="Microsoft JhengHei"/>
                <w:b/>
                <w:w w:val="110"/>
                <w:sz w:val="18"/>
              </w:rPr>
              <w:t>相</w:t>
            </w:r>
            <w:r>
              <w:rPr>
                <w:rFonts w:ascii="Microsoft JhengHei" w:eastAsia="Microsoft JhengHei"/>
                <w:b/>
                <w:w w:val="110"/>
                <w:sz w:val="18"/>
              </w:rPr>
              <w:t>关</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记</w:t>
            </w:r>
            <w:r>
              <w:rPr>
                <w:rFonts w:ascii="Microsoft JhengHei" w:eastAsia="Microsoft JhengHei"/>
                <w:b/>
                <w:spacing w:val="-10"/>
                <w:w w:val="110"/>
                <w:sz w:val="18"/>
              </w:rPr>
              <w:t>录</w:t>
            </w:r>
          </w:p>
        </w:tc>
      </w:tr>
      <w:tr>
        <w:tblPrEx>
          <w:tblW w:w="0" w:type="auto"/>
          <w:jc w:val="left"/>
          <w:tblInd w:w="1855" w:type="dxa"/>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876"/>
              <w:rPr>
                <w:rFonts w:ascii="Microsoft JhengHei" w:eastAsia="Microsoft JhengHei"/>
                <w:b/>
                <w:sz w:val="18"/>
              </w:rPr>
            </w:pP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监</w:t>
            </w:r>
            <w:r>
              <w:rPr>
                <w:rFonts w:ascii="Microsoft JhengHei" w:eastAsia="Microsoft JhengHei"/>
                <w:b/>
                <w:w w:val="110"/>
                <w:sz w:val="18"/>
              </w:rPr>
              <w:t>理</w:t>
            </w:r>
            <w:r>
              <w:rPr>
                <w:rFonts w:ascii="Microsoft JhengHei" w:eastAsia="Microsoft JhengHei"/>
                <w:b/>
                <w:w w:val="110"/>
                <w:sz w:val="18"/>
              </w:rPr>
              <w:t>工</w:t>
            </w:r>
            <w:r>
              <w:rPr>
                <w:rFonts w:ascii="Microsoft JhengHei" w:eastAsia="Microsoft JhengHei"/>
                <w:b/>
                <w:w w:val="110"/>
                <w:sz w:val="18"/>
              </w:rPr>
              <w:t>程</w:t>
            </w:r>
            <w:r>
              <w:rPr>
                <w:rFonts w:ascii="Microsoft JhengHei" w:eastAsia="Microsoft JhengHei"/>
                <w:b/>
                <w:spacing w:val="-10"/>
                <w:w w:val="110"/>
                <w:sz w:val="18"/>
              </w:rPr>
              <w:t>师</w:t>
            </w:r>
          </w:p>
        </w:tc>
      </w:tr>
      <w:tr>
        <w:tblPrEx>
          <w:tblW w:w="0" w:type="auto"/>
          <w:jc w:val="left"/>
          <w:tblInd w:w="1855" w:type="dxa"/>
          <w:tblLayout w:type="fixed"/>
          <w:tblCellMar>
            <w:top w:w="0" w:type="dxa"/>
            <w:left w:w="0" w:type="dxa"/>
            <w:bottom w:w="0" w:type="dxa"/>
            <w:right w:w="0" w:type="dxa"/>
          </w:tblCellMar>
          <w:tblLook w:val="01E0"/>
        </w:tblPrEx>
        <w:trPr>
          <w:trHeight w:val="446"/>
          <w:jc w:val="left"/>
        </w:trPr>
        <w:tc>
          <w:tcPr>
            <w:tcW w:w="1583" w:type="dxa"/>
            <w:tcBorders>
              <w:left w:val="nil"/>
              <w:bottom w:val="nil"/>
              <w:right w:val="single" w:sz="12" w:space="0" w:color="000000"/>
            </w:tcBorders>
          </w:tcPr>
          <w:p>
            <w:pPr>
              <w:pStyle w:val="TableParagraph"/>
              <w:rPr>
                <w:rFonts w:ascii="Times New Roman"/>
                <w:sz w:val="20"/>
              </w:rPr>
            </w:pPr>
          </w:p>
        </w:tc>
        <w:tc>
          <w:tcPr>
            <w:tcW w:w="1583" w:type="dxa"/>
            <w:tcBorders>
              <w:left w:val="single" w:sz="12" w:space="0" w:color="000000"/>
              <w:bottom w:val="nil"/>
              <w:right w:val="nil"/>
            </w:tcBorders>
          </w:tcPr>
          <w:p>
            <w:pPr>
              <w:pStyle w:val="TableParagraph"/>
              <w:rPr>
                <w:rFonts w:ascii="Times New Roman"/>
                <w:sz w:val="20"/>
              </w:rPr>
            </w:pPr>
          </w:p>
        </w:tc>
      </w:tr>
    </w:tbl>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3"/>
        <w:rPr>
          <w:rFonts w:ascii="Microsoft JhengHei"/>
          <w:b/>
          <w:sz w:val="22"/>
        </w:rPr>
      </w:pPr>
    </w:p>
    <w:tbl>
      <w:tblPr>
        <w:tblStyle w:val="TableNormal1"/>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83"/>
        <w:gridCol w:w="1583"/>
      </w:tblGrid>
      <w:tr>
        <w:tblPrEx>
          <w:tblW w:w="0" w:type="auto"/>
          <w:jc w:val="left"/>
          <w:tblInd w:w="1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775"/>
              <w:rPr>
                <w:rFonts w:ascii="Microsoft JhengHei" w:eastAsia="Microsoft JhengHei"/>
                <w:b/>
                <w:sz w:val="18"/>
              </w:rPr>
            </w:pPr>
            <w:r>
              <w:rPr>
                <w:rFonts w:ascii="Microsoft JhengHei" w:eastAsia="Microsoft JhengHei"/>
                <w:b/>
                <w:w w:val="110"/>
                <w:sz w:val="18"/>
              </w:rPr>
              <w:t>签</w:t>
            </w:r>
            <w:r>
              <w:rPr>
                <w:rFonts w:ascii="Microsoft JhengHei" w:eastAsia="Microsoft JhengHei"/>
                <w:b/>
                <w:w w:val="110"/>
                <w:sz w:val="18"/>
              </w:rPr>
              <w:t>署</w:t>
            </w:r>
            <w:r>
              <w:rPr>
                <w:rFonts w:ascii="Microsoft JhengHei" w:eastAsia="Microsoft JhengHei"/>
                <w:b/>
                <w:w w:val="110"/>
                <w:sz w:val="18"/>
              </w:rPr>
              <w:t>相</w:t>
            </w:r>
            <w:r>
              <w:rPr>
                <w:rFonts w:ascii="Microsoft JhengHei" w:eastAsia="Microsoft JhengHei"/>
                <w:b/>
                <w:w w:val="110"/>
                <w:sz w:val="18"/>
              </w:rPr>
              <w:t>关</w:t>
            </w: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资</w:t>
            </w:r>
            <w:r>
              <w:rPr>
                <w:rFonts w:ascii="Microsoft JhengHei" w:eastAsia="Microsoft JhengHei"/>
                <w:b/>
                <w:spacing w:val="-10"/>
                <w:w w:val="110"/>
                <w:sz w:val="18"/>
              </w:rPr>
              <w:t>料</w:t>
            </w:r>
          </w:p>
        </w:tc>
      </w:tr>
      <w:tr>
        <w:tblPrEx>
          <w:tblW w:w="0" w:type="auto"/>
          <w:jc w:val="left"/>
          <w:tblInd w:w="1855" w:type="dxa"/>
          <w:tblLayout w:type="fixed"/>
          <w:tblCellMar>
            <w:top w:w="0" w:type="dxa"/>
            <w:left w:w="0" w:type="dxa"/>
            <w:bottom w:w="0" w:type="dxa"/>
            <w:right w:w="0" w:type="dxa"/>
          </w:tblCellMar>
          <w:tblLook w:val="01E0"/>
        </w:tblPrEx>
        <w:trPr>
          <w:trHeight w:val="268"/>
          <w:jc w:val="left"/>
        </w:trPr>
        <w:tc>
          <w:tcPr>
            <w:tcW w:w="3166" w:type="dxa"/>
            <w:gridSpan w:val="2"/>
          </w:tcPr>
          <w:p>
            <w:pPr>
              <w:pStyle w:val="TableParagraph"/>
              <w:spacing w:line="248" w:lineRule="exact"/>
              <w:ind w:left="876"/>
              <w:rPr>
                <w:rFonts w:ascii="Microsoft JhengHei" w:eastAsia="Microsoft JhengHei"/>
                <w:b/>
                <w:sz w:val="18"/>
              </w:rPr>
            </w:pPr>
            <w:r>
              <w:rPr>
                <w:rFonts w:ascii="Microsoft JhengHei" w:eastAsia="Microsoft JhengHei"/>
                <w:b/>
                <w:w w:val="110"/>
                <w:sz w:val="18"/>
              </w:rPr>
              <w:t>测</w:t>
            </w:r>
            <w:r>
              <w:rPr>
                <w:rFonts w:ascii="Microsoft JhengHei" w:eastAsia="Microsoft JhengHei"/>
                <w:b/>
                <w:w w:val="110"/>
                <w:sz w:val="18"/>
              </w:rPr>
              <w:t>量</w:t>
            </w:r>
            <w:r>
              <w:rPr>
                <w:rFonts w:ascii="Microsoft JhengHei" w:eastAsia="Microsoft JhengHei"/>
                <w:b/>
                <w:w w:val="110"/>
                <w:sz w:val="18"/>
              </w:rPr>
              <w:t>监</w:t>
            </w:r>
            <w:r>
              <w:rPr>
                <w:rFonts w:ascii="Microsoft JhengHei" w:eastAsia="Microsoft JhengHei"/>
                <w:b/>
                <w:w w:val="110"/>
                <w:sz w:val="18"/>
              </w:rPr>
              <w:t>理</w:t>
            </w:r>
            <w:r>
              <w:rPr>
                <w:rFonts w:ascii="Microsoft JhengHei" w:eastAsia="Microsoft JhengHei"/>
                <w:b/>
                <w:w w:val="110"/>
                <w:sz w:val="18"/>
              </w:rPr>
              <w:t>工</w:t>
            </w:r>
            <w:r>
              <w:rPr>
                <w:rFonts w:ascii="Microsoft JhengHei" w:eastAsia="Microsoft JhengHei"/>
                <w:b/>
                <w:w w:val="110"/>
                <w:sz w:val="18"/>
              </w:rPr>
              <w:t>程</w:t>
            </w:r>
            <w:r>
              <w:rPr>
                <w:rFonts w:ascii="Microsoft JhengHei" w:eastAsia="Microsoft JhengHei"/>
                <w:b/>
                <w:spacing w:val="-10"/>
                <w:w w:val="110"/>
                <w:sz w:val="18"/>
              </w:rPr>
              <w:t>师</w:t>
            </w:r>
          </w:p>
        </w:tc>
      </w:tr>
      <w:tr>
        <w:tblPrEx>
          <w:tblW w:w="0" w:type="auto"/>
          <w:jc w:val="left"/>
          <w:tblInd w:w="1855" w:type="dxa"/>
          <w:tblLayout w:type="fixed"/>
          <w:tblCellMar>
            <w:top w:w="0" w:type="dxa"/>
            <w:left w:w="0" w:type="dxa"/>
            <w:bottom w:w="0" w:type="dxa"/>
            <w:right w:w="0" w:type="dxa"/>
          </w:tblCellMar>
          <w:tblLook w:val="01E0"/>
        </w:tblPrEx>
        <w:trPr>
          <w:trHeight w:val="446"/>
          <w:jc w:val="left"/>
        </w:trPr>
        <w:tc>
          <w:tcPr>
            <w:tcW w:w="1583" w:type="dxa"/>
            <w:tcBorders>
              <w:left w:val="nil"/>
              <w:bottom w:val="nil"/>
              <w:right w:val="single" w:sz="12" w:space="0" w:color="000000"/>
            </w:tcBorders>
          </w:tcPr>
          <w:p>
            <w:pPr>
              <w:pStyle w:val="TableParagraph"/>
              <w:rPr>
                <w:rFonts w:ascii="Times New Roman"/>
                <w:sz w:val="20"/>
              </w:rPr>
            </w:pPr>
          </w:p>
        </w:tc>
        <w:tc>
          <w:tcPr>
            <w:tcW w:w="1583" w:type="dxa"/>
            <w:tcBorders>
              <w:left w:val="single" w:sz="12" w:space="0" w:color="000000"/>
              <w:bottom w:val="nil"/>
              <w:right w:val="nil"/>
            </w:tcBorders>
          </w:tcPr>
          <w:p>
            <w:pPr>
              <w:pStyle w:val="TableParagraph"/>
              <w:rPr>
                <w:rFonts w:ascii="Times New Roman"/>
                <w:sz w:val="20"/>
              </w:rPr>
            </w:pPr>
          </w:p>
        </w:tc>
      </w:tr>
    </w:tbl>
    <w:p>
      <w:pPr>
        <w:pStyle w:val="BodyText"/>
        <w:rPr>
          <w:rFonts w:ascii="Microsoft JhengHei"/>
          <w:b/>
          <w:sz w:val="28"/>
        </w:rPr>
      </w:pPr>
    </w:p>
    <w:p>
      <w:pPr>
        <w:pStyle w:val="BodyText"/>
        <w:rPr>
          <w:rFonts w:ascii="Microsoft JhengHei"/>
          <w:b/>
          <w:sz w:val="28"/>
        </w:rPr>
      </w:pPr>
    </w:p>
    <w:p>
      <w:pPr>
        <w:pStyle w:val="BodyText"/>
        <w:spacing w:before="9"/>
        <w:rPr>
          <w:rFonts w:ascii="Microsoft JhengHei"/>
          <w:b/>
          <w:sz w:val="35"/>
        </w:rPr>
      </w:pPr>
    </w:p>
    <w:p>
      <w:pPr>
        <w:spacing w:before="0"/>
        <w:ind w:left="0" w:right="450" w:firstLine="0"/>
        <w:jc w:val="center"/>
        <w:rPr>
          <w:rFonts w:ascii="Microsoft JhengHei" w:eastAsia="Microsoft JhengHei"/>
          <w:b/>
          <w:sz w:val="28"/>
        </w:rPr>
      </w:pPr>
      <w:r>
        <w:pict>
          <v:group id="_x0000_s1063" style="width:159.05pt;height:36.3pt;margin-top:-85.94pt;margin-left:151.05pt;mso-position-horizontal-relative:page;position:absolute;z-index:-251655168" coordorigin="3021,-1719" coordsize="3181,726">
            <v:shape id="_x0000_s1064" type="#_x0000_t75" style="width:3167;height:285;left:3031;position:absolute;top:-1563" stroked="f">
              <v:imagedata r:id="rId6" o:title=""/>
            </v:shape>
            <v:shape id="_x0000_s1065" type="#_x0000_t75" style="width:3167;height:285;left:3031;position:absolute;top:-1279" stroked="f">
              <v:imagedata r:id="rId6" o:title=""/>
            </v:shape>
            <v:shape id="_x0000_s1066" type="#_x0000_t75" style="width:167;height:149;left:4527;position:absolute;top:-1719" stroked="f">
              <v:imagedata r:id="rId11" o:title=""/>
            </v:shape>
            <v:shape id="_x0000_s1067" type="#_x0000_t202" style="width:3166;height:284;left:3028;position:absolute;top:-1288" filled="f" stroked="t" strokecolor="black" strokeweight="0.72pt">
              <v:stroke dashstyle="solid"/>
              <v:textbox inset="0,0,0,0">
                <w:txbxContent>
                  <w:p>
                    <w:pPr>
                      <w:spacing w:before="0" w:line="269" w:lineRule="exact"/>
                      <w:ind w:left="1164" w:right="1164" w:firstLine="0"/>
                      <w:jc w:val="center"/>
                      <w:rPr>
                        <w:rFonts w:ascii="Microsoft JhengHei" w:eastAsia="Microsoft JhengHei"/>
                        <w:b/>
                        <w:sz w:val="18"/>
                      </w:rPr>
                    </w:pPr>
                    <w:r>
                      <w:rPr>
                        <w:rFonts w:ascii="Microsoft JhengHei" w:eastAsia="Microsoft JhengHei"/>
                        <w:b/>
                        <w:w w:val="110"/>
                        <w:sz w:val="18"/>
                      </w:rPr>
                      <w:t>施</w:t>
                    </w:r>
                    <w:r>
                      <w:rPr>
                        <w:rFonts w:ascii="Microsoft JhengHei" w:eastAsia="Microsoft JhengHei"/>
                        <w:b/>
                        <w:w w:val="110"/>
                        <w:sz w:val="18"/>
                      </w:rPr>
                      <w:t>工</w:t>
                    </w:r>
                    <w:r>
                      <w:rPr>
                        <w:rFonts w:ascii="Microsoft JhengHei" w:eastAsia="Microsoft JhengHei"/>
                        <w:b/>
                        <w:w w:val="110"/>
                        <w:sz w:val="18"/>
                      </w:rPr>
                      <w:t>单</w:t>
                    </w:r>
                    <w:r>
                      <w:rPr>
                        <w:rFonts w:ascii="Microsoft JhengHei" w:eastAsia="Microsoft JhengHei"/>
                        <w:b/>
                        <w:spacing w:val="-10"/>
                        <w:w w:val="110"/>
                        <w:sz w:val="18"/>
                      </w:rPr>
                      <w:t>位</w:t>
                    </w:r>
                  </w:p>
                </w:txbxContent>
              </v:textbox>
            </v:shape>
            <v:shape id="_x0000_s1068" type="#_x0000_t202" style="width:3166;height:284;left:3028;position:absolute;top:-1571" filled="f" stroked="t" strokecolor="black" strokeweight="0.72pt">
              <v:stroke dashstyle="solid"/>
              <v:textbox inset="0,0,0,0">
                <w:txbxContent>
                  <w:p>
                    <w:pPr>
                      <w:spacing w:before="0" w:line="269" w:lineRule="exact"/>
                      <w:ind w:left="667" w:right="0" w:firstLine="0"/>
                      <w:jc w:val="left"/>
                      <w:rPr>
                        <w:rFonts w:ascii="Microsoft JhengHei" w:eastAsia="Microsoft JhengHei"/>
                        <w:b/>
                        <w:sz w:val="18"/>
                      </w:rPr>
                    </w:pPr>
                    <w:r>
                      <w:rPr>
                        <w:rFonts w:ascii="Microsoft JhengHei" w:eastAsia="Microsoft JhengHei"/>
                        <w:b/>
                        <w:w w:val="110"/>
                        <w:sz w:val="18"/>
                      </w:rPr>
                      <w:t>进</w:t>
                    </w:r>
                    <w:r>
                      <w:rPr>
                        <w:rFonts w:ascii="Microsoft JhengHei" w:eastAsia="Microsoft JhengHei"/>
                        <w:b/>
                        <w:w w:val="110"/>
                        <w:sz w:val="18"/>
                      </w:rPr>
                      <w:t>入</w:t>
                    </w:r>
                    <w:r>
                      <w:rPr>
                        <w:rFonts w:ascii="Microsoft JhengHei" w:eastAsia="Microsoft JhengHei"/>
                        <w:b/>
                        <w:w w:val="110"/>
                        <w:sz w:val="18"/>
                      </w:rPr>
                      <w:t>下</w:t>
                    </w:r>
                    <w:r>
                      <w:rPr>
                        <w:rFonts w:ascii="Microsoft JhengHei" w:eastAsia="Microsoft JhengHei"/>
                        <w:b/>
                        <w:w w:val="110"/>
                        <w:sz w:val="18"/>
                      </w:rPr>
                      <w:t>一</w:t>
                    </w:r>
                    <w:r>
                      <w:rPr>
                        <w:rFonts w:ascii="Microsoft JhengHei" w:eastAsia="Microsoft JhengHei"/>
                        <w:b/>
                        <w:w w:val="110"/>
                        <w:sz w:val="18"/>
                      </w:rPr>
                      <w:t>道</w:t>
                    </w:r>
                    <w:r>
                      <w:rPr>
                        <w:rFonts w:ascii="Microsoft JhengHei" w:eastAsia="Microsoft JhengHei"/>
                        <w:b/>
                        <w:w w:val="110"/>
                        <w:sz w:val="18"/>
                      </w:rPr>
                      <w:t>工</w:t>
                    </w:r>
                    <w:r>
                      <w:rPr>
                        <w:rFonts w:ascii="Microsoft JhengHei" w:eastAsia="Microsoft JhengHei"/>
                        <w:b/>
                        <w:w w:val="110"/>
                        <w:sz w:val="18"/>
                      </w:rPr>
                      <w:t>序</w:t>
                    </w:r>
                    <w:r>
                      <w:rPr>
                        <w:rFonts w:ascii="Microsoft JhengHei" w:eastAsia="Microsoft JhengHei"/>
                        <w:b/>
                        <w:w w:val="110"/>
                        <w:sz w:val="18"/>
                      </w:rPr>
                      <w:t>施</w:t>
                    </w:r>
                    <w:r>
                      <w:rPr>
                        <w:rFonts w:ascii="Microsoft JhengHei" w:eastAsia="Microsoft JhengHei"/>
                        <w:b/>
                        <w:spacing w:val="-10"/>
                        <w:w w:val="110"/>
                        <w:sz w:val="18"/>
                      </w:rPr>
                      <w:t>工</w:t>
                    </w:r>
                  </w:p>
                </w:txbxContent>
              </v:textbox>
            </v:shape>
          </v:group>
        </w:pict>
      </w:r>
      <w:r>
        <w:rPr>
          <w:rFonts w:ascii="Microsoft JhengHei" w:eastAsia="Microsoft JhengHei"/>
          <w:b/>
          <w:w w:val="110"/>
          <w:sz w:val="28"/>
        </w:rPr>
        <w:t>工</w:t>
      </w:r>
      <w:r>
        <w:rPr>
          <w:rFonts w:ascii="Microsoft JhengHei" w:eastAsia="Microsoft JhengHei"/>
          <w:b/>
          <w:w w:val="110"/>
          <w:sz w:val="28"/>
        </w:rPr>
        <w:t>程</w:t>
      </w:r>
      <w:r>
        <w:rPr>
          <w:rFonts w:ascii="Microsoft JhengHei" w:eastAsia="Microsoft JhengHei"/>
          <w:b/>
          <w:w w:val="110"/>
          <w:sz w:val="28"/>
        </w:rPr>
        <w:t>测</w:t>
      </w:r>
      <w:r>
        <w:rPr>
          <w:rFonts w:ascii="Microsoft JhengHei" w:eastAsia="Microsoft JhengHei"/>
          <w:b/>
          <w:w w:val="110"/>
          <w:sz w:val="28"/>
        </w:rPr>
        <w:t>量</w:t>
      </w:r>
      <w:r>
        <w:rPr>
          <w:rFonts w:ascii="Microsoft JhengHei" w:eastAsia="Microsoft JhengHei"/>
          <w:b/>
          <w:w w:val="110"/>
          <w:sz w:val="28"/>
        </w:rPr>
        <w:t>监</w:t>
      </w:r>
      <w:r>
        <w:rPr>
          <w:rFonts w:ascii="Microsoft JhengHei" w:eastAsia="Microsoft JhengHei"/>
          <w:b/>
          <w:w w:val="110"/>
          <w:sz w:val="28"/>
        </w:rPr>
        <w:t>理</w:t>
      </w:r>
      <w:r>
        <w:rPr>
          <w:rFonts w:ascii="Microsoft JhengHei" w:eastAsia="Microsoft JhengHei"/>
          <w:b/>
          <w:w w:val="110"/>
          <w:sz w:val="28"/>
        </w:rPr>
        <w:t>工</w:t>
      </w:r>
      <w:r>
        <w:rPr>
          <w:rFonts w:ascii="Microsoft JhengHei" w:eastAsia="Microsoft JhengHei"/>
          <w:b/>
          <w:w w:val="110"/>
          <w:sz w:val="28"/>
        </w:rPr>
        <w:t>作</w:t>
      </w:r>
      <w:r>
        <w:rPr>
          <w:rFonts w:ascii="Microsoft JhengHei" w:eastAsia="Microsoft JhengHei"/>
          <w:b/>
          <w:w w:val="110"/>
          <w:sz w:val="28"/>
        </w:rPr>
        <w:t>程</w:t>
      </w:r>
      <w:r>
        <w:rPr>
          <w:rFonts w:ascii="Microsoft JhengHei" w:eastAsia="Microsoft JhengHei"/>
          <w:b/>
          <w:w w:val="110"/>
          <w:sz w:val="28"/>
        </w:rPr>
        <w:t>序</w:t>
      </w:r>
      <w:r>
        <w:rPr>
          <w:rFonts w:ascii="Microsoft JhengHei" w:eastAsia="Microsoft JhengHei"/>
          <w:b/>
          <w:w w:val="110"/>
          <w:sz w:val="28"/>
        </w:rPr>
        <w:t>框</w:t>
      </w:r>
      <w:r>
        <w:rPr>
          <w:rFonts w:ascii="Microsoft JhengHei" w:eastAsia="Microsoft JhengHei"/>
          <w:b/>
          <w:spacing w:val="-10"/>
          <w:w w:val="110"/>
          <w:sz w:val="28"/>
        </w:rPr>
        <w:t>图</w:t>
      </w:r>
    </w:p>
    <w:p>
      <w:pPr>
        <w:pStyle w:val="BodyText"/>
        <w:spacing w:before="6"/>
        <w:rPr>
          <w:rFonts w:ascii="Microsoft JhengHei"/>
          <w:b/>
          <w:sz w:val="2"/>
        </w:rPr>
      </w:pPr>
      <w:r>
        <w:pict>
          <v:shape id="_x0000_s1069" style="width:253.3pt;height:0.1pt;margin-top:3.34pt;margin-left:176.74pt;mso-position-horizontal-relative:page;mso-wrap-distance-left:0;mso-wrap-distance-right:0;position:absolute;z-index:-251651072" coordorigin="3535,67" coordsize="5066,0" path="m3535,67l8600,67e" filled="f" stroked="t" strokecolor="black" strokeweight="4.07pt">
            <v:stroke dashstyle="solid"/>
            <v:path arrowok="t"/>
            <w10:wrap type="topAndBottom"/>
          </v:shape>
        </w:pict>
      </w:r>
    </w:p>
    <w:p>
      <w:pPr>
        <w:spacing w:after="0"/>
        <w:rPr>
          <w:rFonts w:ascii="Microsoft JhengHei"/>
          <w:sz w:val="2"/>
        </w:rPr>
        <w:sectPr>
          <w:footerReference w:type="default" r:id="rId15"/>
          <w:pgSz w:w="11910" w:h="16840"/>
          <w:pgMar w:top="1200" w:right="880" w:bottom="1180" w:left="1180" w:header="0" w:footer="927"/>
          <w:pgNumType w:start="3"/>
          <w:cols w:space="708"/>
        </w:sectPr>
      </w:pPr>
    </w:p>
    <w:p>
      <w:pPr>
        <w:pStyle w:val="Heading1"/>
        <w:spacing w:line="471" w:lineRule="exact"/>
      </w:pPr>
      <w:bookmarkStart w:id="6" w:name="_TOC_250003"/>
      <w:bookmarkEnd w:id="6"/>
      <w:r>
        <w:rPr>
          <w:spacing w:val="-1"/>
        </w:rPr>
        <w:t>七、工程测量监理方案</w:t>
      </w:r>
    </w:p>
    <w:p>
      <w:pPr>
        <w:spacing w:before="77"/>
        <w:ind w:left="293" w:right="0" w:firstLine="0"/>
        <w:jc w:val="left"/>
        <w:rPr>
          <w:sz w:val="28"/>
        </w:rPr>
      </w:pPr>
      <w:r>
        <w:rPr>
          <w:sz w:val="28"/>
        </w:rPr>
        <w:t>（一</w:t>
      </w:r>
      <w:r>
        <w:rPr>
          <w:spacing w:val="-140"/>
          <w:sz w:val="28"/>
        </w:rPr>
        <w:t>）</w:t>
      </w:r>
      <w:r>
        <w:rPr>
          <w:spacing w:val="-1"/>
          <w:sz w:val="28"/>
        </w:rPr>
        <w:t>、测量监理人员的职责：</w:t>
      </w:r>
    </w:p>
    <w:p>
      <w:pPr>
        <w:spacing w:before="141" w:line="333" w:lineRule="auto"/>
        <w:ind w:left="293" w:right="451" w:firstLine="560"/>
        <w:jc w:val="left"/>
        <w:rPr>
          <w:sz w:val="28"/>
        </w:rPr>
      </w:pPr>
      <w:r>
        <w:rPr>
          <w:spacing w:val="-2"/>
          <w:sz w:val="28"/>
        </w:rPr>
        <w:t>1、参与编写本专业监理细则；协调分管范围内的协调工作；协助建设</w:t>
      </w:r>
      <w:r>
        <w:rPr>
          <w:spacing w:val="-2"/>
          <w:sz w:val="28"/>
        </w:rPr>
        <w:t>单位移交测量控制点。</w:t>
      </w:r>
    </w:p>
    <w:p>
      <w:pPr>
        <w:spacing w:before="3" w:line="333" w:lineRule="auto"/>
        <w:ind w:left="293" w:right="451" w:firstLine="560"/>
        <w:jc w:val="left"/>
        <w:rPr>
          <w:sz w:val="28"/>
        </w:rPr>
      </w:pPr>
      <w:r>
        <w:rPr>
          <w:spacing w:val="-2"/>
          <w:sz w:val="28"/>
        </w:rPr>
        <w:t>2、负责初审施工单位编写的测量施工组织设计及方案，检查承包单位</w:t>
      </w:r>
      <w:r>
        <w:rPr>
          <w:spacing w:val="-2"/>
          <w:sz w:val="28"/>
        </w:rPr>
        <w:t>专职测量人员的岗位证书及测量设备检定证书。</w:t>
      </w:r>
    </w:p>
    <w:p>
      <w:pPr>
        <w:spacing w:before="3" w:line="333" w:lineRule="auto"/>
        <w:ind w:left="293" w:right="405" w:firstLine="560"/>
        <w:jc w:val="both"/>
        <w:rPr>
          <w:sz w:val="28"/>
        </w:rPr>
      </w:pPr>
      <w:r>
        <w:rPr>
          <w:spacing w:val="-2"/>
          <w:sz w:val="28"/>
        </w:rPr>
        <w:t>3、复核控制桩的校核成果、控制桩的保护措施以及平面、高程加密控</w:t>
      </w:r>
      <w:r>
        <w:rPr>
          <w:spacing w:val="-2"/>
          <w:sz w:val="28"/>
        </w:rPr>
        <w:t>制网测量成果，符合要求时,对承包单位报送的施工测量控制成果报验申请</w:t>
      </w:r>
      <w:r>
        <w:rPr>
          <w:spacing w:val="-2"/>
          <w:sz w:val="28"/>
        </w:rPr>
        <w:t>表予以签认。</w:t>
      </w:r>
    </w:p>
    <w:p>
      <w:pPr>
        <w:spacing w:before="4"/>
        <w:ind w:left="853" w:right="0" w:firstLine="0"/>
        <w:jc w:val="left"/>
        <w:rPr>
          <w:sz w:val="28"/>
        </w:rPr>
      </w:pPr>
      <w:r>
        <w:rPr>
          <w:sz w:val="28"/>
        </w:rPr>
        <w:t>4</w:t>
      </w:r>
      <w:r>
        <w:rPr>
          <w:spacing w:val="-1"/>
          <w:sz w:val="28"/>
        </w:rPr>
        <w:t>、对承包单位报送的各专项测量方案进行审查，并签署专业意见。</w:t>
      </w:r>
    </w:p>
    <w:p>
      <w:pPr>
        <w:spacing w:before="141" w:line="333" w:lineRule="auto"/>
        <w:ind w:left="293" w:right="405" w:firstLine="560"/>
        <w:jc w:val="left"/>
        <w:rPr>
          <w:sz w:val="28"/>
        </w:rPr>
      </w:pPr>
      <w:r>
        <w:rPr>
          <w:spacing w:val="-2"/>
          <w:sz w:val="28"/>
        </w:rPr>
        <w:t>5、对承包单位在施工过程中送报的施工测量放线成果进行测量复核和</w:t>
      </w:r>
      <w:r>
        <w:rPr>
          <w:spacing w:val="-4"/>
          <w:sz w:val="28"/>
        </w:rPr>
        <w:t>确认.</w:t>
      </w:r>
    </w:p>
    <w:p>
      <w:pPr>
        <w:spacing w:before="3" w:line="333" w:lineRule="auto"/>
        <w:ind w:left="293" w:right="264" w:firstLine="560"/>
        <w:jc w:val="left"/>
        <w:rPr>
          <w:sz w:val="28"/>
        </w:rPr>
      </w:pPr>
      <w:r>
        <w:rPr>
          <w:spacing w:val="-4"/>
          <w:sz w:val="28"/>
        </w:rPr>
        <w:t>6、熟悉设计图纸和规范要求，掌握各单位工程轴线、高程相互间关系，</w:t>
      </w:r>
      <w:r>
        <w:rPr>
          <w:spacing w:val="-2"/>
          <w:sz w:val="28"/>
        </w:rPr>
        <w:t>检查承包单位按图施工情况。</w:t>
      </w:r>
    </w:p>
    <w:p>
      <w:pPr>
        <w:spacing w:before="2" w:line="333" w:lineRule="auto"/>
        <w:ind w:left="293" w:right="404" w:firstLine="560"/>
        <w:jc w:val="both"/>
        <w:rPr>
          <w:sz w:val="28"/>
        </w:rPr>
      </w:pPr>
      <w:r>
        <w:rPr>
          <w:spacing w:val="-2"/>
          <w:sz w:val="28"/>
        </w:rPr>
        <w:t>7、根据国家规范标准，按项目总监及总监代表的安排，负责检查复测</w:t>
      </w:r>
      <w:r>
        <w:rPr>
          <w:spacing w:val="-4"/>
          <w:sz w:val="28"/>
        </w:rPr>
        <w:t>各分部分项工程的标高、轴线尺寸、几何规格、垂直度等情况，向项目总监</w:t>
      </w:r>
      <w:r>
        <w:rPr>
          <w:spacing w:val="-4"/>
          <w:sz w:val="28"/>
        </w:rPr>
        <w:t>及总监代表提交质量监理情况报告，如有质量问题拟制整改通知单，经项目</w:t>
      </w:r>
      <w:r>
        <w:rPr>
          <w:spacing w:val="-2"/>
          <w:sz w:val="28"/>
        </w:rPr>
        <w:t>总监签发，督促承建商落实整改。</w:t>
      </w:r>
    </w:p>
    <w:p>
      <w:pPr>
        <w:spacing w:before="6"/>
        <w:ind w:left="853" w:right="0" w:firstLine="0"/>
        <w:jc w:val="left"/>
        <w:rPr>
          <w:sz w:val="28"/>
        </w:rPr>
      </w:pPr>
      <w:r>
        <w:rPr>
          <w:sz w:val="28"/>
        </w:rPr>
        <w:t>8</w:t>
      </w:r>
      <w:r>
        <w:rPr>
          <w:spacing w:val="-1"/>
          <w:sz w:val="28"/>
        </w:rPr>
        <w:t>、及时记载监理日记，向项目总监反映监理中存在的重大问题。</w:t>
      </w:r>
    </w:p>
    <w:p>
      <w:pPr>
        <w:spacing w:before="141"/>
        <w:ind w:left="853" w:right="0" w:firstLine="0"/>
        <w:jc w:val="left"/>
        <w:rPr>
          <w:sz w:val="28"/>
        </w:rPr>
      </w:pPr>
      <w:r>
        <w:rPr>
          <w:sz w:val="28"/>
        </w:rPr>
        <w:t>9</w:t>
      </w:r>
      <w:r>
        <w:rPr>
          <w:spacing w:val="-1"/>
          <w:sz w:val="28"/>
        </w:rPr>
        <w:t>、完成项目总监安排的其它工作。</w:t>
      </w:r>
    </w:p>
    <w:p>
      <w:pPr>
        <w:spacing w:before="141"/>
        <w:ind w:left="293" w:right="0" w:firstLine="0"/>
        <w:jc w:val="left"/>
        <w:rPr>
          <w:sz w:val="28"/>
        </w:rPr>
      </w:pPr>
      <w:r>
        <w:rPr>
          <w:sz w:val="28"/>
        </w:rPr>
        <w:t>（二）</w:t>
      </w:r>
      <w:r>
        <w:rPr>
          <w:spacing w:val="-2"/>
          <w:sz w:val="28"/>
        </w:rPr>
        <w:t>各阶段测量监理内容</w:t>
      </w:r>
    </w:p>
    <w:p>
      <w:pPr>
        <w:pStyle w:val="ListParagraph"/>
        <w:numPr>
          <w:ilvl w:val="1"/>
          <w:numId w:val="22"/>
        </w:numPr>
        <w:tabs>
          <w:tab w:val="left" w:pos="1275"/>
        </w:tabs>
        <w:spacing w:before="142" w:after="0" w:line="240" w:lineRule="auto"/>
        <w:ind w:left="1275" w:right="0" w:hanging="422"/>
        <w:jc w:val="left"/>
        <w:rPr>
          <w:sz w:val="28"/>
        </w:rPr>
      </w:pPr>
      <w:r>
        <w:rPr>
          <w:spacing w:val="-3"/>
          <w:sz w:val="28"/>
        </w:rPr>
        <w:t>土方测量</w:t>
      </w:r>
    </w:p>
    <w:p>
      <w:pPr>
        <w:spacing w:before="141" w:line="333" w:lineRule="auto"/>
        <w:ind w:left="293" w:right="264" w:firstLine="560"/>
        <w:jc w:val="left"/>
        <w:rPr>
          <w:sz w:val="28"/>
        </w:rPr>
      </w:pPr>
      <w:r>
        <w:rPr>
          <w:spacing w:val="-2"/>
          <w:sz w:val="28"/>
        </w:rPr>
        <w:t>⑴建筑施工之前，根据项目设计部门提供的基准坐标点，进行控制网的</w:t>
      </w:r>
      <w:r>
        <w:rPr>
          <w:spacing w:val="-17"/>
          <w:sz w:val="28"/>
        </w:rPr>
        <w:t>建立，使加密控制点尽可能满足工程放样的要求，以及尽可能不被施工破坏。</w:t>
      </w:r>
    </w:p>
    <w:p>
      <w:pPr>
        <w:spacing w:before="2" w:line="333" w:lineRule="auto"/>
        <w:ind w:left="293" w:right="404" w:firstLine="560"/>
        <w:jc w:val="left"/>
        <w:rPr>
          <w:sz w:val="28"/>
        </w:rPr>
      </w:pPr>
      <w:r>
        <w:rPr>
          <w:spacing w:val="-4"/>
          <w:sz w:val="28"/>
        </w:rPr>
        <w:t>⑵由于土方开挖的特殊性，因考虑土方开挖对控制点位置的影响，所以</w:t>
      </w:r>
      <w:r>
        <w:rPr>
          <w:spacing w:val="-2"/>
          <w:sz w:val="28"/>
        </w:rPr>
        <w:t>每天测量之前因对控制点进行检核，保证控制的位置精度。</w:t>
      </w:r>
    </w:p>
    <w:p>
      <w:pPr>
        <w:spacing w:before="3" w:line="333" w:lineRule="auto"/>
        <w:ind w:left="293" w:right="405" w:firstLine="560"/>
        <w:jc w:val="left"/>
        <w:rPr>
          <w:sz w:val="28"/>
        </w:rPr>
      </w:pPr>
      <w:r>
        <w:rPr>
          <w:spacing w:val="-2"/>
          <w:sz w:val="28"/>
        </w:rPr>
        <w:t>⑶根据项目设计部门提供的建筑设计施工图确定土方开挖的位置及标</w:t>
      </w:r>
      <w:r>
        <w:rPr>
          <w:spacing w:val="-2"/>
          <w:sz w:val="28"/>
        </w:rPr>
        <w:t>高，一般由三个角点坐标和平面设计标高来控制土方开挖的位置和标高。</w:t>
      </w:r>
    </w:p>
    <w:p>
      <w:pPr>
        <w:spacing w:after="0" w:line="333" w:lineRule="auto"/>
        <w:jc w:val="left"/>
        <w:rPr>
          <w:sz w:val="28"/>
        </w:rPr>
        <w:sectPr>
          <w:footerReference w:type="default" r:id="rId16"/>
          <w:pgSz w:w="11910" w:h="16840"/>
          <w:pgMar w:top="1300" w:right="880" w:bottom="1180" w:left="1180" w:header="0" w:footer="927"/>
          <w:pgNumType w:start="4"/>
          <w:cols w:space="708"/>
        </w:sectPr>
      </w:pPr>
    </w:p>
    <w:p>
      <w:pPr>
        <w:pStyle w:val="ListParagraph"/>
        <w:numPr>
          <w:ilvl w:val="1"/>
          <w:numId w:val="20"/>
        </w:numPr>
        <w:tabs>
          <w:tab w:val="left" w:pos="1275"/>
        </w:tabs>
        <w:spacing w:before="49" w:after="0" w:line="240" w:lineRule="auto"/>
        <w:ind w:left="1275" w:right="0" w:hanging="422"/>
        <w:jc w:val="left"/>
        <w:rPr>
          <w:sz w:val="28"/>
        </w:rPr>
      </w:pPr>
      <w:r>
        <w:rPr>
          <w:spacing w:val="-2"/>
          <w:sz w:val="28"/>
        </w:rPr>
        <w:t>建筑物的定位测量</w:t>
      </w:r>
    </w:p>
    <w:p>
      <w:pPr>
        <w:pStyle w:val="BodyText"/>
        <w:spacing w:before="2"/>
        <w:rPr>
          <w:sz w:val="23"/>
        </w:rPr>
      </w:pPr>
    </w:p>
    <w:p>
      <w:pPr>
        <w:spacing w:before="0" w:line="333" w:lineRule="auto"/>
        <w:ind w:left="293" w:right="404" w:firstLine="560"/>
        <w:jc w:val="both"/>
        <w:rPr>
          <w:sz w:val="28"/>
        </w:rPr>
      </w:pPr>
      <w:r>
        <w:rPr>
          <w:spacing w:val="-4"/>
          <w:sz w:val="28"/>
        </w:rPr>
        <w:t>⑴建筑物定位测量前，应由建设单位提供并确认的测量坐标点，（包括</w:t>
      </w:r>
      <w:r>
        <w:rPr>
          <w:spacing w:val="-4"/>
          <w:sz w:val="28"/>
        </w:rPr>
        <w:t>书面通知和现场坐标移交）坐标点一般为三点以上，其中两点作为定位测量</w:t>
      </w:r>
      <w:r>
        <w:rPr>
          <w:spacing w:val="-2"/>
          <w:sz w:val="28"/>
        </w:rPr>
        <w:t>用，其余点作为校核用。</w:t>
      </w:r>
    </w:p>
    <w:p>
      <w:pPr>
        <w:spacing w:before="160" w:line="333" w:lineRule="auto"/>
        <w:ind w:left="293" w:right="404" w:firstLine="560"/>
        <w:jc w:val="left"/>
        <w:rPr>
          <w:sz w:val="28"/>
        </w:rPr>
      </w:pPr>
      <w:r>
        <w:rPr>
          <w:spacing w:val="-8"/>
          <w:sz w:val="28"/>
        </w:rPr>
        <w:t>⑵所提供的坐标点施工单位应妥善保护，当坐标点位于建筑物内或施工</w:t>
      </w:r>
      <w:r>
        <w:rPr>
          <w:spacing w:val="-2"/>
          <w:sz w:val="28"/>
        </w:rPr>
        <w:t>过程可能会被破坏时，应在单体定位后，引至安全地方固定好。</w:t>
      </w:r>
    </w:p>
    <w:p>
      <w:pPr>
        <w:spacing w:before="3" w:line="333" w:lineRule="auto"/>
        <w:ind w:left="293" w:right="404" w:firstLine="560"/>
        <w:jc w:val="both"/>
        <w:rPr>
          <w:sz w:val="28"/>
        </w:rPr>
      </w:pPr>
      <w:r>
        <w:rPr>
          <w:spacing w:val="-4"/>
          <w:sz w:val="28"/>
        </w:rPr>
        <w:t>⑶建筑物定位测量时，以所提供的两个坐标点进行测量定位，然后利用</w:t>
      </w:r>
      <w:r>
        <w:rPr>
          <w:spacing w:val="-4"/>
          <w:sz w:val="28"/>
        </w:rPr>
        <w:t>其余坐标点反向测量校核；属坐标有误时，应及时通知现场专业监理工程师</w:t>
      </w:r>
      <w:r>
        <w:rPr>
          <w:spacing w:val="-2"/>
          <w:sz w:val="28"/>
        </w:rPr>
        <w:t>校核；属放样本身轴线有误，应重新放样。</w:t>
      </w:r>
    </w:p>
    <w:p>
      <w:pPr>
        <w:spacing w:before="4" w:line="333" w:lineRule="auto"/>
        <w:ind w:left="293" w:right="404" w:firstLine="560"/>
        <w:jc w:val="both"/>
        <w:rPr>
          <w:sz w:val="28"/>
        </w:rPr>
      </w:pPr>
      <w:r>
        <w:rPr>
          <w:spacing w:val="-4"/>
          <w:sz w:val="28"/>
        </w:rPr>
        <w:t>⑷放样后的轴线应标于龙门板上，用于基槽轴线放样，模板定位，地梁</w:t>
      </w:r>
      <w:r>
        <w:rPr>
          <w:sz w:val="28"/>
        </w:rPr>
        <w:t>轴线复核，以及±0.00 以下的墙体轴线放样，每次测量前均应先根据坐标</w:t>
      </w:r>
      <w:r>
        <w:rPr>
          <w:spacing w:val="-2"/>
          <w:sz w:val="28"/>
        </w:rPr>
        <w:t>点复核龙门板轴线。</w:t>
      </w:r>
    </w:p>
    <w:p>
      <w:pPr>
        <w:spacing w:before="4" w:line="333" w:lineRule="auto"/>
        <w:ind w:left="293" w:right="404" w:firstLine="140"/>
        <w:jc w:val="left"/>
        <w:rPr>
          <w:sz w:val="28"/>
        </w:rPr>
      </w:pPr>
      <w:r>
        <w:rPr>
          <w:spacing w:val="-4"/>
          <w:sz w:val="28"/>
        </w:rPr>
        <w:t>3、基础桩位复核：按桩位坐标定位的，根据桩位图纸计算桩心坐标复核施</w:t>
      </w:r>
      <w:r>
        <w:rPr>
          <w:spacing w:val="-2"/>
          <w:sz w:val="28"/>
        </w:rPr>
        <w:t>工单位的桩心坐标。</w:t>
      </w:r>
    </w:p>
    <w:p>
      <w:pPr>
        <w:pStyle w:val="ListParagraph"/>
        <w:numPr>
          <w:ilvl w:val="0"/>
          <w:numId w:val="19"/>
        </w:numPr>
        <w:tabs>
          <w:tab w:val="left" w:pos="855"/>
        </w:tabs>
        <w:spacing w:before="3" w:after="0" w:line="240" w:lineRule="auto"/>
        <w:ind w:left="855" w:right="0" w:hanging="282"/>
        <w:jc w:val="left"/>
        <w:rPr>
          <w:sz w:val="28"/>
        </w:rPr>
      </w:pPr>
      <w:r>
        <w:rPr>
          <w:spacing w:val="-3"/>
          <w:sz w:val="28"/>
        </w:rPr>
        <w:t>轴线放样</w:t>
      </w:r>
    </w:p>
    <w:p>
      <w:pPr>
        <w:spacing w:before="141" w:line="333" w:lineRule="auto"/>
        <w:ind w:left="293" w:right="311" w:firstLine="560"/>
        <w:jc w:val="left"/>
        <w:rPr>
          <w:sz w:val="28"/>
        </w:rPr>
      </w:pPr>
      <w:r>
        <w:rPr>
          <w:spacing w:val="-2"/>
          <w:sz w:val="28"/>
        </w:rPr>
        <w:t>⑴在基础回填之前，可利用龙门板的轴线，先放样底层轴线，也可以先</w:t>
      </w:r>
      <w:r>
        <w:rPr>
          <w:spacing w:val="-2"/>
          <w:sz w:val="28"/>
        </w:rPr>
        <w:t>把龙门板的轴线后移至不影响回填土的地方，待回填土后再进行底层放样。</w:t>
      </w:r>
      <w:r>
        <w:rPr>
          <w:spacing w:val="-10"/>
          <w:sz w:val="28"/>
        </w:rPr>
        <w:t>当底层墙体或柱施工完毕，应把后移的轴线标点移至建筑物的四大角和转角</w:t>
      </w:r>
      <w:r>
        <w:rPr>
          <w:spacing w:val="-2"/>
          <w:sz w:val="28"/>
        </w:rPr>
        <w:t>墙、柱上，并用油漆标好，这些标准轴线将随建筑物的施工一直往上引，作</w:t>
      </w:r>
      <w:r>
        <w:rPr>
          <w:spacing w:val="-2"/>
          <w:sz w:val="28"/>
        </w:rPr>
        <w:t>为本层其它轴线放样的依据。为确保框架结构中外框架的垂直和观感要求，</w:t>
      </w:r>
      <w:r>
        <w:rPr>
          <w:spacing w:val="-2"/>
          <w:sz w:val="28"/>
        </w:rPr>
        <w:t>外排柱应每柱都引通高轴线。</w:t>
      </w:r>
    </w:p>
    <w:p>
      <w:pPr>
        <w:spacing w:before="8" w:line="333" w:lineRule="auto"/>
        <w:ind w:left="293" w:right="404" w:firstLine="560"/>
        <w:jc w:val="both"/>
        <w:rPr>
          <w:sz w:val="28"/>
        </w:rPr>
      </w:pPr>
      <w:r>
        <w:rPr>
          <w:spacing w:val="-2"/>
          <w:sz w:val="28"/>
        </w:rPr>
        <w:t>⑵本层内的墙体或框架中排柱应以边轴线拉通长线进行内墙或内排柱</w:t>
      </w:r>
      <w:r>
        <w:rPr>
          <w:spacing w:val="-4"/>
          <w:sz w:val="28"/>
        </w:rPr>
        <w:t>的轴线定位。框架结构中的外排柱在通线进行定位后，还应对单柱上下层的</w:t>
      </w:r>
      <w:r>
        <w:rPr>
          <w:spacing w:val="-2"/>
          <w:sz w:val="28"/>
        </w:rPr>
        <w:t>轴线进行复核。</w:t>
      </w:r>
    </w:p>
    <w:p>
      <w:pPr>
        <w:spacing w:before="4" w:line="333" w:lineRule="auto"/>
        <w:ind w:left="293" w:right="404" w:firstLine="560"/>
        <w:jc w:val="left"/>
        <w:rPr>
          <w:sz w:val="28"/>
        </w:rPr>
      </w:pPr>
      <w:r>
        <w:rPr>
          <w:spacing w:val="-4"/>
          <w:sz w:val="28"/>
        </w:rPr>
        <w:t>⑶当墙体为框架柱时，在模板安装前，还应根据已放样的轴线，弹出模</w:t>
      </w:r>
      <w:r>
        <w:rPr>
          <w:spacing w:val="-2"/>
          <w:sz w:val="28"/>
        </w:rPr>
        <w:t>板安装时的内边线，作为立模定位的依据。</w:t>
      </w:r>
    </w:p>
    <w:p>
      <w:pPr>
        <w:spacing w:before="0" w:line="333" w:lineRule="auto"/>
        <w:ind w:left="293" w:right="404" w:firstLine="560"/>
        <w:jc w:val="left"/>
        <w:rPr>
          <w:sz w:val="28"/>
        </w:rPr>
        <w:sectPr>
          <w:footerReference w:type="default" r:id="rId17"/>
          <w:pgSz w:w="11910" w:h="16840"/>
          <w:pgMar w:top="1300" w:right="880" w:bottom="1180" w:left="1180" w:header="0" w:footer="927"/>
          <w:pgNumType w:start="5"/>
          <w:cols w:space="708"/>
        </w:sectPr>
      </w:pPr>
      <w:r>
        <w:rPr>
          <w:spacing w:val="-4"/>
          <w:sz w:val="28"/>
        </w:rPr>
        <w:t>⑷砌体组砌时，外围护墙应边砌边吊线校核。柱的模板上口引中线与标</w:t>
      </w:r>
    </w:p>
    <w:p>
      <w:pPr>
        <w:spacing w:before="0" w:line="333" w:lineRule="auto"/>
        <w:ind w:left="293" w:right="404" w:firstLine="560"/>
        <w:jc w:val="left"/>
        <w:rPr>
          <w:sz w:val="28"/>
        </w:rPr>
      </w:pPr>
      <w:r>
        <w:rPr>
          <w:spacing w:val="-2"/>
          <w:sz w:val="28"/>
        </w:rPr>
        <w:t>准轴线校核。梁板则根据柱、墙上口校核过的中线进行轴线校核。</w:t>
      </w:r>
    </w:p>
    <w:p>
      <w:pPr>
        <w:spacing w:after="0" w:line="333" w:lineRule="auto"/>
        <w:jc w:val="left"/>
        <w:rPr>
          <w:sz w:val="28"/>
        </w:rPr>
        <w:sectPr>
          <w:footerReference w:type="default" r:id="rId18"/>
          <w:type w:val="nextPage"/>
          <w:pgSz w:w="11910" w:h="16840"/>
          <w:pgMar w:top="1300" w:right="880" w:bottom="1180" w:left="1180" w:header="0" w:footer="927"/>
          <w:pgNumType w:start="6"/>
          <w:cols w:space="708"/>
          <w:titlePg w:val="0"/>
        </w:sectPr>
      </w:pPr>
    </w:p>
    <w:p>
      <w:pPr>
        <w:spacing w:before="49" w:line="333" w:lineRule="auto"/>
        <w:ind w:left="293" w:right="404" w:firstLine="560"/>
        <w:jc w:val="left"/>
        <w:rPr>
          <w:sz w:val="28"/>
        </w:rPr>
      </w:pPr>
      <w:r>
        <w:rPr>
          <w:spacing w:val="-4"/>
          <w:sz w:val="28"/>
        </w:rPr>
        <w:t>⑸阳台或出墙构件，除应从轴线外引进行定位外，还应吊垂线与低一层</w:t>
      </w:r>
      <w:r>
        <w:rPr>
          <w:spacing w:val="-2"/>
          <w:sz w:val="28"/>
        </w:rPr>
        <w:t>的阳台或出墙构件对齐。</w:t>
      </w:r>
    </w:p>
    <w:p>
      <w:pPr>
        <w:pStyle w:val="ListParagraph"/>
        <w:numPr>
          <w:ilvl w:val="0"/>
          <w:numId w:val="19"/>
        </w:numPr>
        <w:tabs>
          <w:tab w:val="left" w:pos="995"/>
        </w:tabs>
        <w:spacing w:before="2" w:after="0" w:line="240" w:lineRule="auto"/>
        <w:ind w:left="995" w:right="0" w:hanging="282"/>
        <w:jc w:val="left"/>
        <w:rPr>
          <w:sz w:val="28"/>
        </w:rPr>
      </w:pPr>
      <w:r>
        <w:rPr>
          <w:spacing w:val="-2"/>
          <w:sz w:val="28"/>
        </w:rPr>
        <w:t>建筑物标高复核</w:t>
      </w:r>
    </w:p>
    <w:p>
      <w:pPr>
        <w:spacing w:before="142" w:line="333" w:lineRule="auto"/>
        <w:ind w:left="293" w:right="404" w:firstLine="560"/>
        <w:jc w:val="both"/>
        <w:rPr>
          <w:sz w:val="28"/>
        </w:rPr>
      </w:pPr>
      <w:r>
        <w:rPr>
          <w:spacing w:val="-4"/>
          <w:sz w:val="28"/>
        </w:rPr>
        <w:t>⑴由勘察院提供并确认的坐标点时，应同时提供永久性高程点，当永久</w:t>
      </w:r>
      <w:r>
        <w:rPr>
          <w:spacing w:val="-10"/>
          <w:sz w:val="28"/>
        </w:rPr>
        <w:t>性高程点距建筑物较远时，应引至建筑物四周不受影响的地方做半永久性高</w:t>
      </w:r>
      <w:r>
        <w:rPr>
          <w:spacing w:val="-4"/>
          <w:sz w:val="28"/>
        </w:rPr>
        <w:t>程点或在建筑物四周做高程桩，再把永久高程引至高程桩。高程桩应设井围</w:t>
      </w:r>
      <w:r>
        <w:rPr>
          <w:spacing w:val="-3"/>
          <w:sz w:val="28"/>
        </w:rPr>
        <w:t xml:space="preserve">护，桩身置于残积土以下，桩身为上小下大方柱或圆柱并埋设 </w:t>
      </w:r>
      <w:r>
        <w:rPr>
          <w:spacing w:val="-2"/>
          <w:sz w:val="28"/>
        </w:rPr>
        <w:t>Φ16</w:t>
      </w:r>
      <w:r>
        <w:rPr>
          <w:spacing w:val="-11"/>
          <w:sz w:val="28"/>
        </w:rPr>
        <w:t xml:space="preserve"> 圆钢，</w:t>
      </w:r>
      <w:r>
        <w:rPr>
          <w:spacing w:val="-2"/>
          <w:sz w:val="28"/>
        </w:rPr>
        <w:t>高程桩应设在不易扰动的地方，半永久性高程应定期校核。</w:t>
      </w:r>
    </w:p>
    <w:p>
      <w:pPr>
        <w:spacing w:before="6" w:line="333" w:lineRule="auto"/>
        <w:ind w:left="293" w:right="404" w:firstLine="700"/>
        <w:jc w:val="both"/>
        <w:rPr>
          <w:sz w:val="28"/>
        </w:rPr>
      </w:pPr>
      <w:r>
        <w:rPr>
          <w:spacing w:val="-2"/>
          <w:sz w:val="28"/>
        </w:rPr>
        <w:t>⑵根据永久性高程或半永久性高程，测量基底标高，在基底做标高木</w:t>
      </w:r>
      <w:r>
        <w:rPr>
          <w:spacing w:val="-4"/>
          <w:sz w:val="28"/>
        </w:rPr>
        <w:t>桩控制垫层厚度，在地梁模板上弹梁面标高线以控制地梁标高，在底层墙体</w:t>
      </w:r>
      <w:r>
        <w:rPr>
          <w:sz w:val="28"/>
        </w:rPr>
        <w:t>上或框架柱上测出建筑物单体的±0.00 基线，并用油漆标出，作为层高的</w:t>
      </w:r>
      <w:r>
        <w:rPr>
          <w:spacing w:val="-4"/>
          <w:sz w:val="28"/>
        </w:rPr>
        <w:t>控制线。层高测量可采用挂线丈量与经纬仪测量仰角后计算层高相结合。每</w:t>
      </w:r>
      <w:r>
        <w:rPr>
          <w:spacing w:val="-2"/>
          <w:sz w:val="28"/>
        </w:rPr>
        <w:t>层施工完，相应的层高控制线应上引。</w:t>
      </w:r>
    </w:p>
    <w:p>
      <w:pPr>
        <w:spacing w:before="7" w:line="333" w:lineRule="auto"/>
        <w:ind w:left="293" w:right="404" w:firstLine="560"/>
        <w:jc w:val="both"/>
        <w:rPr>
          <w:sz w:val="28"/>
        </w:rPr>
      </w:pPr>
      <w:r>
        <w:rPr>
          <w:spacing w:val="-10"/>
          <w:sz w:val="28"/>
        </w:rPr>
        <w:t xml:space="preserve">⑶根据层高控制线引入室内转为 </w:t>
      </w:r>
      <w:r>
        <w:rPr>
          <w:spacing w:val="-8"/>
          <w:sz w:val="28"/>
        </w:rPr>
        <w:t>1000</w:t>
      </w:r>
      <w:r>
        <w:rPr>
          <w:spacing w:val="-17"/>
          <w:sz w:val="28"/>
        </w:rPr>
        <w:t xml:space="preserve"> 线或 </w:t>
      </w:r>
      <w:r>
        <w:rPr>
          <w:spacing w:val="-8"/>
          <w:sz w:val="28"/>
        </w:rPr>
        <w:t>500</w:t>
      </w:r>
      <w:r>
        <w:rPr>
          <w:spacing w:val="-30"/>
          <w:sz w:val="28"/>
        </w:rPr>
        <w:t xml:space="preserve"> 线。室内 </w:t>
      </w:r>
      <w:r>
        <w:rPr>
          <w:spacing w:val="-8"/>
          <w:sz w:val="28"/>
        </w:rPr>
        <w:t>1000</w:t>
      </w:r>
      <w:r>
        <w:rPr>
          <w:spacing w:val="-17"/>
          <w:sz w:val="28"/>
        </w:rPr>
        <w:t xml:space="preserve"> 线或 </w:t>
      </w:r>
      <w:r>
        <w:rPr>
          <w:spacing w:val="-8"/>
          <w:sz w:val="28"/>
        </w:rPr>
        <w:t>500</w:t>
      </w:r>
      <w:r>
        <w:rPr>
          <w:spacing w:val="-4"/>
          <w:sz w:val="28"/>
        </w:rPr>
        <w:t>线作为窗台控制，墙顶控制，木门窗安装标高控制，梁底和板底标高控制的</w:t>
      </w:r>
      <w:r>
        <w:rPr>
          <w:sz w:val="28"/>
        </w:rPr>
        <w:t>依据。1000</w:t>
      </w:r>
      <w:r>
        <w:rPr>
          <w:spacing w:val="-18"/>
          <w:sz w:val="28"/>
        </w:rPr>
        <w:t xml:space="preserve"> 线或 </w:t>
      </w:r>
      <w:r>
        <w:rPr>
          <w:sz w:val="28"/>
        </w:rPr>
        <w:t>500</w:t>
      </w:r>
      <w:r>
        <w:rPr>
          <w:spacing w:val="-6"/>
          <w:sz w:val="28"/>
        </w:rPr>
        <w:t xml:space="preserve"> 线还可做为天棚粉刷打底的阴角水平比较线和地面找</w:t>
      </w:r>
      <w:r>
        <w:rPr>
          <w:spacing w:val="-2"/>
          <w:sz w:val="28"/>
        </w:rPr>
        <w:t>平或找坡控制的比较线。</w:t>
      </w:r>
    </w:p>
    <w:p>
      <w:pPr>
        <w:pStyle w:val="ListParagraph"/>
        <w:numPr>
          <w:ilvl w:val="0"/>
          <w:numId w:val="19"/>
        </w:numPr>
        <w:tabs>
          <w:tab w:val="left" w:pos="1135"/>
        </w:tabs>
        <w:spacing w:before="5" w:after="0" w:line="240" w:lineRule="auto"/>
        <w:ind w:left="1135" w:right="0" w:hanging="282"/>
        <w:jc w:val="left"/>
        <w:rPr>
          <w:sz w:val="28"/>
        </w:rPr>
      </w:pPr>
      <w:r>
        <w:rPr>
          <w:spacing w:val="-2"/>
          <w:sz w:val="28"/>
        </w:rPr>
        <w:t>建筑物的总高测量</w:t>
      </w:r>
    </w:p>
    <w:p>
      <w:pPr>
        <w:spacing w:before="142" w:line="333" w:lineRule="auto"/>
        <w:ind w:left="293" w:right="404" w:firstLine="560"/>
        <w:jc w:val="both"/>
        <w:rPr>
          <w:sz w:val="28"/>
        </w:rPr>
      </w:pPr>
      <w:r>
        <w:rPr>
          <w:spacing w:val="-2"/>
          <w:sz w:val="28"/>
        </w:rPr>
        <w:t>建筑物的总高测量主要是利用经纬仪测量总高点的仰角，再与±0.00</w:t>
      </w:r>
      <w:r>
        <w:rPr>
          <w:sz w:val="28"/>
        </w:rPr>
        <w:t>基线测出经纬仪的高度，利用经纬仪与±0.00 基线的距离，和总高点仰角</w:t>
      </w:r>
      <w:r>
        <w:rPr>
          <w:spacing w:val="-4"/>
          <w:sz w:val="28"/>
        </w:rPr>
        <w:t>计算经纬仪至总高点的高度，后与经纬仪高度的总和即为建筑物的总高。采</w:t>
      </w:r>
      <w:r>
        <w:rPr>
          <w:spacing w:val="-2"/>
          <w:sz w:val="28"/>
        </w:rPr>
        <w:t>用全站仪时，则可直接测出总高度。</w:t>
      </w:r>
    </w:p>
    <w:p>
      <w:pPr>
        <w:pStyle w:val="ListParagraph"/>
        <w:numPr>
          <w:ilvl w:val="0"/>
          <w:numId w:val="19"/>
        </w:numPr>
        <w:tabs>
          <w:tab w:val="left" w:pos="995"/>
        </w:tabs>
        <w:spacing w:before="5" w:after="0" w:line="240" w:lineRule="auto"/>
        <w:ind w:left="995" w:right="0" w:hanging="282"/>
        <w:jc w:val="left"/>
        <w:rPr>
          <w:sz w:val="28"/>
        </w:rPr>
      </w:pPr>
      <w:r>
        <w:rPr>
          <w:spacing w:val="-2"/>
          <w:sz w:val="28"/>
        </w:rPr>
        <w:t>建筑物的垂直度测量</w:t>
      </w:r>
    </w:p>
    <w:p>
      <w:pPr>
        <w:spacing w:before="141" w:line="333" w:lineRule="auto"/>
        <w:ind w:left="293" w:right="264" w:firstLine="560"/>
        <w:jc w:val="left"/>
        <w:rPr>
          <w:sz w:val="28"/>
        </w:rPr>
      </w:pPr>
      <w:r>
        <w:rPr>
          <w:spacing w:val="-18"/>
          <w:sz w:val="28"/>
        </w:rPr>
        <w:t>⑴在建筑物主体封顶后，装修前，应对建筑物的垂直度进行第一次测量。</w:t>
      </w:r>
      <w:r>
        <w:rPr>
          <w:spacing w:val="-2"/>
          <w:sz w:val="28"/>
        </w:rPr>
        <w:t>待装修后，竣工前测第二次。</w:t>
      </w:r>
    </w:p>
    <w:p>
      <w:pPr>
        <w:spacing w:before="3" w:line="333" w:lineRule="auto"/>
        <w:ind w:left="293" w:right="404" w:firstLine="560"/>
        <w:jc w:val="both"/>
        <w:rPr>
          <w:sz w:val="28"/>
        </w:rPr>
      </w:pPr>
      <w:r>
        <w:rPr>
          <w:spacing w:val="-4"/>
          <w:sz w:val="28"/>
        </w:rPr>
        <w:t>⑵装修前的垂直度测量，可采用吊垂线和经纬仪相配合。垂线从屋面边</w:t>
      </w:r>
      <w:r>
        <w:rPr>
          <w:spacing w:val="-4"/>
          <w:sz w:val="28"/>
        </w:rPr>
        <w:t>轴线吊线下来，经纬仪控制垂线的垂直，垂线在底层与同轴的轴线偏差，即</w:t>
      </w:r>
      <w:r>
        <w:rPr>
          <w:spacing w:val="-2"/>
          <w:sz w:val="28"/>
        </w:rPr>
        <w:t>垂直度偏差。</w:t>
      </w:r>
    </w:p>
    <w:p>
      <w:pPr>
        <w:spacing w:after="0" w:line="333" w:lineRule="auto"/>
        <w:jc w:val="both"/>
        <w:rPr>
          <w:sz w:val="28"/>
        </w:rPr>
        <w:sectPr>
          <w:footerReference w:type="default" r:id="rId19"/>
          <w:pgSz w:w="11910" w:h="16840"/>
          <w:pgMar w:top="1300" w:right="880" w:bottom="1180" w:left="1180" w:header="0" w:footer="927"/>
          <w:pgNumType w:start="7"/>
          <w:cols w:space="708"/>
        </w:sectPr>
      </w:pPr>
    </w:p>
    <w:p>
      <w:pPr>
        <w:spacing w:before="49" w:line="333" w:lineRule="auto"/>
        <w:ind w:left="293" w:right="404" w:firstLine="560"/>
        <w:jc w:val="left"/>
        <w:rPr>
          <w:sz w:val="28"/>
        </w:rPr>
      </w:pPr>
      <w:r>
        <w:rPr>
          <w:spacing w:val="-4"/>
          <w:sz w:val="28"/>
        </w:rPr>
        <w:t>⑶装修后的垂直度测量，则可在直接从屋面的外墙大角吊垂线。经纬仪</w:t>
      </w:r>
      <w:r>
        <w:rPr>
          <w:spacing w:val="-2"/>
          <w:sz w:val="28"/>
        </w:rPr>
        <w:t>控制垂线的垂直，垂线在底层与大角的偏移，即为垂直度偏差。</w:t>
      </w:r>
    </w:p>
    <w:p>
      <w:pPr>
        <w:spacing w:before="2"/>
        <w:ind w:left="853" w:right="0" w:firstLine="0"/>
        <w:jc w:val="left"/>
        <w:rPr>
          <w:sz w:val="28"/>
        </w:rPr>
      </w:pPr>
      <w:r>
        <w:rPr>
          <w:spacing w:val="-1"/>
          <w:sz w:val="28"/>
        </w:rPr>
        <w:t>⑷一般建筑物四大角均应测量垂直度。每个大角应测量两个方向。</w:t>
      </w:r>
    </w:p>
    <w:p>
      <w:pPr>
        <w:pStyle w:val="ListParagraph"/>
        <w:numPr>
          <w:ilvl w:val="0"/>
          <w:numId w:val="19"/>
        </w:numPr>
        <w:tabs>
          <w:tab w:val="left" w:pos="995"/>
        </w:tabs>
        <w:spacing w:before="142" w:after="0" w:line="240" w:lineRule="auto"/>
        <w:ind w:left="995" w:right="0" w:hanging="282"/>
        <w:jc w:val="left"/>
        <w:rPr>
          <w:sz w:val="28"/>
        </w:rPr>
      </w:pPr>
      <w:r>
        <w:rPr>
          <w:spacing w:val="-2"/>
          <w:sz w:val="28"/>
        </w:rPr>
        <w:t>建筑物沉降观测</w:t>
      </w:r>
    </w:p>
    <w:p>
      <w:pPr>
        <w:spacing w:before="141"/>
        <w:ind w:left="853" w:right="0" w:firstLine="0"/>
        <w:jc w:val="left"/>
        <w:rPr>
          <w:sz w:val="28"/>
        </w:rPr>
      </w:pPr>
      <w:r>
        <w:rPr>
          <w:spacing w:val="-8"/>
          <w:sz w:val="28"/>
        </w:rPr>
        <w:t xml:space="preserve">⑴沉降观测要求采用 </w:t>
      </w:r>
      <w:r>
        <w:rPr>
          <w:spacing w:val="-2"/>
          <w:sz w:val="28"/>
        </w:rPr>
        <w:t>Φ18</w:t>
      </w:r>
      <w:r>
        <w:rPr>
          <w:spacing w:val="-14"/>
          <w:sz w:val="28"/>
        </w:rPr>
        <w:t xml:space="preserve"> 钢筋进行预制，端头垂直 </w:t>
      </w:r>
      <w:r>
        <w:rPr>
          <w:spacing w:val="-2"/>
          <w:sz w:val="28"/>
        </w:rPr>
        <w:t>90°</w:t>
      </w:r>
      <w:r>
        <w:rPr>
          <w:spacing w:val="-4"/>
          <w:sz w:val="28"/>
        </w:rPr>
        <w:t>角。平直长度</w:t>
      </w:r>
    </w:p>
    <w:p>
      <w:pPr>
        <w:spacing w:before="141"/>
        <w:ind w:left="293" w:right="0" w:firstLine="0"/>
        <w:jc w:val="left"/>
        <w:rPr>
          <w:sz w:val="28"/>
        </w:rPr>
      </w:pPr>
      <w:r>
        <w:rPr>
          <w:sz w:val="28"/>
        </w:rPr>
        <w:t>2.2CM</w:t>
      </w:r>
      <w:r>
        <w:rPr>
          <w:spacing w:val="-10"/>
          <w:sz w:val="28"/>
        </w:rPr>
        <w:t xml:space="preserve"> 的弯头作为测量点,测量点应磨成半球形或圆台状。</w:t>
      </w:r>
    </w:p>
    <w:p>
      <w:pPr>
        <w:spacing w:before="141" w:line="333" w:lineRule="auto"/>
        <w:ind w:left="293" w:right="404" w:firstLine="560"/>
        <w:jc w:val="both"/>
        <w:rPr>
          <w:sz w:val="28"/>
        </w:rPr>
      </w:pPr>
      <w:r>
        <w:rPr>
          <w:spacing w:val="-4"/>
          <w:sz w:val="28"/>
        </w:rPr>
        <w:t xml:space="preserve">⑵沉降观测点统一安装在建筑物室外标高以上 </w:t>
      </w:r>
      <w:r>
        <w:rPr>
          <w:spacing w:val="-2"/>
          <w:sz w:val="28"/>
        </w:rPr>
        <w:t>50CM</w:t>
      </w:r>
      <w:r>
        <w:rPr>
          <w:spacing w:val="-8"/>
          <w:sz w:val="28"/>
        </w:rPr>
        <w:t xml:space="preserve"> 处。安装时，若安</w:t>
      </w:r>
      <w:r>
        <w:rPr>
          <w:spacing w:val="-4"/>
          <w:sz w:val="28"/>
        </w:rPr>
        <w:t>装点是钢筋砼柱时，则应直接焊接于柱筋上；若是砖墙，则应采用先预埋在</w:t>
      </w:r>
      <w:r>
        <w:rPr>
          <w:spacing w:val="-7"/>
          <w:sz w:val="28"/>
        </w:rPr>
        <w:t xml:space="preserve">砼预制块上，再砌上墙，沉降观测点安装时，应伸出墙 </w:t>
      </w:r>
      <w:r>
        <w:rPr>
          <w:spacing w:val="-6"/>
          <w:sz w:val="28"/>
        </w:rPr>
        <w:t>5CM</w:t>
      </w:r>
      <w:r>
        <w:rPr>
          <w:spacing w:val="-11"/>
          <w:sz w:val="28"/>
        </w:rPr>
        <w:t xml:space="preserve"> 左右，以确保外</w:t>
      </w:r>
      <w:r>
        <w:rPr>
          <w:spacing w:val="-5"/>
          <w:sz w:val="28"/>
        </w:rPr>
        <w:t xml:space="preserve">墙装修后，沉降观测点能伸出墙 </w:t>
      </w:r>
      <w:r>
        <w:rPr>
          <w:spacing w:val="-2"/>
          <w:sz w:val="28"/>
        </w:rPr>
        <w:t>2.5CM，沉降观测点安装后应上漆并标出标</w:t>
      </w:r>
      <w:r>
        <w:rPr>
          <w:spacing w:val="-6"/>
          <w:sz w:val="28"/>
        </w:rPr>
        <w:t>志。</w:t>
      </w:r>
    </w:p>
    <w:p>
      <w:pPr>
        <w:spacing w:before="7" w:line="333" w:lineRule="auto"/>
        <w:ind w:left="293" w:right="404" w:firstLine="560"/>
        <w:jc w:val="both"/>
        <w:rPr>
          <w:sz w:val="28"/>
        </w:rPr>
      </w:pPr>
      <w:r>
        <w:rPr>
          <w:spacing w:val="-6"/>
          <w:sz w:val="28"/>
        </w:rPr>
        <w:t xml:space="preserve">⑶沉降观测点每个建筑物应设不少于 </w:t>
      </w:r>
      <w:r>
        <w:rPr>
          <w:spacing w:val="-4"/>
          <w:sz w:val="28"/>
        </w:rPr>
        <w:t>4</w:t>
      </w:r>
      <w:r>
        <w:rPr>
          <w:spacing w:val="-16"/>
          <w:sz w:val="28"/>
        </w:rPr>
        <w:t xml:space="preserve"> 个，观测点一般设在建筑物的转</w:t>
      </w:r>
      <w:r>
        <w:rPr>
          <w:spacing w:val="-2"/>
          <w:sz w:val="28"/>
        </w:rPr>
        <w:t>角和建筑物沉降缝两侧。</w:t>
      </w:r>
    </w:p>
    <w:p>
      <w:pPr>
        <w:spacing w:before="3" w:line="333" w:lineRule="auto"/>
        <w:ind w:left="293" w:right="311" w:firstLine="560"/>
        <w:jc w:val="left"/>
        <w:rPr>
          <w:sz w:val="28"/>
        </w:rPr>
      </w:pPr>
      <w:r>
        <w:rPr>
          <w:spacing w:val="-6"/>
          <w:sz w:val="28"/>
        </w:rPr>
        <w:t>⑷建筑物沉降观测是利用永久高程点或半永久高程点进行测量的。测量</w:t>
      </w:r>
      <w:r>
        <w:rPr>
          <w:spacing w:val="-2"/>
          <w:sz w:val="28"/>
        </w:rPr>
        <w:t>时应采用闭合差测量，沉降观测的目的除测量建筑物每测量点的沉降量外，</w:t>
      </w:r>
      <w:r>
        <w:rPr>
          <w:spacing w:val="-2"/>
          <w:sz w:val="28"/>
        </w:rPr>
        <w:t>最主要的目的是测出不均匀沉降量。因此，测量沉降时每次只允许采用同一</w:t>
      </w:r>
      <w:r>
        <w:rPr>
          <w:spacing w:val="-2"/>
          <w:sz w:val="28"/>
        </w:rPr>
        <w:t>个永久高程或半永久高程。</w:t>
      </w:r>
    </w:p>
    <w:p>
      <w:pPr>
        <w:spacing w:before="5" w:line="333" w:lineRule="auto"/>
        <w:ind w:left="293" w:right="264" w:firstLine="560"/>
        <w:jc w:val="left"/>
        <w:rPr>
          <w:sz w:val="28"/>
        </w:rPr>
      </w:pPr>
      <w:r>
        <w:rPr>
          <w:spacing w:val="-8"/>
          <w:sz w:val="28"/>
        </w:rPr>
        <w:t>⑸建筑物沉降观测在沉降点安装后，第一次应先测出各沉降点的实际高</w:t>
      </w:r>
      <w:r>
        <w:rPr>
          <w:spacing w:val="-18"/>
          <w:sz w:val="28"/>
        </w:rPr>
        <w:t>程，以后每上一次荷载或每上一自然层应测一次沉降观测。到建筑物封顶后，</w:t>
      </w:r>
      <w:r>
        <w:rPr>
          <w:spacing w:val="-2"/>
          <w:sz w:val="28"/>
        </w:rPr>
        <w:t>则改为每月定时观察。</w:t>
      </w:r>
    </w:p>
    <w:p>
      <w:pPr>
        <w:spacing w:before="4"/>
        <w:ind w:left="533" w:right="0" w:firstLine="0"/>
        <w:jc w:val="left"/>
        <w:rPr>
          <w:sz w:val="28"/>
        </w:rPr>
      </w:pPr>
      <w:r>
        <w:rPr>
          <w:sz w:val="28"/>
        </w:rPr>
        <w:t>9</w:t>
      </w:r>
      <w:r>
        <w:rPr>
          <w:spacing w:val="-1"/>
          <w:sz w:val="28"/>
        </w:rPr>
        <w:t>、工程竣工测量的监理</w:t>
      </w:r>
    </w:p>
    <w:p>
      <w:pPr>
        <w:pStyle w:val="ListParagraph"/>
        <w:numPr>
          <w:ilvl w:val="0"/>
          <w:numId w:val="1"/>
        </w:numPr>
        <w:tabs>
          <w:tab w:val="left" w:pos="1415"/>
        </w:tabs>
        <w:spacing w:before="141" w:after="0" w:line="333" w:lineRule="auto"/>
        <w:ind w:left="293" w:right="404" w:firstLine="420"/>
        <w:jc w:val="both"/>
        <w:rPr>
          <w:sz w:val="28"/>
        </w:rPr>
      </w:pPr>
      <w:r>
        <w:rPr>
          <w:spacing w:val="-2"/>
          <w:sz w:val="28"/>
        </w:rPr>
        <w:t>检查工程竣工测量是否全面反映建（构）筑物竣工后的位置。注</w:t>
      </w:r>
      <w:r>
        <w:rPr>
          <w:spacing w:val="-4"/>
          <w:sz w:val="28"/>
        </w:rPr>
        <w:t>意竣工测量不但测量地面的地物和地貌，还要测量底下各种隐蔽工程，竣工</w:t>
      </w:r>
      <w:r>
        <w:rPr>
          <w:spacing w:val="-2"/>
          <w:sz w:val="28"/>
        </w:rPr>
        <w:t>测量的精度一般应该符合竣工图的解析精度，检查内容有以下几部分：</w:t>
      </w:r>
    </w:p>
    <w:p>
      <w:pPr>
        <w:spacing w:before="4" w:line="333" w:lineRule="auto"/>
        <w:ind w:left="293" w:right="351" w:firstLine="380"/>
        <w:jc w:val="left"/>
        <w:rPr>
          <w:sz w:val="28"/>
        </w:rPr>
      </w:pPr>
      <w:r>
        <w:rPr>
          <w:spacing w:val="-2"/>
          <w:sz w:val="28"/>
        </w:rPr>
        <w:t>①建筑物:测定各房角坐标、几何尺寸，各种管线进出口的位置和高程，</w:t>
      </w:r>
      <w:r>
        <w:rPr>
          <w:spacing w:val="-2"/>
          <w:sz w:val="28"/>
        </w:rPr>
        <w:t>室内地坪及房角标高，并附注房屋结构层数、面积和竣工时间。</w:t>
      </w:r>
    </w:p>
    <w:p>
      <w:pPr>
        <w:spacing w:before="3" w:line="333" w:lineRule="auto"/>
        <w:ind w:left="293" w:right="404" w:firstLine="380"/>
        <w:jc w:val="left"/>
        <w:rPr>
          <w:sz w:val="28"/>
        </w:rPr>
      </w:pPr>
      <w:r>
        <w:rPr>
          <w:spacing w:val="-2"/>
          <w:sz w:val="28"/>
        </w:rPr>
        <w:t>②地下管线:测定检修井、转折点、起终点的坐标，井盖、井底、沟槽和</w:t>
      </w:r>
      <w:r>
        <w:rPr>
          <w:spacing w:val="-5"/>
          <w:sz w:val="28"/>
        </w:rPr>
        <w:t>管顶等的高程，附注管道及检修井的编号、名称、管径、管材、间距、坡度</w:t>
      </w:r>
    </w:p>
    <w:p>
      <w:pPr>
        <w:spacing w:after="0" w:line="333" w:lineRule="auto"/>
        <w:jc w:val="left"/>
        <w:rPr>
          <w:sz w:val="28"/>
        </w:rPr>
        <w:sectPr>
          <w:footerReference w:type="default" r:id="rId20"/>
          <w:pgSz w:w="11910" w:h="16840"/>
          <w:pgMar w:top="1300" w:right="880" w:bottom="1180" w:left="1180" w:header="0" w:footer="927"/>
          <w:pgNumType w:start="8"/>
          <w:cols w:space="708"/>
        </w:sectPr>
      </w:pPr>
    </w:p>
    <w:p>
      <w:pPr>
        <w:spacing w:before="49"/>
        <w:ind w:left="293" w:right="0" w:firstLine="0"/>
        <w:jc w:val="left"/>
        <w:rPr>
          <w:sz w:val="28"/>
        </w:rPr>
      </w:pPr>
      <w:r>
        <w:rPr>
          <w:spacing w:val="-3"/>
          <w:sz w:val="28"/>
        </w:rPr>
        <w:t>和流向。</w:t>
      </w:r>
    </w:p>
    <w:p>
      <w:pPr>
        <w:spacing w:before="141" w:line="333" w:lineRule="auto"/>
        <w:ind w:left="293" w:right="404" w:firstLine="380"/>
        <w:jc w:val="left"/>
        <w:rPr>
          <w:sz w:val="28"/>
        </w:rPr>
      </w:pPr>
      <w:r>
        <w:rPr>
          <w:spacing w:val="-2"/>
          <w:sz w:val="28"/>
        </w:rPr>
        <w:t>③架空管线:测定转折点、结点、交叉点和支点的坐标，支架间距、基础</w:t>
      </w:r>
      <w:r>
        <w:rPr>
          <w:spacing w:val="-2"/>
          <w:sz w:val="28"/>
        </w:rPr>
        <w:t>面标高等。</w:t>
      </w:r>
    </w:p>
    <w:p>
      <w:pPr>
        <w:spacing w:before="3" w:line="333" w:lineRule="auto"/>
        <w:ind w:left="293" w:right="351" w:firstLine="380"/>
        <w:jc w:val="left"/>
        <w:rPr>
          <w:sz w:val="28"/>
        </w:rPr>
      </w:pPr>
      <w:r>
        <w:rPr>
          <w:spacing w:val="-2"/>
          <w:sz w:val="28"/>
        </w:rPr>
        <w:t>④交通线路:测定线路起终点、转折点和交叉点的坐标，路面、人行道、</w:t>
      </w:r>
      <w:r>
        <w:rPr>
          <w:spacing w:val="-2"/>
          <w:sz w:val="28"/>
        </w:rPr>
        <w:t>绿化带界线等。</w:t>
      </w:r>
    </w:p>
    <w:p>
      <w:pPr>
        <w:spacing w:before="2" w:line="333" w:lineRule="auto"/>
        <w:ind w:left="293" w:right="351" w:firstLine="380"/>
        <w:jc w:val="left"/>
        <w:rPr>
          <w:sz w:val="28"/>
        </w:rPr>
      </w:pPr>
      <w:r>
        <w:rPr>
          <w:spacing w:val="-2"/>
          <w:sz w:val="28"/>
        </w:rPr>
        <w:t>⑤特种构筑物:测定沉淀池的外形和四角坐标，圆形构筑物的中心坐标，</w:t>
      </w:r>
      <w:r>
        <w:rPr>
          <w:spacing w:val="-2"/>
          <w:sz w:val="28"/>
        </w:rPr>
        <w:t>基础面标高，构筑物的高度或深度等。</w:t>
      </w:r>
    </w:p>
    <w:p>
      <w:pPr>
        <w:pStyle w:val="ListParagraph"/>
        <w:numPr>
          <w:ilvl w:val="0"/>
          <w:numId w:val="23"/>
        </w:numPr>
        <w:tabs>
          <w:tab w:val="left" w:pos="1448"/>
        </w:tabs>
        <w:spacing w:before="3" w:after="0" w:line="240" w:lineRule="auto"/>
        <w:ind w:left="1447" w:right="0" w:hanging="735"/>
        <w:jc w:val="left"/>
        <w:rPr>
          <w:sz w:val="28"/>
        </w:rPr>
      </w:pPr>
      <w:r>
        <w:rPr>
          <w:spacing w:val="15"/>
          <w:sz w:val="28"/>
        </w:rPr>
        <w:t>对施工单位工程竣工测量数据进行检查复核并签署监理意见。</w:t>
      </w:r>
    </w:p>
    <w:p>
      <w:pPr>
        <w:spacing w:before="141"/>
        <w:ind w:left="293" w:right="0" w:firstLine="0"/>
        <w:jc w:val="left"/>
        <w:rPr>
          <w:sz w:val="28"/>
        </w:rPr>
      </w:pPr>
      <w:r>
        <w:rPr>
          <w:sz w:val="28"/>
        </w:rPr>
        <w:t>（三）</w:t>
      </w:r>
      <w:r>
        <w:rPr>
          <w:spacing w:val="-2"/>
          <w:sz w:val="28"/>
        </w:rPr>
        <w:t>、测量监理目标</w:t>
      </w:r>
    </w:p>
    <w:p>
      <w:pPr>
        <w:spacing w:before="141"/>
        <w:ind w:left="1133" w:right="0" w:firstLine="0"/>
        <w:jc w:val="left"/>
        <w:rPr>
          <w:sz w:val="28"/>
        </w:rPr>
      </w:pPr>
      <w:r>
        <w:rPr>
          <w:sz w:val="28"/>
        </w:rPr>
        <w:t>1</w:t>
      </w:r>
      <w:r>
        <w:rPr>
          <w:spacing w:val="-1"/>
          <w:sz w:val="28"/>
        </w:rPr>
        <w:t>、施工范围内测量控制成果和加密控制成果满足《工程测量规范》</w:t>
      </w:r>
    </w:p>
    <w:p>
      <w:pPr>
        <w:spacing w:before="142"/>
        <w:ind w:left="293" w:right="0" w:firstLine="0"/>
        <w:jc w:val="left"/>
        <w:rPr>
          <w:sz w:val="28"/>
        </w:rPr>
      </w:pPr>
      <w:r>
        <w:rPr>
          <w:sz w:val="28"/>
        </w:rPr>
        <w:t>（GB50026—2007）</w:t>
      </w:r>
      <w:r>
        <w:rPr>
          <w:spacing w:val="-1"/>
          <w:sz w:val="28"/>
        </w:rPr>
        <w:t>相关要求和设计要求。</w:t>
      </w:r>
    </w:p>
    <w:p>
      <w:pPr>
        <w:spacing w:before="141" w:line="333" w:lineRule="auto"/>
        <w:ind w:left="293" w:right="405" w:firstLine="840"/>
        <w:jc w:val="left"/>
        <w:rPr>
          <w:sz w:val="28"/>
        </w:rPr>
      </w:pPr>
      <w:r>
        <w:rPr>
          <w:spacing w:val="-2"/>
          <w:sz w:val="28"/>
        </w:rPr>
        <w:t>2、各分部分项工程建、构筑物标高、轴线尺寸及位置、几何尺寸、</w:t>
      </w:r>
      <w:r>
        <w:rPr>
          <w:spacing w:val="-2"/>
          <w:sz w:val="28"/>
        </w:rPr>
        <w:t>垂直度等指标满足相关专业的施工与验收规范要求。</w:t>
      </w:r>
    </w:p>
    <w:p>
      <w:pPr>
        <w:spacing w:before="3" w:line="333" w:lineRule="auto"/>
        <w:ind w:left="293" w:right="405" w:firstLine="840"/>
        <w:jc w:val="left"/>
        <w:rPr>
          <w:sz w:val="28"/>
        </w:rPr>
      </w:pPr>
      <w:r>
        <w:rPr>
          <w:spacing w:val="-2"/>
          <w:sz w:val="28"/>
        </w:rPr>
        <w:t>3</w:t>
      </w:r>
      <w:r>
        <w:rPr>
          <w:spacing w:val="-9"/>
          <w:sz w:val="28"/>
        </w:rPr>
        <w:t>、变形、沉降观测成果满足《建筑变形测量规程》</w:t>
      </w:r>
      <w:r>
        <w:rPr>
          <w:spacing w:val="-2"/>
          <w:sz w:val="28"/>
        </w:rPr>
        <w:t>（JGJ8-2011）的</w:t>
      </w:r>
      <w:r>
        <w:rPr>
          <w:spacing w:val="-2"/>
          <w:sz w:val="28"/>
        </w:rPr>
        <w:t>精度要求。</w:t>
      </w:r>
    </w:p>
    <w:p>
      <w:pPr>
        <w:spacing w:before="2"/>
        <w:ind w:left="293" w:right="0" w:firstLine="0"/>
        <w:jc w:val="left"/>
        <w:rPr>
          <w:sz w:val="28"/>
        </w:rPr>
      </w:pPr>
      <w:r>
        <w:rPr>
          <w:spacing w:val="-1"/>
          <w:sz w:val="28"/>
        </w:rPr>
        <w:t>验线的精度应符合规范要求 , 主要包括：</w:t>
      </w:r>
    </w:p>
    <w:p>
      <w:pPr>
        <w:pStyle w:val="ListParagraph"/>
        <w:numPr>
          <w:ilvl w:val="1"/>
          <w:numId w:val="23"/>
        </w:numPr>
        <w:tabs>
          <w:tab w:val="left" w:pos="1555"/>
        </w:tabs>
        <w:spacing w:before="142" w:after="0" w:line="240" w:lineRule="auto"/>
        <w:ind w:left="1555" w:right="0" w:hanging="702"/>
        <w:jc w:val="left"/>
        <w:rPr>
          <w:sz w:val="28"/>
        </w:rPr>
      </w:pPr>
      <w:r>
        <w:rPr>
          <w:spacing w:val="-1"/>
          <w:sz w:val="28"/>
        </w:rPr>
        <w:t>仪器的精度应适应验线要求 , 并校正完好。</w:t>
      </w:r>
    </w:p>
    <w:p>
      <w:pPr>
        <w:pStyle w:val="ListParagraph"/>
        <w:numPr>
          <w:ilvl w:val="1"/>
          <w:numId w:val="23"/>
        </w:numPr>
        <w:tabs>
          <w:tab w:val="left" w:pos="1615"/>
        </w:tabs>
        <w:spacing w:before="141" w:after="0" w:line="333" w:lineRule="auto"/>
        <w:ind w:left="353" w:right="404" w:firstLine="560"/>
        <w:jc w:val="left"/>
        <w:rPr>
          <w:sz w:val="28"/>
        </w:rPr>
      </w:pPr>
      <w:r>
        <w:rPr>
          <w:spacing w:val="-6"/>
          <w:sz w:val="28"/>
        </w:rPr>
        <w:t>必须按规程作业 , 观测误差必须小于限差 , 观测中的系统误差</w:t>
      </w:r>
      <w:r>
        <w:rPr>
          <w:spacing w:val="-2"/>
          <w:sz w:val="28"/>
        </w:rPr>
        <w:t>应采取措施进行改正。</w:t>
      </w:r>
    </w:p>
    <w:p>
      <w:pPr>
        <w:pStyle w:val="ListParagraph"/>
        <w:numPr>
          <w:ilvl w:val="1"/>
          <w:numId w:val="23"/>
        </w:numPr>
        <w:tabs>
          <w:tab w:val="left" w:pos="1555"/>
        </w:tabs>
        <w:spacing w:before="2" w:after="0" w:line="333" w:lineRule="auto"/>
        <w:ind w:left="293" w:right="404" w:firstLine="560"/>
        <w:jc w:val="left"/>
        <w:rPr>
          <w:sz w:val="28"/>
        </w:rPr>
      </w:pPr>
      <w:r>
        <w:rPr>
          <w:spacing w:val="-6"/>
          <w:sz w:val="28"/>
        </w:rPr>
        <w:t>验线本身应先行闭合校核。必须独立验线 , 验线工作应尽量与放</w:t>
      </w:r>
      <w:r>
        <w:rPr>
          <w:sz w:val="28"/>
        </w:rPr>
        <w:t>线工作不相关 , 主要包括：</w:t>
      </w:r>
    </w:p>
    <w:p>
      <w:pPr>
        <w:spacing w:before="3"/>
        <w:ind w:left="993" w:right="0" w:firstLine="0"/>
        <w:jc w:val="left"/>
        <w:rPr>
          <w:sz w:val="28"/>
        </w:rPr>
      </w:pPr>
      <w:r>
        <w:rPr>
          <w:spacing w:val="-1"/>
          <w:sz w:val="28"/>
        </w:rPr>
        <w:t>①观测人员不为同一组人。</w:t>
      </w:r>
    </w:p>
    <w:p>
      <w:pPr>
        <w:spacing w:before="141"/>
        <w:ind w:left="993" w:right="0" w:firstLine="0"/>
        <w:jc w:val="left"/>
        <w:rPr>
          <w:sz w:val="28"/>
        </w:rPr>
      </w:pPr>
      <w:r>
        <w:rPr>
          <w:spacing w:val="-2"/>
          <w:sz w:val="28"/>
        </w:rPr>
        <w:t>②仪器不为同一台。</w:t>
      </w:r>
    </w:p>
    <w:p>
      <w:pPr>
        <w:spacing w:before="142"/>
        <w:ind w:left="993" w:right="0" w:firstLine="0"/>
        <w:jc w:val="left"/>
        <w:rPr>
          <w:sz w:val="28"/>
        </w:rPr>
      </w:pPr>
      <w:r>
        <w:rPr>
          <w:spacing w:val="-1"/>
          <w:sz w:val="28"/>
        </w:rPr>
        <w:t>③测法及观测路线等不为同一样。</w:t>
      </w:r>
    </w:p>
    <w:p>
      <w:pPr>
        <w:spacing w:before="141"/>
        <w:ind w:left="853" w:right="0" w:firstLine="0"/>
        <w:jc w:val="left"/>
        <w:rPr>
          <w:sz w:val="28"/>
        </w:rPr>
      </w:pPr>
      <w:r>
        <w:rPr>
          <w:sz w:val="28"/>
        </w:rPr>
        <w:t>4</w:t>
      </w:r>
      <w:r>
        <w:rPr>
          <w:spacing w:val="-1"/>
          <w:sz w:val="28"/>
        </w:rPr>
        <w:t>、验线方法及误差处理：</w:t>
      </w:r>
    </w:p>
    <w:p>
      <w:pPr>
        <w:pStyle w:val="ListParagraph"/>
        <w:numPr>
          <w:ilvl w:val="0"/>
          <w:numId w:val="18"/>
        </w:numPr>
        <w:tabs>
          <w:tab w:val="left" w:pos="1514"/>
        </w:tabs>
        <w:spacing w:before="141" w:after="0" w:line="333" w:lineRule="auto"/>
        <w:ind w:left="532" w:right="405" w:firstLine="280"/>
        <w:jc w:val="left"/>
        <w:rPr>
          <w:sz w:val="28"/>
        </w:rPr>
      </w:pPr>
      <w:r>
        <w:rPr>
          <w:spacing w:val="-5"/>
          <w:sz w:val="28"/>
        </w:rPr>
        <w:t>场区平面控制网与建筑物定位 , 应在平差计算中评定其最弱部位</w:t>
      </w:r>
      <w:r>
        <w:rPr>
          <w:sz w:val="28"/>
        </w:rPr>
        <w:t>的精度 ,并实地验测 ,精度不符合要求时应重测。</w:t>
      </w:r>
    </w:p>
    <w:p>
      <w:pPr>
        <w:pStyle w:val="ListParagraph"/>
        <w:numPr>
          <w:ilvl w:val="0"/>
          <w:numId w:val="18"/>
        </w:numPr>
        <w:tabs>
          <w:tab w:val="left" w:pos="1587"/>
        </w:tabs>
        <w:spacing w:before="3" w:after="0" w:line="240" w:lineRule="auto"/>
        <w:ind w:left="1586" w:right="0" w:hanging="775"/>
        <w:jc w:val="left"/>
        <w:rPr>
          <w:sz w:val="28"/>
        </w:rPr>
      </w:pPr>
      <w:r>
        <w:rPr>
          <w:spacing w:val="-17"/>
          <w:sz w:val="28"/>
        </w:rPr>
        <w:t>细部测量 , 可用不低于原测量放线的精度进行验测 , 验线成果与</w:t>
      </w:r>
    </w:p>
    <w:p>
      <w:pPr>
        <w:spacing w:after="0" w:line="240" w:lineRule="auto"/>
        <w:jc w:val="left"/>
        <w:rPr>
          <w:sz w:val="28"/>
        </w:rPr>
        <w:sectPr>
          <w:footerReference w:type="default" r:id="rId21"/>
          <w:pgSz w:w="11910" w:h="16840"/>
          <w:pgMar w:top="1300" w:right="880" w:bottom="1180" w:left="1180" w:header="0" w:footer="927"/>
          <w:pgNumType w:start="9"/>
          <w:cols w:space="708"/>
        </w:sectPr>
      </w:pPr>
    </w:p>
    <w:p>
      <w:pPr>
        <w:spacing w:before="49"/>
        <w:ind w:left="532" w:right="0" w:firstLine="0"/>
        <w:jc w:val="left"/>
        <w:rPr>
          <w:sz w:val="28"/>
        </w:rPr>
      </w:pPr>
      <w:r>
        <w:rPr>
          <w:spacing w:val="-1"/>
          <w:sz w:val="28"/>
        </w:rPr>
        <w:t>原放线成果之间的误差处理如下：</w:t>
      </w:r>
    </w:p>
    <w:p>
      <w:pPr>
        <w:spacing w:before="141"/>
        <w:ind w:left="1002" w:right="0" w:firstLine="0"/>
        <w:jc w:val="left"/>
        <w:rPr>
          <w:sz w:val="28"/>
        </w:rPr>
      </w:pPr>
      <w:r>
        <w:rPr>
          <w:sz w:val="28"/>
        </w:rPr>
        <w:t>①</w:t>
      </w:r>
      <w:r>
        <w:rPr>
          <w:spacing w:val="61"/>
          <w:w w:val="150"/>
          <w:sz w:val="28"/>
        </w:rPr>
        <w:t xml:space="preserve"> </w:t>
      </w:r>
      <w:r>
        <w:rPr>
          <w:sz w:val="28"/>
        </w:rPr>
        <w:t>两者之差若小于 1/2</w:t>
      </w:r>
      <w:r>
        <w:rPr>
          <w:spacing w:val="-1"/>
          <w:sz w:val="28"/>
        </w:rPr>
        <w:t xml:space="preserve"> 倍限差时 , 对放线工作评为优良；</w:t>
      </w:r>
    </w:p>
    <w:p>
      <w:pPr>
        <w:spacing w:before="141"/>
        <w:ind w:left="1002" w:right="0" w:firstLine="0"/>
        <w:jc w:val="left"/>
        <w:rPr>
          <w:sz w:val="28"/>
        </w:rPr>
      </w:pPr>
      <w:r>
        <w:rPr>
          <w:sz w:val="28"/>
        </w:rPr>
        <w:t>②</w:t>
      </w:r>
      <w:r>
        <w:rPr>
          <w:spacing w:val="61"/>
          <w:w w:val="150"/>
          <w:sz w:val="28"/>
        </w:rPr>
        <w:t xml:space="preserve"> </w:t>
      </w:r>
      <w:r>
        <w:rPr>
          <w:spacing w:val="-2"/>
          <w:sz w:val="28"/>
        </w:rPr>
        <w:t xml:space="preserve">两者之差大于 </w:t>
      </w:r>
      <w:r>
        <w:rPr>
          <w:sz w:val="28"/>
        </w:rPr>
        <w:t>1/2</w:t>
      </w:r>
      <w:r>
        <w:rPr>
          <w:spacing w:val="-6"/>
          <w:sz w:val="28"/>
        </w:rPr>
        <w:t xml:space="preserve"> 且小于 </w:t>
      </w:r>
      <w:r>
        <w:rPr>
          <w:sz w:val="28"/>
        </w:rPr>
        <w:t>2</w:t>
      </w:r>
      <w:r>
        <w:rPr>
          <w:spacing w:val="-9"/>
          <w:sz w:val="28"/>
        </w:rPr>
        <w:t xml:space="preserve"> 位限差时 , 对放线工作评为合格 (</w:t>
      </w:r>
    </w:p>
    <w:p>
      <w:pPr>
        <w:spacing w:before="141"/>
        <w:ind w:left="1073" w:right="0" w:firstLine="0"/>
        <w:jc w:val="left"/>
        <w:rPr>
          <w:sz w:val="28"/>
        </w:rPr>
      </w:pPr>
      <w:r>
        <w:rPr>
          <w:spacing w:val="-1"/>
          <w:sz w:val="28"/>
        </w:rPr>
        <w:t>可不必改正放线成果 , 或取两者的平均值 )；</w:t>
      </w:r>
    </w:p>
    <w:p>
      <w:pPr>
        <w:spacing w:before="142" w:line="333" w:lineRule="auto"/>
        <w:ind w:left="1073" w:right="404" w:hanging="71"/>
        <w:jc w:val="left"/>
        <w:rPr>
          <w:sz w:val="28"/>
        </w:rPr>
      </w:pPr>
      <w:r>
        <w:rPr>
          <w:spacing w:val="1"/>
          <w:sz w:val="28"/>
        </w:rPr>
        <w:t xml:space="preserve">③ 两者之差超过 </w:t>
      </w:r>
      <w:r>
        <w:rPr>
          <w:sz w:val="28"/>
        </w:rPr>
        <w:t>2</w:t>
      </w:r>
      <w:r>
        <w:rPr>
          <w:spacing w:val="-19"/>
          <w:sz w:val="28"/>
        </w:rPr>
        <w:t xml:space="preserve"> 倍限差时 , 原则上不予验收 , 尤其是要害部位。</w:t>
      </w:r>
      <w:r>
        <w:rPr>
          <w:spacing w:val="-2"/>
          <w:sz w:val="28"/>
        </w:rPr>
        <w:t>若次要部位可令其局部返工。</w:t>
      </w:r>
    </w:p>
    <w:p>
      <w:pPr>
        <w:spacing w:before="2"/>
        <w:ind w:left="293" w:right="0" w:firstLine="0"/>
        <w:jc w:val="left"/>
        <w:rPr>
          <w:sz w:val="28"/>
        </w:rPr>
      </w:pPr>
      <w:r>
        <w:rPr>
          <w:sz w:val="28"/>
        </w:rPr>
        <w:t>5</w:t>
      </w:r>
      <w:r>
        <w:rPr>
          <w:spacing w:val="-1"/>
          <w:sz w:val="28"/>
        </w:rPr>
        <w:t>、验线的部位关键环节与最弱部位 , 主要包括：</w:t>
      </w:r>
    </w:p>
    <w:p>
      <w:pPr>
        <w:spacing w:before="142"/>
        <w:ind w:left="853" w:right="0" w:firstLine="0"/>
        <w:jc w:val="left"/>
        <w:rPr>
          <w:sz w:val="28"/>
        </w:rPr>
      </w:pPr>
      <w:r>
        <w:rPr>
          <w:spacing w:val="-1"/>
          <w:sz w:val="28"/>
        </w:rPr>
        <w:t>①定位依据桩位及定位条件；</w:t>
      </w:r>
    </w:p>
    <w:p>
      <w:pPr>
        <w:spacing w:before="141"/>
        <w:ind w:left="853" w:right="0" w:firstLine="0"/>
        <w:jc w:val="left"/>
        <w:rPr>
          <w:sz w:val="28"/>
        </w:rPr>
      </w:pPr>
      <w:r>
        <w:rPr>
          <w:spacing w:val="-1"/>
          <w:sz w:val="28"/>
        </w:rPr>
        <w:t>②场区平面控制 , 主轴线及其控制桩 ( 引桩 )；</w:t>
      </w:r>
    </w:p>
    <w:p>
      <w:pPr>
        <w:spacing w:before="141"/>
        <w:ind w:left="853" w:right="0" w:firstLine="0"/>
        <w:jc w:val="left"/>
        <w:rPr>
          <w:sz w:val="28"/>
        </w:rPr>
      </w:pPr>
      <w:r>
        <w:rPr>
          <w:sz w:val="28"/>
        </w:rPr>
        <w:t>③场区高程控制网及± 0.000</w:t>
      </w:r>
      <w:r>
        <w:rPr>
          <w:spacing w:val="-2"/>
          <w:sz w:val="28"/>
        </w:rPr>
        <w:t xml:space="preserve"> 高程线；</w:t>
      </w:r>
    </w:p>
    <w:p>
      <w:pPr>
        <w:spacing w:before="141"/>
        <w:ind w:left="853" w:right="0" w:firstLine="0"/>
        <w:jc w:val="left"/>
        <w:rPr>
          <w:sz w:val="28"/>
        </w:rPr>
      </w:pPr>
      <w:r>
        <w:rPr>
          <w:spacing w:val="-1"/>
          <w:sz w:val="28"/>
        </w:rPr>
        <w:t>④控制网及定位放线中的最弱部位。</w:t>
      </w:r>
    </w:p>
    <w:p>
      <w:pPr>
        <w:spacing w:before="142"/>
        <w:ind w:left="293" w:right="0" w:firstLine="0"/>
        <w:jc w:val="left"/>
        <w:rPr>
          <w:sz w:val="28"/>
        </w:rPr>
      </w:pPr>
      <w:r>
        <w:rPr>
          <w:sz w:val="28"/>
        </w:rPr>
        <w:t>6</w:t>
      </w:r>
      <w:r>
        <w:rPr>
          <w:spacing w:val="-1"/>
          <w:sz w:val="28"/>
        </w:rPr>
        <w:t>、测量记录的基本要求 : 原始真实、数字正确、内容完整、字体工整。</w:t>
      </w:r>
    </w:p>
    <w:p>
      <w:pPr>
        <w:spacing w:before="141" w:line="333" w:lineRule="auto"/>
        <w:ind w:left="293" w:right="264" w:firstLine="0"/>
        <w:jc w:val="left"/>
        <w:rPr>
          <w:sz w:val="28"/>
        </w:rPr>
      </w:pPr>
      <w:r>
        <w:rPr>
          <w:sz w:val="28"/>
        </w:rPr>
        <w:t>7</w:t>
      </w:r>
      <w:r>
        <w:rPr>
          <w:spacing w:val="-17"/>
          <w:sz w:val="28"/>
        </w:rPr>
        <w:t>、测量计算工作的基本要求 : 依据正确、方法科学、计算有序、步步校核、</w:t>
      </w:r>
      <w:r>
        <w:rPr>
          <w:spacing w:val="-2"/>
          <w:sz w:val="28"/>
        </w:rPr>
        <w:t>结果可靠。</w:t>
      </w:r>
    </w:p>
    <w:p>
      <w:pPr>
        <w:pStyle w:val="Heading1"/>
        <w:spacing w:line="425" w:lineRule="exact"/>
      </w:pPr>
      <w:bookmarkStart w:id="7" w:name="_TOC_250002"/>
      <w:bookmarkEnd w:id="7"/>
      <w:r>
        <w:rPr>
          <w:spacing w:val="-2"/>
        </w:rPr>
        <w:t>八、测量资料管理</w:t>
      </w:r>
    </w:p>
    <w:p>
      <w:pPr>
        <w:spacing w:before="77"/>
        <w:ind w:left="293" w:right="0" w:firstLine="0"/>
        <w:jc w:val="left"/>
        <w:rPr>
          <w:sz w:val="28"/>
        </w:rPr>
      </w:pPr>
      <w:r>
        <w:rPr>
          <w:sz w:val="28"/>
        </w:rPr>
        <w:t>1</w:t>
      </w:r>
      <w:r>
        <w:rPr>
          <w:spacing w:val="-1"/>
          <w:sz w:val="28"/>
        </w:rPr>
        <w:t>、在工程施工过程中要形成以下测量资料：</w:t>
      </w:r>
    </w:p>
    <w:p>
      <w:pPr>
        <w:spacing w:before="142"/>
        <w:ind w:left="293" w:right="0" w:firstLine="0"/>
        <w:jc w:val="left"/>
        <w:rPr>
          <w:sz w:val="28"/>
        </w:rPr>
      </w:pPr>
      <w:r>
        <w:rPr>
          <w:spacing w:val="-13"/>
          <w:sz w:val="28"/>
        </w:rPr>
        <w:t>①、施工单位的测量仪器检定证书和主要测量人员资质的资料须报监理单位。</w:t>
      </w:r>
    </w:p>
    <w:p>
      <w:pPr>
        <w:spacing w:before="141"/>
        <w:ind w:left="293" w:right="0" w:firstLine="0"/>
        <w:jc w:val="left"/>
        <w:rPr>
          <w:sz w:val="28"/>
        </w:rPr>
      </w:pPr>
      <w:r>
        <w:rPr>
          <w:spacing w:val="-1"/>
          <w:sz w:val="28"/>
        </w:rPr>
        <w:t>②、控制交桩记录和控制点复核记录。</w:t>
      </w:r>
    </w:p>
    <w:p>
      <w:pPr>
        <w:spacing w:before="141"/>
        <w:ind w:left="293" w:right="0" w:firstLine="0"/>
        <w:jc w:val="left"/>
        <w:rPr>
          <w:sz w:val="28"/>
        </w:rPr>
      </w:pPr>
      <w:r>
        <w:rPr>
          <w:spacing w:val="-1"/>
          <w:sz w:val="28"/>
        </w:rPr>
        <w:t>③、测量方案报审表。</w:t>
      </w:r>
    </w:p>
    <w:p>
      <w:pPr>
        <w:spacing w:before="141"/>
        <w:ind w:left="293" w:right="0" w:firstLine="0"/>
        <w:jc w:val="left"/>
        <w:rPr>
          <w:sz w:val="28"/>
        </w:rPr>
      </w:pPr>
      <w:r>
        <w:rPr>
          <w:spacing w:val="-1"/>
          <w:sz w:val="28"/>
        </w:rPr>
        <w:t>④、加密控制点成果报验：包括观测记录和计算成果表。</w:t>
      </w:r>
    </w:p>
    <w:p>
      <w:pPr>
        <w:spacing w:before="142"/>
        <w:ind w:left="293" w:right="0" w:firstLine="0"/>
        <w:jc w:val="left"/>
        <w:rPr>
          <w:sz w:val="28"/>
        </w:rPr>
      </w:pPr>
      <w:r>
        <w:rPr>
          <w:spacing w:val="-1"/>
          <w:sz w:val="28"/>
        </w:rPr>
        <w:t>⑤、单位工程坐标定位测量记录。</w:t>
      </w:r>
    </w:p>
    <w:p>
      <w:pPr>
        <w:spacing w:before="141"/>
        <w:ind w:left="293" w:right="0" w:firstLine="0"/>
        <w:jc w:val="left"/>
        <w:rPr>
          <w:sz w:val="28"/>
        </w:rPr>
      </w:pPr>
      <w:r>
        <w:rPr>
          <w:spacing w:val="-1"/>
          <w:sz w:val="28"/>
        </w:rPr>
        <w:t>⑥、施工测量放线记录报验：包括报验申请表和工程基线复核记录表。</w:t>
      </w:r>
    </w:p>
    <w:p>
      <w:pPr>
        <w:spacing w:before="141"/>
        <w:ind w:left="293" w:right="0" w:firstLine="0"/>
        <w:jc w:val="left"/>
        <w:rPr>
          <w:sz w:val="28"/>
        </w:rPr>
      </w:pPr>
      <w:r>
        <w:rPr>
          <w:spacing w:val="-1"/>
          <w:sz w:val="28"/>
        </w:rPr>
        <w:t>⑦、施工过程中的检查复核记录。</w:t>
      </w:r>
    </w:p>
    <w:p>
      <w:pPr>
        <w:spacing w:before="141"/>
        <w:ind w:left="293" w:right="0" w:firstLine="0"/>
        <w:jc w:val="left"/>
        <w:rPr>
          <w:sz w:val="28"/>
        </w:rPr>
      </w:pPr>
      <w:r>
        <w:rPr>
          <w:spacing w:val="-1"/>
          <w:sz w:val="28"/>
        </w:rPr>
        <w:t>⑧、主体沉降观测、基坑变形监测资料，包括观测记录、成果处理图表。</w:t>
      </w:r>
    </w:p>
    <w:p>
      <w:pPr>
        <w:spacing w:before="142"/>
        <w:ind w:left="293" w:right="0" w:firstLine="0"/>
        <w:jc w:val="left"/>
        <w:rPr>
          <w:sz w:val="28"/>
        </w:rPr>
      </w:pPr>
      <w:r>
        <w:rPr>
          <w:spacing w:val="-1"/>
          <w:sz w:val="28"/>
        </w:rPr>
        <w:t>⑨、工程竣工测量及复核记录</w:t>
      </w:r>
    </w:p>
    <w:p>
      <w:pPr>
        <w:spacing w:before="156"/>
        <w:ind w:left="293" w:right="0" w:firstLine="0"/>
        <w:jc w:val="left"/>
        <w:rPr>
          <w:sz w:val="28"/>
        </w:rPr>
      </w:pPr>
      <w:r>
        <w:rPr>
          <w:sz w:val="28"/>
        </w:rPr>
        <w:t>2</w:t>
      </w:r>
      <w:r>
        <w:rPr>
          <w:spacing w:val="-1"/>
          <w:sz w:val="28"/>
        </w:rPr>
        <w:t>、监理工程师在审核测量资料时要注意以下几点：</w:t>
      </w:r>
    </w:p>
    <w:p>
      <w:pPr>
        <w:spacing w:before="4" w:line="620" w:lineRule="atLeast"/>
        <w:ind w:left="293" w:right="404" w:firstLine="0"/>
        <w:jc w:val="left"/>
        <w:rPr>
          <w:sz w:val="28"/>
        </w:rPr>
      </w:pPr>
      <w:r>
        <w:rPr>
          <w:spacing w:val="-4"/>
          <w:sz w:val="28"/>
        </w:rPr>
        <w:t>①、测量方案要结合工程的规模和难易程度分桩基、地下室、主体等分别编</w:t>
      </w:r>
      <w:r>
        <w:rPr>
          <w:spacing w:val="-5"/>
          <w:sz w:val="28"/>
        </w:rPr>
        <w:t>制测量方案，并经施工单位技术负责人审核签字；对于主体沉降观测、基坑</w:t>
      </w:r>
    </w:p>
    <w:p>
      <w:pPr>
        <w:spacing w:after="0" w:line="620" w:lineRule="atLeast"/>
        <w:jc w:val="left"/>
        <w:rPr>
          <w:sz w:val="28"/>
        </w:rPr>
        <w:sectPr>
          <w:footerReference w:type="default" r:id="rId22"/>
          <w:pgSz w:w="11910" w:h="16840"/>
          <w:pgMar w:top="1300" w:right="880" w:bottom="1180" w:left="1180" w:header="0" w:footer="927"/>
          <w:pgNumType w:start="10"/>
          <w:cols w:space="708"/>
        </w:sectPr>
      </w:pPr>
    </w:p>
    <w:p>
      <w:pPr>
        <w:spacing w:before="44" w:line="417" w:lineRule="auto"/>
        <w:ind w:left="293" w:right="404" w:firstLine="0"/>
        <w:jc w:val="left"/>
        <w:rPr>
          <w:sz w:val="28"/>
        </w:rPr>
      </w:pPr>
      <w:r>
        <w:rPr>
          <w:spacing w:val="-6"/>
          <w:sz w:val="28"/>
        </w:rPr>
        <w:t>变形监测须由有相应资质的测量单位承担并编制专项测量方案，审签手续完</w:t>
      </w:r>
      <w:r>
        <w:rPr>
          <w:spacing w:val="-6"/>
          <w:sz w:val="28"/>
        </w:rPr>
        <w:t>备。</w:t>
      </w:r>
    </w:p>
    <w:p>
      <w:pPr>
        <w:spacing w:before="0" w:line="358" w:lineRule="exact"/>
        <w:ind w:left="293" w:right="0" w:firstLine="0"/>
        <w:jc w:val="left"/>
        <w:rPr>
          <w:sz w:val="28"/>
        </w:rPr>
      </w:pPr>
      <w:r>
        <w:rPr>
          <w:spacing w:val="-1"/>
          <w:sz w:val="28"/>
        </w:rPr>
        <w:t>②、测量复核记录必须有测量人、复核人签字并签署意见。</w:t>
      </w:r>
    </w:p>
    <w:p>
      <w:pPr>
        <w:pStyle w:val="BodyText"/>
        <w:spacing w:before="8"/>
        <w:rPr>
          <w:sz w:val="20"/>
        </w:rPr>
      </w:pPr>
    </w:p>
    <w:p>
      <w:pPr>
        <w:spacing w:before="1"/>
        <w:ind w:left="293" w:right="0" w:firstLine="0"/>
        <w:jc w:val="left"/>
        <w:rPr>
          <w:sz w:val="28"/>
        </w:rPr>
      </w:pPr>
      <w:r>
        <w:rPr>
          <w:spacing w:val="-1"/>
          <w:sz w:val="28"/>
        </w:rPr>
        <w:t>③、原始记录和根据原始记录整理的测量结果均是测量技术资料。</w:t>
      </w:r>
    </w:p>
    <w:p>
      <w:pPr>
        <w:pStyle w:val="BodyText"/>
        <w:spacing w:before="8"/>
        <w:rPr>
          <w:sz w:val="20"/>
        </w:rPr>
      </w:pPr>
    </w:p>
    <w:p>
      <w:pPr>
        <w:spacing w:before="1"/>
        <w:ind w:left="293" w:right="0" w:firstLine="0"/>
        <w:jc w:val="left"/>
        <w:rPr>
          <w:sz w:val="28"/>
        </w:rPr>
      </w:pPr>
      <w:r>
        <w:rPr>
          <w:spacing w:val="-1"/>
          <w:sz w:val="28"/>
        </w:rPr>
        <w:t>④、专业监理工程师要定期抽查测量资料。</w:t>
      </w:r>
    </w:p>
    <w:p>
      <w:pPr>
        <w:pStyle w:val="Heading1"/>
        <w:spacing w:before="172"/>
      </w:pPr>
      <w:bookmarkStart w:id="8" w:name="_TOC_250001"/>
      <w:bookmarkEnd w:id="8"/>
      <w:r>
        <w:rPr>
          <w:spacing w:val="-1"/>
        </w:rPr>
        <w:t>九、测量精度及误差范围标准</w:t>
      </w:r>
    </w:p>
    <w:p>
      <w:pPr>
        <w:spacing w:before="202" w:line="408" w:lineRule="auto"/>
        <w:ind w:left="2374" w:right="731" w:hanging="2080"/>
        <w:jc w:val="left"/>
        <w:rPr>
          <w:sz w:val="28"/>
        </w:rPr>
      </w:pPr>
      <w:r>
        <w:pict>
          <v:shape id="_x0000_s1070" type="#_x0000_t202" style="width:477.85pt;height:93.85pt;margin-top:59.56pt;margin-left:68.05pt;mso-position-horizontal-relative:page;position:absolute;z-index:251666432" filled="f" stroked="f">
            <v:textbox inset="0,0,0,0">
              <w:txbxContent>
                <w:tbl>
                  <w:tblPr>
                    <w:tblStyle w:val="TableNormal2"/>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5"/>
                    <w:gridCol w:w="1735"/>
                    <w:gridCol w:w="1735"/>
                    <w:gridCol w:w="1736"/>
                    <w:gridCol w:w="2606"/>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99"/>
                      <w:jc w:val="left"/>
                    </w:trPr>
                    <w:tc>
                      <w:tcPr>
                        <w:tcW w:w="1735" w:type="dxa"/>
                      </w:tcPr>
                      <w:p>
                        <w:pPr>
                          <w:pStyle w:val="TableParagraph"/>
                          <w:spacing w:before="2"/>
                          <w:rPr>
                            <w:sz w:val="23"/>
                          </w:rPr>
                        </w:pPr>
                      </w:p>
                      <w:p>
                        <w:pPr>
                          <w:pStyle w:val="TableParagraph"/>
                          <w:spacing w:before="1"/>
                          <w:ind w:left="852"/>
                          <w:rPr>
                            <w:sz w:val="24"/>
                          </w:rPr>
                        </w:pPr>
                        <w:r>
                          <w:rPr>
                            <w:spacing w:val="-5"/>
                            <w:sz w:val="24"/>
                          </w:rPr>
                          <w:t>等级</w:t>
                        </w:r>
                      </w:p>
                    </w:tc>
                    <w:tc>
                      <w:tcPr>
                        <w:tcW w:w="1735" w:type="dxa"/>
                      </w:tcPr>
                      <w:p>
                        <w:pPr>
                          <w:pStyle w:val="TableParagraph"/>
                          <w:spacing w:before="2"/>
                          <w:rPr>
                            <w:sz w:val="23"/>
                          </w:rPr>
                        </w:pPr>
                      </w:p>
                      <w:p>
                        <w:pPr>
                          <w:pStyle w:val="TableParagraph"/>
                          <w:spacing w:before="1"/>
                          <w:ind w:right="375"/>
                          <w:jc w:val="right"/>
                          <w:rPr>
                            <w:sz w:val="24"/>
                          </w:rPr>
                        </w:pPr>
                        <w:r>
                          <w:rPr>
                            <w:sz w:val="24"/>
                          </w:rPr>
                          <w:t>边长</w:t>
                        </w:r>
                        <w:r>
                          <w:rPr>
                            <w:spacing w:val="-5"/>
                            <w:sz w:val="24"/>
                          </w:rPr>
                          <w:t>（m)</w:t>
                        </w:r>
                      </w:p>
                    </w:tc>
                    <w:tc>
                      <w:tcPr>
                        <w:tcW w:w="1735" w:type="dxa"/>
                      </w:tcPr>
                      <w:p>
                        <w:pPr>
                          <w:pStyle w:val="TableParagraph"/>
                          <w:spacing w:before="141"/>
                          <w:ind w:left="282" w:right="272"/>
                          <w:jc w:val="center"/>
                          <w:rPr>
                            <w:sz w:val="24"/>
                          </w:rPr>
                        </w:pPr>
                        <w:r>
                          <w:rPr>
                            <w:spacing w:val="-12"/>
                            <w:sz w:val="24"/>
                          </w:rPr>
                          <w:t xml:space="preserve">固定误差 </w:t>
                        </w:r>
                        <w:r>
                          <w:rPr>
                            <w:spacing w:val="-10"/>
                            <w:sz w:val="24"/>
                          </w:rPr>
                          <w:t>A</w:t>
                        </w:r>
                      </w:p>
                      <w:p>
                        <w:pPr>
                          <w:pStyle w:val="TableParagraph"/>
                          <w:spacing w:before="5"/>
                          <w:ind w:left="282" w:right="272"/>
                          <w:jc w:val="center"/>
                          <w:rPr>
                            <w:sz w:val="24"/>
                          </w:rPr>
                        </w:pPr>
                        <w:r>
                          <w:rPr>
                            <w:spacing w:val="-4"/>
                            <w:sz w:val="24"/>
                          </w:rPr>
                          <w:t>（mm)</w:t>
                        </w:r>
                      </w:p>
                    </w:tc>
                    <w:tc>
                      <w:tcPr>
                        <w:tcW w:w="1736" w:type="dxa"/>
                      </w:tcPr>
                      <w:p>
                        <w:pPr>
                          <w:pStyle w:val="TableParagraph"/>
                          <w:spacing w:before="141"/>
                          <w:ind w:left="283" w:right="273"/>
                          <w:jc w:val="center"/>
                          <w:rPr>
                            <w:sz w:val="24"/>
                          </w:rPr>
                        </w:pPr>
                        <w:r>
                          <w:rPr>
                            <w:spacing w:val="-12"/>
                            <w:sz w:val="24"/>
                          </w:rPr>
                          <w:t xml:space="preserve">固定误差 </w:t>
                        </w:r>
                        <w:r>
                          <w:rPr>
                            <w:spacing w:val="-10"/>
                            <w:sz w:val="24"/>
                          </w:rPr>
                          <w:t>B</w:t>
                        </w:r>
                      </w:p>
                      <w:p>
                        <w:pPr>
                          <w:pStyle w:val="TableParagraph"/>
                          <w:spacing w:before="5"/>
                          <w:ind w:left="283" w:right="273"/>
                          <w:jc w:val="center"/>
                          <w:rPr>
                            <w:sz w:val="24"/>
                          </w:rPr>
                        </w:pPr>
                        <w:r>
                          <w:rPr>
                            <w:spacing w:val="-4"/>
                            <w:sz w:val="24"/>
                          </w:rPr>
                          <w:t>（mm)</w:t>
                        </w:r>
                      </w:p>
                    </w:tc>
                    <w:tc>
                      <w:tcPr>
                        <w:tcW w:w="2606" w:type="dxa"/>
                      </w:tcPr>
                      <w:p>
                        <w:pPr>
                          <w:pStyle w:val="TableParagraph"/>
                          <w:spacing w:before="2"/>
                          <w:rPr>
                            <w:sz w:val="23"/>
                          </w:rPr>
                        </w:pPr>
                      </w:p>
                      <w:p>
                        <w:pPr>
                          <w:pStyle w:val="TableParagraph"/>
                          <w:spacing w:before="1"/>
                          <w:ind w:left="449" w:right="440"/>
                          <w:jc w:val="center"/>
                          <w:rPr>
                            <w:sz w:val="24"/>
                          </w:rPr>
                        </w:pPr>
                        <w:r>
                          <w:rPr>
                            <w:spacing w:val="-2"/>
                            <w:sz w:val="24"/>
                          </w:rPr>
                          <w:t>边长相对中误差</w:t>
                        </w:r>
                      </w:p>
                    </w:tc>
                  </w:tr>
                  <w:tr>
                    <w:tblPrEx>
                      <w:tblW w:w="0" w:type="auto"/>
                      <w:jc w:val="left"/>
                      <w:tblInd w:w="5" w:type="dxa"/>
                      <w:tblLayout w:type="fixed"/>
                      <w:tblCellMar>
                        <w:top w:w="0" w:type="dxa"/>
                        <w:left w:w="0" w:type="dxa"/>
                        <w:bottom w:w="0" w:type="dxa"/>
                        <w:right w:w="0" w:type="dxa"/>
                      </w:tblCellMar>
                      <w:tblLook w:val="01E0"/>
                    </w:tblPrEx>
                    <w:trPr>
                      <w:trHeight w:val="369"/>
                      <w:jc w:val="left"/>
                    </w:trPr>
                    <w:tc>
                      <w:tcPr>
                        <w:tcW w:w="1735" w:type="dxa"/>
                      </w:tcPr>
                      <w:p>
                        <w:pPr>
                          <w:pStyle w:val="TableParagraph"/>
                          <w:spacing w:before="32"/>
                          <w:ind w:left="627"/>
                          <w:rPr>
                            <w:sz w:val="24"/>
                          </w:rPr>
                        </w:pPr>
                        <w:r>
                          <w:rPr>
                            <w:spacing w:val="-5"/>
                            <w:sz w:val="24"/>
                          </w:rPr>
                          <w:t>一级</w:t>
                        </w:r>
                      </w:p>
                    </w:tc>
                    <w:tc>
                      <w:tcPr>
                        <w:tcW w:w="1735" w:type="dxa"/>
                      </w:tcPr>
                      <w:p>
                        <w:pPr>
                          <w:pStyle w:val="TableParagraph"/>
                          <w:spacing w:before="32"/>
                          <w:ind w:right="375"/>
                          <w:jc w:val="right"/>
                          <w:rPr>
                            <w:sz w:val="24"/>
                          </w:rPr>
                        </w:pPr>
                        <w:r>
                          <w:rPr>
                            <w:spacing w:val="-2"/>
                            <w:sz w:val="24"/>
                          </w:rPr>
                          <w:t>300～500</w:t>
                        </w:r>
                      </w:p>
                    </w:tc>
                    <w:tc>
                      <w:tcPr>
                        <w:tcW w:w="1735" w:type="dxa"/>
                        <w:vMerge w:val="restart"/>
                      </w:tcPr>
                      <w:p>
                        <w:pPr>
                          <w:pStyle w:val="TableParagraph"/>
                          <w:spacing w:before="1"/>
                          <w:rPr>
                            <w:sz w:val="25"/>
                          </w:rPr>
                        </w:pPr>
                      </w:p>
                      <w:p>
                        <w:pPr>
                          <w:pStyle w:val="TableParagraph"/>
                          <w:spacing w:before="1"/>
                          <w:ind w:left="282" w:right="272"/>
                          <w:jc w:val="center"/>
                          <w:rPr>
                            <w:sz w:val="24"/>
                          </w:rPr>
                        </w:pPr>
                        <w:r>
                          <w:rPr>
                            <w:spacing w:val="-5"/>
                            <w:sz w:val="24"/>
                          </w:rPr>
                          <w:t>≤5</w:t>
                        </w:r>
                      </w:p>
                    </w:tc>
                    <w:tc>
                      <w:tcPr>
                        <w:tcW w:w="1736" w:type="dxa"/>
                        <w:vMerge w:val="restart"/>
                      </w:tcPr>
                      <w:p>
                        <w:pPr>
                          <w:pStyle w:val="TableParagraph"/>
                          <w:spacing w:before="1"/>
                          <w:rPr>
                            <w:sz w:val="25"/>
                          </w:rPr>
                        </w:pPr>
                      </w:p>
                      <w:p>
                        <w:pPr>
                          <w:pStyle w:val="TableParagraph"/>
                          <w:spacing w:before="1"/>
                          <w:ind w:left="283" w:right="273"/>
                          <w:jc w:val="center"/>
                          <w:rPr>
                            <w:sz w:val="24"/>
                          </w:rPr>
                        </w:pPr>
                        <w:r>
                          <w:rPr>
                            <w:spacing w:val="-5"/>
                            <w:sz w:val="24"/>
                          </w:rPr>
                          <w:t>≤5</w:t>
                        </w:r>
                      </w:p>
                    </w:tc>
                    <w:tc>
                      <w:tcPr>
                        <w:tcW w:w="2606" w:type="dxa"/>
                      </w:tcPr>
                      <w:p>
                        <w:pPr>
                          <w:pStyle w:val="TableParagraph"/>
                          <w:spacing w:before="32"/>
                          <w:ind w:left="449" w:right="440"/>
                          <w:jc w:val="center"/>
                          <w:rPr>
                            <w:sz w:val="24"/>
                          </w:rPr>
                        </w:pPr>
                        <w:r>
                          <w:rPr>
                            <w:spacing w:val="-2"/>
                            <w:sz w:val="24"/>
                          </w:rPr>
                          <w:t>≤1/40000</w:t>
                        </w:r>
                      </w:p>
                    </w:tc>
                  </w:tr>
                  <w:tr>
                    <w:tblPrEx>
                      <w:tblW w:w="0" w:type="auto"/>
                      <w:jc w:val="left"/>
                      <w:tblInd w:w="5" w:type="dxa"/>
                      <w:tblLayout w:type="fixed"/>
                      <w:tblCellMar>
                        <w:top w:w="0" w:type="dxa"/>
                        <w:left w:w="0" w:type="dxa"/>
                        <w:bottom w:w="0" w:type="dxa"/>
                        <w:right w:w="0" w:type="dxa"/>
                      </w:tblCellMar>
                      <w:tblLook w:val="01E0"/>
                    </w:tblPrEx>
                    <w:trPr>
                      <w:trHeight w:val="569"/>
                      <w:jc w:val="left"/>
                    </w:trPr>
                    <w:tc>
                      <w:tcPr>
                        <w:tcW w:w="1735" w:type="dxa"/>
                      </w:tcPr>
                      <w:p>
                        <w:pPr>
                          <w:pStyle w:val="TableParagraph"/>
                          <w:spacing w:before="132"/>
                          <w:ind w:left="627"/>
                          <w:rPr>
                            <w:sz w:val="24"/>
                          </w:rPr>
                        </w:pPr>
                        <w:r>
                          <w:rPr>
                            <w:spacing w:val="-5"/>
                            <w:sz w:val="24"/>
                          </w:rPr>
                          <w:t>二级</w:t>
                        </w:r>
                      </w:p>
                    </w:tc>
                    <w:tc>
                      <w:tcPr>
                        <w:tcW w:w="1735" w:type="dxa"/>
                      </w:tcPr>
                      <w:p>
                        <w:pPr>
                          <w:pStyle w:val="TableParagraph"/>
                          <w:spacing w:before="132"/>
                          <w:ind w:right="375"/>
                          <w:jc w:val="right"/>
                          <w:rPr>
                            <w:sz w:val="24"/>
                          </w:rPr>
                        </w:pPr>
                        <w:r>
                          <w:rPr>
                            <w:spacing w:val="-2"/>
                            <w:sz w:val="24"/>
                          </w:rPr>
                          <w:t>100～300</w:t>
                        </w:r>
                      </w:p>
                    </w:tc>
                    <w:tc>
                      <w:tcPr>
                        <w:tcW w:w="1735" w:type="dxa"/>
                        <w:vMerge/>
                        <w:tcBorders>
                          <w:top w:val="nil"/>
                        </w:tcBorders>
                      </w:tcPr>
                      <w:p>
                        <w:pPr>
                          <w:rPr>
                            <w:sz w:val="2"/>
                            <w:szCs w:val="2"/>
                          </w:rPr>
                        </w:pPr>
                      </w:p>
                    </w:tc>
                    <w:tc>
                      <w:tcPr>
                        <w:tcW w:w="1736" w:type="dxa"/>
                        <w:vMerge/>
                        <w:tcBorders>
                          <w:top w:val="nil"/>
                        </w:tcBorders>
                      </w:tcPr>
                      <w:p>
                        <w:pPr>
                          <w:rPr>
                            <w:sz w:val="2"/>
                            <w:szCs w:val="2"/>
                          </w:rPr>
                        </w:pPr>
                      </w:p>
                    </w:tc>
                    <w:tc>
                      <w:tcPr>
                        <w:tcW w:w="2606" w:type="dxa"/>
                      </w:tcPr>
                      <w:p>
                        <w:pPr>
                          <w:pStyle w:val="TableParagraph"/>
                          <w:spacing w:before="132"/>
                          <w:ind w:left="449" w:right="440"/>
                          <w:jc w:val="center"/>
                          <w:rPr>
                            <w:sz w:val="24"/>
                          </w:rPr>
                        </w:pPr>
                        <w:r>
                          <w:rPr>
                            <w:spacing w:val="-2"/>
                            <w:sz w:val="24"/>
                          </w:rPr>
                          <w:t>≤1/20000</w:t>
                        </w:r>
                      </w:p>
                    </w:tc>
                  </w:tr>
                </w:tbl>
                <w:p>
                  <w:pPr>
                    <w:pStyle w:val="BodyText"/>
                  </w:pPr>
                </w:p>
              </w:txbxContent>
            </v:textbox>
          </v:shape>
        </w:pict>
      </w:r>
      <w:r>
        <w:rPr>
          <w:spacing w:val="-2"/>
          <w:sz w:val="28"/>
        </w:rPr>
        <w:t>1</w:t>
      </w:r>
      <w:r>
        <w:rPr>
          <w:spacing w:val="-13"/>
          <w:sz w:val="28"/>
        </w:rPr>
        <w:t xml:space="preserve">、当采用 </w:t>
      </w:r>
      <w:r>
        <w:rPr>
          <w:spacing w:val="-2"/>
          <w:sz w:val="28"/>
        </w:rPr>
        <w:t>GPS</w:t>
      </w:r>
      <w:r>
        <w:rPr>
          <w:spacing w:val="-10"/>
          <w:sz w:val="28"/>
        </w:rPr>
        <w:t xml:space="preserve"> 网作为场区控制网时其主要技术要求应符合下表的规定：</w:t>
      </w:r>
      <w:r>
        <w:rPr>
          <w:spacing w:val="-8"/>
          <w:sz w:val="28"/>
        </w:rPr>
        <w:t xml:space="preserve">场区 </w:t>
      </w:r>
      <w:r>
        <w:rPr>
          <w:sz w:val="28"/>
        </w:rPr>
        <w:t>GPS</w:t>
      </w:r>
      <w:r>
        <w:rPr>
          <w:spacing w:val="-5"/>
          <w:sz w:val="28"/>
        </w:rPr>
        <w:t xml:space="preserve"> 网测量的主要技术要求</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7"/>
        </w:rPr>
      </w:pPr>
    </w:p>
    <w:p>
      <w:pPr>
        <w:spacing w:before="0"/>
        <w:ind w:left="293" w:right="0" w:firstLine="0"/>
        <w:jc w:val="left"/>
        <w:rPr>
          <w:sz w:val="28"/>
        </w:rPr>
      </w:pPr>
      <w:r>
        <w:rPr>
          <w:sz w:val="28"/>
        </w:rPr>
        <w:t>2</w:t>
      </w:r>
      <w:r>
        <w:rPr>
          <w:spacing w:val="-1"/>
          <w:sz w:val="28"/>
        </w:rPr>
        <w:t>、导线测量的主要技术要求</w:t>
      </w:r>
    </w:p>
    <w:p>
      <w:pPr>
        <w:pStyle w:val="BodyText"/>
        <w:spacing w:before="2" w:after="1"/>
        <w:rPr>
          <w:sz w:val="10"/>
        </w:rPr>
      </w:pPr>
    </w:p>
    <w:tbl>
      <w:tblPr>
        <w:tblStyle w:val="TableNormal2"/>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4"/>
        <w:gridCol w:w="947"/>
        <w:gridCol w:w="947"/>
        <w:gridCol w:w="947"/>
        <w:gridCol w:w="947"/>
        <w:gridCol w:w="1190"/>
        <w:gridCol w:w="583"/>
        <w:gridCol w:w="583"/>
        <w:gridCol w:w="583"/>
        <w:gridCol w:w="947"/>
        <w:gridCol w:w="1069"/>
      </w:tblGrid>
      <w:tr>
        <w:tblPrEx>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69"/>
          <w:jc w:val="left"/>
        </w:trPr>
        <w:tc>
          <w:tcPr>
            <w:tcW w:w="534" w:type="dxa"/>
            <w:vMerge w:val="restart"/>
          </w:tcPr>
          <w:p>
            <w:pPr>
              <w:pStyle w:val="TableParagraph"/>
              <w:rPr>
                <w:sz w:val="24"/>
              </w:rPr>
            </w:pPr>
          </w:p>
          <w:p>
            <w:pPr>
              <w:pStyle w:val="TableParagraph"/>
              <w:spacing w:before="3"/>
              <w:rPr>
                <w:sz w:val="18"/>
              </w:rPr>
            </w:pPr>
          </w:p>
          <w:p>
            <w:pPr>
              <w:pStyle w:val="TableParagraph"/>
              <w:spacing w:before="1" w:line="256" w:lineRule="auto"/>
              <w:ind w:left="147" w:right="136"/>
              <w:rPr>
                <w:sz w:val="24"/>
              </w:rPr>
            </w:pPr>
            <w:r>
              <w:rPr>
                <w:spacing w:val="-10"/>
                <w:sz w:val="24"/>
              </w:rPr>
              <w:t>等</w:t>
            </w:r>
            <w:r>
              <w:rPr>
                <w:spacing w:val="-10"/>
                <w:sz w:val="24"/>
              </w:rPr>
              <w:t>级</w:t>
            </w:r>
          </w:p>
        </w:tc>
        <w:tc>
          <w:tcPr>
            <w:tcW w:w="947" w:type="dxa"/>
            <w:vMerge w:val="restart"/>
          </w:tcPr>
          <w:p>
            <w:pPr>
              <w:pStyle w:val="TableParagraph"/>
              <w:rPr>
                <w:sz w:val="24"/>
              </w:rPr>
            </w:pPr>
          </w:p>
          <w:p>
            <w:pPr>
              <w:pStyle w:val="TableParagraph"/>
              <w:spacing w:before="3"/>
              <w:rPr>
                <w:sz w:val="18"/>
              </w:rPr>
            </w:pPr>
          </w:p>
          <w:p>
            <w:pPr>
              <w:pStyle w:val="TableParagraph"/>
              <w:spacing w:before="1" w:line="256" w:lineRule="auto"/>
              <w:ind w:left="108" w:right="-29" w:firstLine="5"/>
              <w:rPr>
                <w:sz w:val="24"/>
              </w:rPr>
            </w:pPr>
            <w:r>
              <w:rPr>
                <w:spacing w:val="-4"/>
                <w:sz w:val="24"/>
              </w:rPr>
              <w:t>导线长</w:t>
            </w:r>
            <w:r>
              <w:rPr>
                <w:spacing w:val="-4"/>
                <w:sz w:val="24"/>
              </w:rPr>
              <w:t xml:space="preserve"> </w:t>
            </w:r>
            <w:r>
              <w:rPr>
                <w:spacing w:val="-109"/>
                <w:sz w:val="24"/>
              </w:rPr>
              <w:t>度</w:t>
            </w:r>
            <w:r>
              <w:rPr>
                <w:spacing w:val="-4"/>
                <w:sz w:val="24"/>
              </w:rPr>
              <w:t>（km）</w:t>
            </w:r>
          </w:p>
        </w:tc>
        <w:tc>
          <w:tcPr>
            <w:tcW w:w="947" w:type="dxa"/>
            <w:vMerge w:val="restart"/>
          </w:tcPr>
          <w:p>
            <w:pPr>
              <w:pStyle w:val="TableParagraph"/>
              <w:rPr>
                <w:sz w:val="24"/>
              </w:rPr>
            </w:pPr>
          </w:p>
          <w:p>
            <w:pPr>
              <w:pStyle w:val="TableParagraph"/>
              <w:spacing w:before="3"/>
              <w:rPr>
                <w:sz w:val="18"/>
              </w:rPr>
            </w:pPr>
          </w:p>
          <w:p>
            <w:pPr>
              <w:pStyle w:val="TableParagraph"/>
              <w:spacing w:before="1" w:line="256" w:lineRule="auto"/>
              <w:ind w:left="108" w:right="-29" w:firstLine="5"/>
              <w:rPr>
                <w:sz w:val="24"/>
              </w:rPr>
            </w:pPr>
            <w:r>
              <w:rPr>
                <w:spacing w:val="-4"/>
                <w:sz w:val="24"/>
              </w:rPr>
              <w:t>平均边</w:t>
            </w:r>
            <w:r>
              <w:rPr>
                <w:spacing w:val="-4"/>
                <w:sz w:val="24"/>
              </w:rPr>
              <w:t xml:space="preserve"> </w:t>
            </w:r>
            <w:r>
              <w:rPr>
                <w:spacing w:val="-109"/>
                <w:sz w:val="24"/>
              </w:rPr>
              <w:t>长</w:t>
            </w:r>
            <w:r>
              <w:rPr>
                <w:spacing w:val="-4"/>
                <w:sz w:val="24"/>
              </w:rPr>
              <w:t>（km）</w:t>
            </w:r>
          </w:p>
        </w:tc>
        <w:tc>
          <w:tcPr>
            <w:tcW w:w="947" w:type="dxa"/>
            <w:vMerge w:val="restart"/>
          </w:tcPr>
          <w:p>
            <w:pPr>
              <w:pStyle w:val="TableParagraph"/>
              <w:spacing w:before="5"/>
              <w:rPr>
                <w:sz w:val="29"/>
              </w:rPr>
            </w:pPr>
          </w:p>
          <w:p>
            <w:pPr>
              <w:pStyle w:val="TableParagraph"/>
              <w:spacing w:line="256" w:lineRule="auto"/>
              <w:ind w:left="233" w:right="101" w:hanging="120"/>
              <w:rPr>
                <w:sz w:val="24"/>
              </w:rPr>
            </w:pPr>
            <w:r>
              <w:rPr>
                <w:spacing w:val="-4"/>
                <w:sz w:val="24"/>
              </w:rPr>
              <w:t>测角中</w:t>
            </w:r>
            <w:r>
              <w:rPr>
                <w:spacing w:val="-6"/>
                <w:sz w:val="24"/>
              </w:rPr>
              <w:t>误差</w:t>
            </w:r>
          </w:p>
          <w:p>
            <w:pPr>
              <w:pStyle w:val="TableParagraph"/>
              <w:spacing w:before="2"/>
              <w:ind w:left="113"/>
              <w:rPr>
                <w:sz w:val="24"/>
              </w:rPr>
            </w:pPr>
            <w:r>
              <w:rPr>
                <w:spacing w:val="-4"/>
                <w:sz w:val="24"/>
              </w:rPr>
              <w:t>（km）</w:t>
            </w:r>
          </w:p>
        </w:tc>
        <w:tc>
          <w:tcPr>
            <w:tcW w:w="947" w:type="dxa"/>
            <w:vMerge w:val="restart"/>
          </w:tcPr>
          <w:p>
            <w:pPr>
              <w:pStyle w:val="TableParagraph"/>
              <w:spacing w:before="5"/>
              <w:rPr>
                <w:sz w:val="29"/>
              </w:rPr>
            </w:pPr>
          </w:p>
          <w:p>
            <w:pPr>
              <w:pStyle w:val="TableParagraph"/>
              <w:spacing w:line="256" w:lineRule="auto"/>
              <w:ind w:left="233" w:right="101" w:hanging="120"/>
              <w:rPr>
                <w:sz w:val="24"/>
              </w:rPr>
            </w:pPr>
            <w:r>
              <w:rPr>
                <w:spacing w:val="-4"/>
                <w:sz w:val="24"/>
              </w:rPr>
              <w:t>测距中</w:t>
            </w:r>
            <w:r>
              <w:rPr>
                <w:spacing w:val="-6"/>
                <w:sz w:val="24"/>
              </w:rPr>
              <w:t>误差</w:t>
            </w:r>
          </w:p>
          <w:p>
            <w:pPr>
              <w:pStyle w:val="TableParagraph"/>
              <w:spacing w:before="2"/>
              <w:ind w:left="113"/>
              <w:rPr>
                <w:sz w:val="24"/>
              </w:rPr>
            </w:pPr>
            <w:r>
              <w:rPr>
                <w:spacing w:val="-4"/>
                <w:sz w:val="24"/>
              </w:rPr>
              <w:t>（km）</w:t>
            </w:r>
          </w:p>
        </w:tc>
        <w:tc>
          <w:tcPr>
            <w:tcW w:w="1190" w:type="dxa"/>
            <w:vMerge w:val="restart"/>
          </w:tcPr>
          <w:p>
            <w:pPr>
              <w:pStyle w:val="TableParagraph"/>
              <w:rPr>
                <w:sz w:val="24"/>
              </w:rPr>
            </w:pPr>
          </w:p>
          <w:p>
            <w:pPr>
              <w:pStyle w:val="TableParagraph"/>
              <w:spacing w:before="3"/>
              <w:rPr>
                <w:sz w:val="18"/>
              </w:rPr>
            </w:pPr>
          </w:p>
          <w:p>
            <w:pPr>
              <w:pStyle w:val="TableParagraph"/>
              <w:spacing w:before="1" w:line="256" w:lineRule="auto"/>
              <w:ind w:left="235" w:right="104" w:hanging="120"/>
              <w:rPr>
                <w:sz w:val="24"/>
              </w:rPr>
            </w:pPr>
            <w:r>
              <w:rPr>
                <w:spacing w:val="-4"/>
                <w:sz w:val="24"/>
              </w:rPr>
              <w:t>测距相对</w:t>
            </w:r>
            <w:r>
              <w:rPr>
                <w:spacing w:val="-4"/>
                <w:sz w:val="24"/>
              </w:rPr>
              <w:t>中误差</w:t>
            </w:r>
          </w:p>
        </w:tc>
        <w:tc>
          <w:tcPr>
            <w:tcW w:w="1749" w:type="dxa"/>
            <w:gridSpan w:val="3"/>
          </w:tcPr>
          <w:p>
            <w:pPr>
              <w:pStyle w:val="TableParagraph"/>
              <w:spacing w:before="42" w:line="307" w:lineRule="exact"/>
              <w:ind w:left="514"/>
              <w:rPr>
                <w:sz w:val="24"/>
              </w:rPr>
            </w:pPr>
            <w:r>
              <w:rPr>
                <w:spacing w:val="-4"/>
                <w:sz w:val="24"/>
              </w:rPr>
              <w:t>测回数</w:t>
            </w:r>
          </w:p>
        </w:tc>
        <w:tc>
          <w:tcPr>
            <w:tcW w:w="947" w:type="dxa"/>
            <w:vMerge w:val="restart"/>
          </w:tcPr>
          <w:p>
            <w:pPr>
              <w:pStyle w:val="TableParagraph"/>
              <w:spacing w:before="5"/>
              <w:rPr>
                <w:sz w:val="29"/>
              </w:rPr>
            </w:pPr>
          </w:p>
          <w:p>
            <w:pPr>
              <w:pStyle w:val="TableParagraph"/>
              <w:spacing w:line="256" w:lineRule="auto"/>
              <w:ind w:left="113" w:right="101"/>
              <w:rPr>
                <w:sz w:val="24"/>
              </w:rPr>
            </w:pPr>
            <w:r>
              <w:rPr>
                <w:spacing w:val="-4"/>
                <w:sz w:val="24"/>
              </w:rPr>
              <w:t>方位角</w:t>
            </w:r>
            <w:r>
              <w:rPr>
                <w:spacing w:val="-4"/>
                <w:sz w:val="24"/>
              </w:rPr>
              <w:t>闭合差</w:t>
            </w:r>
          </w:p>
          <w:p>
            <w:pPr>
              <w:pStyle w:val="TableParagraph"/>
              <w:spacing w:before="2"/>
              <w:ind w:left="113"/>
              <w:rPr>
                <w:sz w:val="24"/>
              </w:rPr>
            </w:pPr>
            <w:r>
              <w:rPr>
                <w:sz w:val="24"/>
              </w:rPr>
              <w:t>（〞</w:t>
            </w:r>
            <w:r>
              <w:rPr>
                <w:spacing w:val="-10"/>
                <w:sz w:val="24"/>
              </w:rPr>
              <w:t>）</w:t>
            </w:r>
          </w:p>
        </w:tc>
        <w:tc>
          <w:tcPr>
            <w:tcW w:w="1069" w:type="dxa"/>
            <w:vMerge w:val="restart"/>
          </w:tcPr>
          <w:p>
            <w:pPr>
              <w:pStyle w:val="TableParagraph"/>
              <w:rPr>
                <w:sz w:val="24"/>
              </w:rPr>
            </w:pPr>
          </w:p>
          <w:p>
            <w:pPr>
              <w:pStyle w:val="TableParagraph"/>
              <w:spacing w:before="3"/>
              <w:rPr>
                <w:sz w:val="18"/>
              </w:rPr>
            </w:pPr>
          </w:p>
          <w:p>
            <w:pPr>
              <w:pStyle w:val="TableParagraph"/>
              <w:spacing w:before="1" w:line="256" w:lineRule="auto"/>
              <w:ind w:left="294" w:right="162" w:hanging="120"/>
              <w:rPr>
                <w:sz w:val="24"/>
              </w:rPr>
            </w:pPr>
            <w:r>
              <w:rPr>
                <w:spacing w:val="-4"/>
                <w:sz w:val="24"/>
              </w:rPr>
              <w:t>相对闭</w:t>
            </w:r>
            <w:r>
              <w:rPr>
                <w:spacing w:val="-6"/>
                <w:sz w:val="24"/>
              </w:rPr>
              <w:t>合差</w:t>
            </w:r>
          </w:p>
        </w:tc>
      </w:tr>
      <w:tr>
        <w:tblPrEx>
          <w:tblW w:w="0" w:type="auto"/>
          <w:jc w:val="left"/>
          <w:tblInd w:w="190" w:type="dxa"/>
          <w:tblLayout w:type="fixed"/>
          <w:tblCellMar>
            <w:top w:w="0" w:type="dxa"/>
            <w:left w:w="0" w:type="dxa"/>
            <w:bottom w:w="0" w:type="dxa"/>
            <w:right w:w="0" w:type="dxa"/>
          </w:tblCellMar>
          <w:tblLook w:val="01E0"/>
        </w:tblPrEx>
        <w:trPr>
          <w:trHeight w:val="1319"/>
          <w:jc w:val="left"/>
        </w:trPr>
        <w:tc>
          <w:tcPr>
            <w:tcW w:w="534" w:type="dxa"/>
            <w:vMerge/>
            <w:tcBorders>
              <w:top w:val="nil"/>
            </w:tcBorders>
          </w:tcPr>
          <w:p>
            <w:pPr>
              <w:rPr>
                <w:sz w:val="2"/>
                <w:szCs w:val="2"/>
              </w:rPr>
            </w:pPr>
          </w:p>
        </w:tc>
        <w:tc>
          <w:tcPr>
            <w:tcW w:w="947" w:type="dxa"/>
            <w:vMerge/>
            <w:tcBorders>
              <w:top w:val="nil"/>
            </w:tcBorders>
          </w:tcPr>
          <w:p>
            <w:pPr>
              <w:rPr>
                <w:sz w:val="2"/>
                <w:szCs w:val="2"/>
              </w:rPr>
            </w:pPr>
          </w:p>
        </w:tc>
        <w:tc>
          <w:tcPr>
            <w:tcW w:w="947" w:type="dxa"/>
            <w:vMerge/>
            <w:tcBorders>
              <w:top w:val="nil"/>
            </w:tcBorders>
          </w:tcPr>
          <w:p>
            <w:pPr>
              <w:rPr>
                <w:sz w:val="2"/>
                <w:szCs w:val="2"/>
              </w:rPr>
            </w:pPr>
          </w:p>
        </w:tc>
        <w:tc>
          <w:tcPr>
            <w:tcW w:w="947" w:type="dxa"/>
            <w:vMerge/>
            <w:tcBorders>
              <w:top w:val="nil"/>
            </w:tcBorders>
          </w:tcPr>
          <w:p>
            <w:pPr>
              <w:rPr>
                <w:sz w:val="2"/>
                <w:szCs w:val="2"/>
              </w:rPr>
            </w:pPr>
          </w:p>
        </w:tc>
        <w:tc>
          <w:tcPr>
            <w:tcW w:w="947" w:type="dxa"/>
            <w:vMerge/>
            <w:tcBorders>
              <w:top w:val="nil"/>
            </w:tcBorders>
          </w:tcPr>
          <w:p>
            <w:pPr>
              <w:rPr>
                <w:sz w:val="2"/>
                <w:szCs w:val="2"/>
              </w:rPr>
            </w:pPr>
          </w:p>
        </w:tc>
        <w:tc>
          <w:tcPr>
            <w:tcW w:w="1190" w:type="dxa"/>
            <w:vMerge/>
            <w:tcBorders>
              <w:top w:val="nil"/>
            </w:tcBorders>
          </w:tcPr>
          <w:p>
            <w:pPr>
              <w:rPr>
                <w:sz w:val="2"/>
                <w:szCs w:val="2"/>
              </w:rPr>
            </w:pPr>
          </w:p>
        </w:tc>
        <w:tc>
          <w:tcPr>
            <w:tcW w:w="583" w:type="dxa"/>
          </w:tcPr>
          <w:p>
            <w:pPr>
              <w:pStyle w:val="TableParagraph"/>
              <w:spacing w:line="330" w:lineRule="atLeast"/>
              <w:ind w:left="171" w:right="99" w:hanging="60"/>
              <w:jc w:val="both"/>
              <w:rPr>
                <w:sz w:val="24"/>
              </w:rPr>
            </w:pPr>
            <w:r>
              <w:rPr>
                <w:spacing w:val="-6"/>
                <w:sz w:val="24"/>
              </w:rPr>
              <w:t>1</w:t>
            </w:r>
            <w:r>
              <w:rPr>
                <w:spacing w:val="-6"/>
                <w:sz w:val="24"/>
              </w:rPr>
              <w:t>〞</w:t>
            </w:r>
            <w:r>
              <w:rPr>
                <w:spacing w:val="-10"/>
                <w:sz w:val="24"/>
              </w:rPr>
              <w:t>级</w:t>
            </w:r>
            <w:r>
              <w:rPr>
                <w:spacing w:val="-10"/>
                <w:sz w:val="24"/>
              </w:rPr>
              <w:t>仪</w:t>
            </w:r>
            <w:r>
              <w:rPr>
                <w:spacing w:val="-10"/>
                <w:sz w:val="24"/>
              </w:rPr>
              <w:t>器</w:t>
            </w:r>
          </w:p>
        </w:tc>
        <w:tc>
          <w:tcPr>
            <w:tcW w:w="583" w:type="dxa"/>
          </w:tcPr>
          <w:p>
            <w:pPr>
              <w:pStyle w:val="TableParagraph"/>
              <w:spacing w:line="330" w:lineRule="atLeast"/>
              <w:ind w:left="171" w:right="99" w:hanging="60"/>
              <w:jc w:val="both"/>
              <w:rPr>
                <w:sz w:val="24"/>
              </w:rPr>
            </w:pPr>
            <w:r>
              <w:rPr>
                <w:spacing w:val="-6"/>
                <w:sz w:val="24"/>
              </w:rPr>
              <w:t>2</w:t>
            </w:r>
            <w:r>
              <w:rPr>
                <w:spacing w:val="-6"/>
                <w:sz w:val="24"/>
              </w:rPr>
              <w:t>〞</w:t>
            </w:r>
            <w:r>
              <w:rPr>
                <w:spacing w:val="-10"/>
                <w:sz w:val="24"/>
              </w:rPr>
              <w:t>级</w:t>
            </w:r>
            <w:r>
              <w:rPr>
                <w:spacing w:val="-10"/>
                <w:sz w:val="24"/>
              </w:rPr>
              <w:t>仪</w:t>
            </w:r>
            <w:r>
              <w:rPr>
                <w:spacing w:val="-10"/>
                <w:sz w:val="24"/>
              </w:rPr>
              <w:t>器</w:t>
            </w:r>
          </w:p>
        </w:tc>
        <w:tc>
          <w:tcPr>
            <w:tcW w:w="583" w:type="dxa"/>
          </w:tcPr>
          <w:p>
            <w:pPr>
              <w:pStyle w:val="TableParagraph"/>
              <w:spacing w:line="330" w:lineRule="atLeast"/>
              <w:ind w:left="171" w:right="99" w:hanging="60"/>
              <w:jc w:val="both"/>
              <w:rPr>
                <w:sz w:val="24"/>
              </w:rPr>
            </w:pPr>
            <w:r>
              <w:rPr>
                <w:spacing w:val="-6"/>
                <w:sz w:val="24"/>
              </w:rPr>
              <w:t>3</w:t>
            </w:r>
            <w:r>
              <w:rPr>
                <w:spacing w:val="-6"/>
                <w:sz w:val="24"/>
              </w:rPr>
              <w:t>〞</w:t>
            </w:r>
            <w:r>
              <w:rPr>
                <w:spacing w:val="-10"/>
                <w:sz w:val="24"/>
              </w:rPr>
              <w:t>级</w:t>
            </w:r>
            <w:r>
              <w:rPr>
                <w:spacing w:val="-10"/>
                <w:sz w:val="24"/>
              </w:rPr>
              <w:t>仪</w:t>
            </w:r>
            <w:r>
              <w:rPr>
                <w:spacing w:val="-10"/>
                <w:sz w:val="24"/>
              </w:rPr>
              <w:t>器</w:t>
            </w:r>
          </w:p>
        </w:tc>
        <w:tc>
          <w:tcPr>
            <w:tcW w:w="947" w:type="dxa"/>
            <w:vMerge/>
            <w:tcBorders>
              <w:top w:val="nil"/>
            </w:tcBorders>
          </w:tcPr>
          <w:p>
            <w:pPr>
              <w:rPr>
                <w:sz w:val="2"/>
                <w:szCs w:val="2"/>
              </w:rPr>
            </w:pPr>
          </w:p>
        </w:tc>
        <w:tc>
          <w:tcPr>
            <w:tcW w:w="1069" w:type="dxa"/>
            <w:vMerge/>
            <w:tcBorders>
              <w:top w:val="nil"/>
            </w:tcBorders>
          </w:tcPr>
          <w:p>
            <w:pPr>
              <w:rPr>
                <w:sz w:val="2"/>
                <w:szCs w:val="2"/>
              </w:rPr>
            </w:pPr>
          </w:p>
        </w:tc>
      </w:tr>
      <w:tr>
        <w:tblPrEx>
          <w:tblW w:w="0" w:type="auto"/>
          <w:jc w:val="left"/>
          <w:tblInd w:w="190" w:type="dxa"/>
          <w:tblLayout w:type="fixed"/>
          <w:tblCellMar>
            <w:top w:w="0" w:type="dxa"/>
            <w:left w:w="0" w:type="dxa"/>
            <w:bottom w:w="0" w:type="dxa"/>
            <w:right w:w="0" w:type="dxa"/>
          </w:tblCellMar>
          <w:tblLook w:val="01E0"/>
        </w:tblPrEx>
        <w:trPr>
          <w:trHeight w:val="760"/>
          <w:jc w:val="left"/>
        </w:trPr>
        <w:tc>
          <w:tcPr>
            <w:tcW w:w="534" w:type="dxa"/>
          </w:tcPr>
          <w:p>
            <w:pPr>
              <w:pStyle w:val="TableParagraph"/>
              <w:spacing w:before="72" w:line="256" w:lineRule="auto"/>
              <w:ind w:left="147" w:right="136"/>
              <w:rPr>
                <w:sz w:val="24"/>
              </w:rPr>
            </w:pPr>
            <w:r>
              <w:rPr>
                <w:spacing w:val="-10"/>
                <w:sz w:val="24"/>
              </w:rPr>
              <w:t>三</w:t>
            </w:r>
            <w:r>
              <w:rPr>
                <w:spacing w:val="-10"/>
                <w:sz w:val="24"/>
              </w:rPr>
              <w:t>等</w:t>
            </w:r>
          </w:p>
        </w:tc>
        <w:tc>
          <w:tcPr>
            <w:tcW w:w="947" w:type="dxa"/>
          </w:tcPr>
          <w:p>
            <w:pPr>
              <w:pStyle w:val="TableParagraph"/>
              <w:spacing w:before="6"/>
              <w:rPr>
                <w:sz w:val="18"/>
              </w:rPr>
            </w:pPr>
          </w:p>
          <w:p>
            <w:pPr>
              <w:pStyle w:val="TableParagraph"/>
              <w:spacing w:before="1"/>
              <w:ind w:right="341"/>
              <w:jc w:val="right"/>
              <w:rPr>
                <w:sz w:val="24"/>
              </w:rPr>
            </w:pPr>
            <w:r>
              <w:rPr>
                <w:spacing w:val="-5"/>
                <w:sz w:val="24"/>
              </w:rPr>
              <w:t>14</w:t>
            </w:r>
          </w:p>
        </w:tc>
        <w:tc>
          <w:tcPr>
            <w:tcW w:w="947" w:type="dxa"/>
          </w:tcPr>
          <w:p>
            <w:pPr>
              <w:pStyle w:val="TableParagraph"/>
              <w:spacing w:before="6"/>
              <w:rPr>
                <w:sz w:val="18"/>
              </w:rPr>
            </w:pPr>
          </w:p>
          <w:p>
            <w:pPr>
              <w:pStyle w:val="TableParagraph"/>
              <w:spacing w:before="1"/>
              <w:ind w:left="10"/>
              <w:jc w:val="center"/>
              <w:rPr>
                <w:sz w:val="24"/>
              </w:rPr>
            </w:pPr>
            <w:r>
              <w:rPr>
                <w:sz w:val="24"/>
              </w:rPr>
              <w:t>3</w:t>
            </w:r>
          </w:p>
        </w:tc>
        <w:tc>
          <w:tcPr>
            <w:tcW w:w="947" w:type="dxa"/>
          </w:tcPr>
          <w:p>
            <w:pPr>
              <w:pStyle w:val="TableParagraph"/>
              <w:spacing w:before="6"/>
              <w:rPr>
                <w:sz w:val="18"/>
              </w:rPr>
            </w:pPr>
          </w:p>
          <w:p>
            <w:pPr>
              <w:pStyle w:val="TableParagraph"/>
              <w:spacing w:before="1"/>
              <w:ind w:left="293"/>
              <w:rPr>
                <w:sz w:val="24"/>
              </w:rPr>
            </w:pPr>
            <w:r>
              <w:rPr>
                <w:spacing w:val="-5"/>
                <w:sz w:val="24"/>
              </w:rPr>
              <w:t>1.8</w:t>
            </w:r>
          </w:p>
        </w:tc>
        <w:tc>
          <w:tcPr>
            <w:tcW w:w="947" w:type="dxa"/>
          </w:tcPr>
          <w:p>
            <w:pPr>
              <w:pStyle w:val="TableParagraph"/>
              <w:spacing w:before="6"/>
              <w:rPr>
                <w:sz w:val="18"/>
              </w:rPr>
            </w:pPr>
          </w:p>
          <w:p>
            <w:pPr>
              <w:pStyle w:val="TableParagraph"/>
              <w:spacing w:before="1"/>
              <w:ind w:right="341"/>
              <w:jc w:val="right"/>
              <w:rPr>
                <w:sz w:val="24"/>
              </w:rPr>
            </w:pPr>
            <w:r>
              <w:rPr>
                <w:spacing w:val="-5"/>
                <w:sz w:val="24"/>
              </w:rPr>
              <w:t>20</w:t>
            </w:r>
          </w:p>
        </w:tc>
        <w:tc>
          <w:tcPr>
            <w:tcW w:w="1190" w:type="dxa"/>
          </w:tcPr>
          <w:p>
            <w:pPr>
              <w:pStyle w:val="TableParagraph"/>
              <w:spacing w:before="72"/>
              <w:ind w:left="10"/>
              <w:jc w:val="center"/>
              <w:rPr>
                <w:sz w:val="24"/>
              </w:rPr>
            </w:pPr>
            <w:r>
              <w:rPr>
                <w:sz w:val="24"/>
              </w:rPr>
              <w:t>≤</w:t>
            </w:r>
          </w:p>
          <w:p>
            <w:pPr>
              <w:pStyle w:val="TableParagraph"/>
              <w:spacing w:before="23"/>
              <w:ind w:left="103" w:right="93"/>
              <w:jc w:val="center"/>
              <w:rPr>
                <w:sz w:val="24"/>
              </w:rPr>
            </w:pPr>
            <w:r>
              <w:rPr>
                <w:spacing w:val="-2"/>
                <w:sz w:val="24"/>
              </w:rPr>
              <w:t>1/150000</w:t>
            </w:r>
          </w:p>
        </w:tc>
        <w:tc>
          <w:tcPr>
            <w:tcW w:w="583" w:type="dxa"/>
          </w:tcPr>
          <w:p>
            <w:pPr>
              <w:pStyle w:val="TableParagraph"/>
              <w:spacing w:before="6"/>
              <w:rPr>
                <w:sz w:val="18"/>
              </w:rPr>
            </w:pPr>
          </w:p>
          <w:p>
            <w:pPr>
              <w:pStyle w:val="TableParagraph"/>
              <w:spacing w:before="1"/>
              <w:ind w:left="10"/>
              <w:jc w:val="center"/>
              <w:rPr>
                <w:sz w:val="24"/>
              </w:rPr>
            </w:pPr>
            <w:r>
              <w:rPr>
                <w:sz w:val="24"/>
              </w:rPr>
              <w:t>6</w:t>
            </w:r>
          </w:p>
        </w:tc>
        <w:tc>
          <w:tcPr>
            <w:tcW w:w="583" w:type="dxa"/>
          </w:tcPr>
          <w:p>
            <w:pPr>
              <w:pStyle w:val="TableParagraph"/>
              <w:spacing w:before="6"/>
              <w:rPr>
                <w:sz w:val="18"/>
              </w:rPr>
            </w:pPr>
          </w:p>
          <w:p>
            <w:pPr>
              <w:pStyle w:val="TableParagraph"/>
              <w:spacing w:before="1"/>
              <w:ind w:right="159"/>
              <w:jc w:val="right"/>
              <w:rPr>
                <w:sz w:val="24"/>
              </w:rPr>
            </w:pPr>
            <w:r>
              <w:rPr>
                <w:spacing w:val="-5"/>
                <w:sz w:val="24"/>
              </w:rPr>
              <w:t>10</w:t>
            </w:r>
          </w:p>
        </w:tc>
        <w:tc>
          <w:tcPr>
            <w:tcW w:w="583" w:type="dxa"/>
          </w:tcPr>
          <w:p>
            <w:pPr>
              <w:pStyle w:val="TableParagraph"/>
              <w:spacing w:before="6"/>
              <w:rPr>
                <w:sz w:val="18"/>
              </w:rPr>
            </w:pPr>
          </w:p>
          <w:p>
            <w:pPr>
              <w:pStyle w:val="TableParagraph"/>
              <w:spacing w:before="1"/>
              <w:ind w:left="9"/>
              <w:jc w:val="center"/>
              <w:rPr>
                <w:sz w:val="24"/>
              </w:rPr>
            </w:pPr>
            <w:r>
              <w:rPr>
                <w:sz w:val="24"/>
              </w:rPr>
              <w:t>—</w:t>
            </w:r>
          </w:p>
        </w:tc>
        <w:tc>
          <w:tcPr>
            <w:tcW w:w="947" w:type="dxa"/>
          </w:tcPr>
          <w:p>
            <w:pPr>
              <w:pStyle w:val="TableParagraph"/>
              <w:spacing w:before="6"/>
              <w:rPr>
                <w:sz w:val="18"/>
              </w:rPr>
            </w:pPr>
          </w:p>
          <w:p>
            <w:pPr>
              <w:pStyle w:val="TableParagraph"/>
              <w:spacing w:before="1"/>
              <w:ind w:right="101"/>
              <w:jc w:val="right"/>
              <w:rPr>
                <w:sz w:val="24"/>
              </w:rPr>
            </w:pPr>
            <w:r>
              <w:rPr>
                <w:spacing w:val="-2"/>
                <w:sz w:val="24"/>
              </w:rPr>
              <w:t>3.6√n</w:t>
            </w:r>
          </w:p>
        </w:tc>
        <w:tc>
          <w:tcPr>
            <w:tcW w:w="1069" w:type="dxa"/>
          </w:tcPr>
          <w:p>
            <w:pPr>
              <w:pStyle w:val="TableParagraph"/>
              <w:spacing w:before="72"/>
              <w:ind w:left="9"/>
              <w:jc w:val="center"/>
              <w:rPr>
                <w:sz w:val="24"/>
              </w:rPr>
            </w:pPr>
            <w:r>
              <w:rPr>
                <w:sz w:val="24"/>
              </w:rPr>
              <w:t>≤</w:t>
            </w:r>
          </w:p>
          <w:p>
            <w:pPr>
              <w:pStyle w:val="TableParagraph"/>
              <w:spacing w:before="23"/>
              <w:ind w:left="101" w:right="92"/>
              <w:jc w:val="center"/>
              <w:rPr>
                <w:sz w:val="24"/>
              </w:rPr>
            </w:pPr>
            <w:r>
              <w:rPr>
                <w:spacing w:val="-2"/>
                <w:sz w:val="24"/>
              </w:rPr>
              <w:t>1/55000</w:t>
            </w:r>
          </w:p>
        </w:tc>
      </w:tr>
      <w:tr>
        <w:tblPrEx>
          <w:tblW w:w="0" w:type="auto"/>
          <w:jc w:val="left"/>
          <w:tblInd w:w="190" w:type="dxa"/>
          <w:tblLayout w:type="fixed"/>
          <w:tblCellMar>
            <w:top w:w="0" w:type="dxa"/>
            <w:left w:w="0" w:type="dxa"/>
            <w:bottom w:w="0" w:type="dxa"/>
            <w:right w:w="0" w:type="dxa"/>
          </w:tblCellMar>
          <w:tblLook w:val="01E0"/>
        </w:tblPrEx>
        <w:trPr>
          <w:trHeight w:val="760"/>
          <w:jc w:val="left"/>
        </w:trPr>
        <w:tc>
          <w:tcPr>
            <w:tcW w:w="534" w:type="dxa"/>
          </w:tcPr>
          <w:p>
            <w:pPr>
              <w:pStyle w:val="TableParagraph"/>
              <w:spacing w:before="72" w:line="256" w:lineRule="auto"/>
              <w:ind w:left="147" w:right="136"/>
              <w:rPr>
                <w:sz w:val="24"/>
              </w:rPr>
            </w:pPr>
            <w:r>
              <w:rPr>
                <w:spacing w:val="-10"/>
                <w:sz w:val="24"/>
              </w:rPr>
              <w:t>四</w:t>
            </w:r>
            <w:r>
              <w:rPr>
                <w:spacing w:val="-10"/>
                <w:sz w:val="24"/>
              </w:rPr>
              <w:t>等</w:t>
            </w:r>
          </w:p>
        </w:tc>
        <w:tc>
          <w:tcPr>
            <w:tcW w:w="947" w:type="dxa"/>
          </w:tcPr>
          <w:p>
            <w:pPr>
              <w:pStyle w:val="TableParagraph"/>
              <w:spacing w:before="6"/>
              <w:rPr>
                <w:sz w:val="18"/>
              </w:rPr>
            </w:pPr>
          </w:p>
          <w:p>
            <w:pPr>
              <w:pStyle w:val="TableParagraph"/>
              <w:spacing w:before="1"/>
              <w:ind w:left="10"/>
              <w:jc w:val="center"/>
              <w:rPr>
                <w:sz w:val="24"/>
              </w:rPr>
            </w:pPr>
            <w:r>
              <w:rPr>
                <w:sz w:val="24"/>
              </w:rPr>
              <w:t>9</w:t>
            </w:r>
          </w:p>
        </w:tc>
        <w:tc>
          <w:tcPr>
            <w:tcW w:w="947" w:type="dxa"/>
          </w:tcPr>
          <w:p>
            <w:pPr>
              <w:pStyle w:val="TableParagraph"/>
              <w:spacing w:before="6"/>
              <w:rPr>
                <w:sz w:val="18"/>
              </w:rPr>
            </w:pPr>
          </w:p>
          <w:p>
            <w:pPr>
              <w:pStyle w:val="TableParagraph"/>
              <w:spacing w:before="1"/>
              <w:ind w:left="293"/>
              <w:rPr>
                <w:sz w:val="24"/>
              </w:rPr>
            </w:pPr>
            <w:r>
              <w:rPr>
                <w:spacing w:val="-5"/>
                <w:sz w:val="24"/>
              </w:rPr>
              <w:t>1.5</w:t>
            </w:r>
          </w:p>
        </w:tc>
        <w:tc>
          <w:tcPr>
            <w:tcW w:w="947" w:type="dxa"/>
          </w:tcPr>
          <w:p>
            <w:pPr>
              <w:pStyle w:val="TableParagraph"/>
              <w:spacing w:before="6"/>
              <w:rPr>
                <w:sz w:val="18"/>
              </w:rPr>
            </w:pPr>
          </w:p>
          <w:p>
            <w:pPr>
              <w:pStyle w:val="TableParagraph"/>
              <w:spacing w:before="1"/>
              <w:ind w:left="293"/>
              <w:rPr>
                <w:sz w:val="24"/>
              </w:rPr>
            </w:pPr>
            <w:r>
              <w:rPr>
                <w:spacing w:val="-5"/>
                <w:sz w:val="24"/>
              </w:rPr>
              <w:t>2.5</w:t>
            </w:r>
          </w:p>
        </w:tc>
        <w:tc>
          <w:tcPr>
            <w:tcW w:w="947" w:type="dxa"/>
          </w:tcPr>
          <w:p>
            <w:pPr>
              <w:pStyle w:val="TableParagraph"/>
              <w:spacing w:before="6"/>
              <w:rPr>
                <w:sz w:val="18"/>
              </w:rPr>
            </w:pPr>
          </w:p>
          <w:p>
            <w:pPr>
              <w:pStyle w:val="TableParagraph"/>
              <w:spacing w:before="1"/>
              <w:ind w:right="341"/>
              <w:jc w:val="right"/>
              <w:rPr>
                <w:sz w:val="24"/>
              </w:rPr>
            </w:pPr>
            <w:r>
              <w:rPr>
                <w:spacing w:val="-5"/>
                <w:sz w:val="24"/>
              </w:rPr>
              <w:t>18</w:t>
            </w:r>
          </w:p>
        </w:tc>
        <w:tc>
          <w:tcPr>
            <w:tcW w:w="1190" w:type="dxa"/>
          </w:tcPr>
          <w:p>
            <w:pPr>
              <w:pStyle w:val="TableParagraph"/>
              <w:spacing w:before="72"/>
              <w:ind w:left="10"/>
              <w:jc w:val="center"/>
              <w:rPr>
                <w:sz w:val="24"/>
              </w:rPr>
            </w:pPr>
            <w:r>
              <w:rPr>
                <w:sz w:val="24"/>
              </w:rPr>
              <w:t>≤</w:t>
            </w:r>
          </w:p>
          <w:p>
            <w:pPr>
              <w:pStyle w:val="TableParagraph"/>
              <w:spacing w:before="23"/>
              <w:ind w:left="103" w:right="93"/>
              <w:jc w:val="center"/>
              <w:rPr>
                <w:sz w:val="24"/>
              </w:rPr>
            </w:pPr>
            <w:r>
              <w:rPr>
                <w:spacing w:val="-2"/>
                <w:sz w:val="24"/>
              </w:rPr>
              <w:t>1/80000</w:t>
            </w:r>
          </w:p>
        </w:tc>
        <w:tc>
          <w:tcPr>
            <w:tcW w:w="583" w:type="dxa"/>
          </w:tcPr>
          <w:p>
            <w:pPr>
              <w:pStyle w:val="TableParagraph"/>
              <w:spacing w:before="6"/>
              <w:rPr>
                <w:sz w:val="18"/>
              </w:rPr>
            </w:pPr>
          </w:p>
          <w:p>
            <w:pPr>
              <w:pStyle w:val="TableParagraph"/>
              <w:spacing w:before="1"/>
              <w:ind w:left="10"/>
              <w:jc w:val="center"/>
              <w:rPr>
                <w:sz w:val="24"/>
              </w:rPr>
            </w:pPr>
            <w:r>
              <w:rPr>
                <w:sz w:val="24"/>
              </w:rPr>
              <w:t>4</w:t>
            </w:r>
          </w:p>
        </w:tc>
        <w:tc>
          <w:tcPr>
            <w:tcW w:w="583" w:type="dxa"/>
          </w:tcPr>
          <w:p>
            <w:pPr>
              <w:pStyle w:val="TableParagraph"/>
              <w:spacing w:before="6"/>
              <w:rPr>
                <w:sz w:val="18"/>
              </w:rPr>
            </w:pPr>
          </w:p>
          <w:p>
            <w:pPr>
              <w:pStyle w:val="TableParagraph"/>
              <w:spacing w:before="1"/>
              <w:ind w:right="219"/>
              <w:jc w:val="right"/>
              <w:rPr>
                <w:sz w:val="24"/>
              </w:rPr>
            </w:pPr>
            <w:r>
              <w:rPr>
                <w:sz w:val="24"/>
              </w:rPr>
              <w:t>6</w:t>
            </w:r>
          </w:p>
        </w:tc>
        <w:tc>
          <w:tcPr>
            <w:tcW w:w="583" w:type="dxa"/>
          </w:tcPr>
          <w:p>
            <w:pPr>
              <w:pStyle w:val="TableParagraph"/>
              <w:spacing w:before="6"/>
              <w:rPr>
                <w:sz w:val="18"/>
              </w:rPr>
            </w:pPr>
          </w:p>
          <w:p>
            <w:pPr>
              <w:pStyle w:val="TableParagraph"/>
              <w:spacing w:before="1"/>
              <w:ind w:left="9"/>
              <w:jc w:val="center"/>
              <w:rPr>
                <w:sz w:val="24"/>
              </w:rPr>
            </w:pPr>
            <w:r>
              <w:rPr>
                <w:sz w:val="24"/>
              </w:rPr>
              <w:t>—</w:t>
            </w:r>
          </w:p>
        </w:tc>
        <w:tc>
          <w:tcPr>
            <w:tcW w:w="947" w:type="dxa"/>
          </w:tcPr>
          <w:p>
            <w:pPr>
              <w:pStyle w:val="TableParagraph"/>
              <w:spacing w:before="6"/>
              <w:rPr>
                <w:sz w:val="18"/>
              </w:rPr>
            </w:pPr>
          </w:p>
          <w:p>
            <w:pPr>
              <w:pStyle w:val="TableParagraph"/>
              <w:spacing w:before="1"/>
              <w:ind w:left="233"/>
              <w:rPr>
                <w:sz w:val="24"/>
              </w:rPr>
            </w:pPr>
            <w:r>
              <w:rPr>
                <w:spacing w:val="-5"/>
                <w:sz w:val="24"/>
              </w:rPr>
              <w:t>5√n</w:t>
            </w:r>
          </w:p>
        </w:tc>
        <w:tc>
          <w:tcPr>
            <w:tcW w:w="1069" w:type="dxa"/>
          </w:tcPr>
          <w:p>
            <w:pPr>
              <w:pStyle w:val="TableParagraph"/>
              <w:spacing w:before="72"/>
              <w:ind w:left="9"/>
              <w:jc w:val="center"/>
              <w:rPr>
                <w:sz w:val="24"/>
              </w:rPr>
            </w:pPr>
            <w:r>
              <w:rPr>
                <w:sz w:val="24"/>
              </w:rPr>
              <w:t>≤</w:t>
            </w:r>
          </w:p>
          <w:p>
            <w:pPr>
              <w:pStyle w:val="TableParagraph"/>
              <w:spacing w:before="23"/>
              <w:ind w:left="101" w:right="92"/>
              <w:jc w:val="center"/>
              <w:rPr>
                <w:sz w:val="24"/>
              </w:rPr>
            </w:pPr>
            <w:r>
              <w:rPr>
                <w:spacing w:val="-2"/>
                <w:sz w:val="24"/>
              </w:rPr>
              <w:t>1/35000</w:t>
            </w:r>
          </w:p>
        </w:tc>
      </w:tr>
      <w:tr>
        <w:tblPrEx>
          <w:tblW w:w="0" w:type="auto"/>
          <w:jc w:val="left"/>
          <w:tblInd w:w="190" w:type="dxa"/>
          <w:tblLayout w:type="fixed"/>
          <w:tblCellMar>
            <w:top w:w="0" w:type="dxa"/>
            <w:left w:w="0" w:type="dxa"/>
            <w:bottom w:w="0" w:type="dxa"/>
            <w:right w:w="0" w:type="dxa"/>
          </w:tblCellMar>
          <w:tblLook w:val="01E0"/>
        </w:tblPrEx>
        <w:trPr>
          <w:trHeight w:val="738"/>
          <w:jc w:val="left"/>
        </w:trPr>
        <w:tc>
          <w:tcPr>
            <w:tcW w:w="534" w:type="dxa"/>
          </w:tcPr>
          <w:p>
            <w:pPr>
              <w:pStyle w:val="TableParagraph"/>
              <w:spacing w:before="39" w:line="330" w:lineRule="atLeast"/>
              <w:ind w:left="147" w:right="136"/>
              <w:rPr>
                <w:sz w:val="24"/>
              </w:rPr>
            </w:pPr>
            <w:r>
              <w:rPr>
                <w:spacing w:val="-10"/>
                <w:sz w:val="24"/>
              </w:rPr>
              <w:t>—级</w:t>
            </w:r>
          </w:p>
        </w:tc>
        <w:tc>
          <w:tcPr>
            <w:tcW w:w="947" w:type="dxa"/>
          </w:tcPr>
          <w:p>
            <w:pPr>
              <w:pStyle w:val="TableParagraph"/>
              <w:spacing w:before="8"/>
              <w:rPr>
                <w:sz w:val="17"/>
              </w:rPr>
            </w:pPr>
          </w:p>
          <w:p>
            <w:pPr>
              <w:pStyle w:val="TableParagraph"/>
              <w:ind w:left="10"/>
              <w:jc w:val="center"/>
              <w:rPr>
                <w:sz w:val="24"/>
              </w:rPr>
            </w:pPr>
            <w:r>
              <w:rPr>
                <w:sz w:val="24"/>
              </w:rPr>
              <w:t>4</w:t>
            </w:r>
          </w:p>
        </w:tc>
        <w:tc>
          <w:tcPr>
            <w:tcW w:w="947" w:type="dxa"/>
          </w:tcPr>
          <w:p>
            <w:pPr>
              <w:pStyle w:val="TableParagraph"/>
              <w:spacing w:before="8"/>
              <w:rPr>
                <w:sz w:val="17"/>
              </w:rPr>
            </w:pPr>
          </w:p>
          <w:p>
            <w:pPr>
              <w:pStyle w:val="TableParagraph"/>
              <w:ind w:left="293"/>
              <w:rPr>
                <w:sz w:val="24"/>
              </w:rPr>
            </w:pPr>
            <w:r>
              <w:rPr>
                <w:spacing w:val="-5"/>
                <w:sz w:val="24"/>
              </w:rPr>
              <w:t>0.5</w:t>
            </w:r>
          </w:p>
        </w:tc>
        <w:tc>
          <w:tcPr>
            <w:tcW w:w="947" w:type="dxa"/>
          </w:tcPr>
          <w:p>
            <w:pPr>
              <w:pStyle w:val="TableParagraph"/>
              <w:spacing w:before="8"/>
              <w:rPr>
                <w:sz w:val="17"/>
              </w:rPr>
            </w:pPr>
          </w:p>
          <w:p>
            <w:pPr>
              <w:pStyle w:val="TableParagraph"/>
              <w:ind w:left="10"/>
              <w:jc w:val="center"/>
              <w:rPr>
                <w:sz w:val="24"/>
              </w:rPr>
            </w:pPr>
            <w:r>
              <w:rPr>
                <w:sz w:val="24"/>
              </w:rPr>
              <w:t>5</w:t>
            </w:r>
          </w:p>
        </w:tc>
        <w:tc>
          <w:tcPr>
            <w:tcW w:w="947" w:type="dxa"/>
          </w:tcPr>
          <w:p>
            <w:pPr>
              <w:pStyle w:val="TableParagraph"/>
              <w:spacing w:before="8"/>
              <w:rPr>
                <w:sz w:val="17"/>
              </w:rPr>
            </w:pPr>
          </w:p>
          <w:p>
            <w:pPr>
              <w:pStyle w:val="TableParagraph"/>
              <w:ind w:right="341"/>
              <w:jc w:val="right"/>
              <w:rPr>
                <w:sz w:val="24"/>
              </w:rPr>
            </w:pPr>
            <w:r>
              <w:rPr>
                <w:spacing w:val="-5"/>
                <w:sz w:val="24"/>
              </w:rPr>
              <w:t>15</w:t>
            </w:r>
          </w:p>
        </w:tc>
        <w:tc>
          <w:tcPr>
            <w:tcW w:w="1190" w:type="dxa"/>
          </w:tcPr>
          <w:p>
            <w:pPr>
              <w:pStyle w:val="TableParagraph"/>
              <w:spacing w:before="61"/>
              <w:ind w:left="10"/>
              <w:jc w:val="center"/>
              <w:rPr>
                <w:sz w:val="24"/>
              </w:rPr>
            </w:pPr>
            <w:r>
              <w:rPr>
                <w:sz w:val="24"/>
              </w:rPr>
              <w:t>≤</w:t>
            </w:r>
          </w:p>
          <w:p>
            <w:pPr>
              <w:pStyle w:val="TableParagraph"/>
              <w:spacing w:before="23"/>
              <w:ind w:left="103" w:right="93"/>
              <w:jc w:val="center"/>
              <w:rPr>
                <w:sz w:val="24"/>
              </w:rPr>
            </w:pPr>
            <w:r>
              <w:rPr>
                <w:spacing w:val="-2"/>
                <w:sz w:val="24"/>
              </w:rPr>
              <w:t>1/30000</w:t>
            </w:r>
          </w:p>
        </w:tc>
        <w:tc>
          <w:tcPr>
            <w:tcW w:w="583" w:type="dxa"/>
          </w:tcPr>
          <w:p>
            <w:pPr>
              <w:pStyle w:val="TableParagraph"/>
              <w:spacing w:before="8"/>
              <w:rPr>
                <w:sz w:val="17"/>
              </w:rPr>
            </w:pPr>
          </w:p>
          <w:p>
            <w:pPr>
              <w:pStyle w:val="TableParagraph"/>
              <w:ind w:left="10"/>
              <w:jc w:val="center"/>
              <w:rPr>
                <w:sz w:val="24"/>
              </w:rPr>
            </w:pPr>
            <w:r>
              <w:rPr>
                <w:sz w:val="24"/>
              </w:rPr>
              <w:t>—</w:t>
            </w:r>
          </w:p>
        </w:tc>
        <w:tc>
          <w:tcPr>
            <w:tcW w:w="583" w:type="dxa"/>
          </w:tcPr>
          <w:p>
            <w:pPr>
              <w:pStyle w:val="TableParagraph"/>
              <w:spacing w:before="8"/>
              <w:rPr>
                <w:sz w:val="17"/>
              </w:rPr>
            </w:pPr>
          </w:p>
          <w:p>
            <w:pPr>
              <w:pStyle w:val="TableParagraph"/>
              <w:ind w:right="219"/>
              <w:jc w:val="right"/>
              <w:rPr>
                <w:sz w:val="24"/>
              </w:rPr>
            </w:pPr>
            <w:r>
              <w:rPr>
                <w:sz w:val="24"/>
              </w:rPr>
              <w:t>2</w:t>
            </w:r>
          </w:p>
        </w:tc>
        <w:tc>
          <w:tcPr>
            <w:tcW w:w="583" w:type="dxa"/>
          </w:tcPr>
          <w:p>
            <w:pPr>
              <w:pStyle w:val="TableParagraph"/>
              <w:spacing w:before="8"/>
              <w:rPr>
                <w:sz w:val="17"/>
              </w:rPr>
            </w:pPr>
          </w:p>
          <w:p>
            <w:pPr>
              <w:pStyle w:val="TableParagraph"/>
              <w:ind w:left="9"/>
              <w:jc w:val="center"/>
              <w:rPr>
                <w:sz w:val="24"/>
              </w:rPr>
            </w:pPr>
            <w:r>
              <w:rPr>
                <w:sz w:val="24"/>
              </w:rPr>
              <w:t>4</w:t>
            </w:r>
          </w:p>
        </w:tc>
        <w:tc>
          <w:tcPr>
            <w:tcW w:w="947" w:type="dxa"/>
          </w:tcPr>
          <w:p>
            <w:pPr>
              <w:pStyle w:val="TableParagraph"/>
              <w:spacing w:before="8"/>
              <w:rPr>
                <w:sz w:val="17"/>
              </w:rPr>
            </w:pPr>
          </w:p>
          <w:p>
            <w:pPr>
              <w:pStyle w:val="TableParagraph"/>
              <w:ind w:right="161"/>
              <w:jc w:val="right"/>
              <w:rPr>
                <w:sz w:val="24"/>
              </w:rPr>
            </w:pPr>
            <w:r>
              <w:rPr>
                <w:spacing w:val="-4"/>
                <w:sz w:val="24"/>
              </w:rPr>
              <w:t>10√n</w:t>
            </w:r>
          </w:p>
        </w:tc>
        <w:tc>
          <w:tcPr>
            <w:tcW w:w="1069" w:type="dxa"/>
          </w:tcPr>
          <w:p>
            <w:pPr>
              <w:pStyle w:val="TableParagraph"/>
              <w:spacing w:before="61"/>
              <w:ind w:left="9"/>
              <w:jc w:val="center"/>
              <w:rPr>
                <w:sz w:val="24"/>
              </w:rPr>
            </w:pPr>
            <w:r>
              <w:rPr>
                <w:sz w:val="24"/>
              </w:rPr>
              <w:t>≤</w:t>
            </w:r>
          </w:p>
          <w:p>
            <w:pPr>
              <w:pStyle w:val="TableParagraph"/>
              <w:spacing w:before="23"/>
              <w:ind w:left="101" w:right="92"/>
              <w:jc w:val="center"/>
              <w:rPr>
                <w:sz w:val="24"/>
              </w:rPr>
            </w:pPr>
            <w:r>
              <w:rPr>
                <w:spacing w:val="-2"/>
                <w:sz w:val="24"/>
              </w:rPr>
              <w:t>1/15000</w:t>
            </w:r>
          </w:p>
        </w:tc>
      </w:tr>
      <w:tr>
        <w:tblPrEx>
          <w:tblW w:w="0" w:type="auto"/>
          <w:jc w:val="left"/>
          <w:tblInd w:w="190" w:type="dxa"/>
          <w:tblLayout w:type="fixed"/>
          <w:tblCellMar>
            <w:top w:w="0" w:type="dxa"/>
            <w:left w:w="0" w:type="dxa"/>
            <w:bottom w:w="0" w:type="dxa"/>
            <w:right w:w="0" w:type="dxa"/>
          </w:tblCellMar>
          <w:tblLook w:val="01E0"/>
        </w:tblPrEx>
        <w:trPr>
          <w:trHeight w:val="737"/>
          <w:jc w:val="left"/>
        </w:trPr>
        <w:tc>
          <w:tcPr>
            <w:tcW w:w="534" w:type="dxa"/>
          </w:tcPr>
          <w:p>
            <w:pPr>
              <w:pStyle w:val="TableParagraph"/>
              <w:spacing w:before="39" w:line="330" w:lineRule="atLeast"/>
              <w:ind w:left="147" w:right="136"/>
              <w:rPr>
                <w:sz w:val="24"/>
              </w:rPr>
            </w:pPr>
            <w:r>
              <w:rPr>
                <w:spacing w:val="-10"/>
                <w:sz w:val="24"/>
              </w:rPr>
              <w:t>二</w:t>
            </w:r>
            <w:r>
              <w:rPr>
                <w:spacing w:val="-10"/>
                <w:sz w:val="24"/>
              </w:rPr>
              <w:t>级</w:t>
            </w:r>
          </w:p>
        </w:tc>
        <w:tc>
          <w:tcPr>
            <w:tcW w:w="947" w:type="dxa"/>
          </w:tcPr>
          <w:p>
            <w:pPr>
              <w:pStyle w:val="TableParagraph"/>
              <w:spacing w:before="8"/>
              <w:rPr>
                <w:sz w:val="17"/>
              </w:rPr>
            </w:pPr>
          </w:p>
          <w:p>
            <w:pPr>
              <w:pStyle w:val="TableParagraph"/>
              <w:ind w:right="281"/>
              <w:jc w:val="right"/>
              <w:rPr>
                <w:sz w:val="24"/>
              </w:rPr>
            </w:pPr>
            <w:r>
              <w:rPr>
                <w:spacing w:val="-5"/>
                <w:sz w:val="24"/>
              </w:rPr>
              <w:t>2.4</w:t>
            </w:r>
          </w:p>
        </w:tc>
        <w:tc>
          <w:tcPr>
            <w:tcW w:w="947" w:type="dxa"/>
          </w:tcPr>
          <w:p>
            <w:pPr>
              <w:pStyle w:val="TableParagraph"/>
              <w:spacing w:before="8"/>
              <w:rPr>
                <w:sz w:val="17"/>
              </w:rPr>
            </w:pPr>
          </w:p>
          <w:p>
            <w:pPr>
              <w:pStyle w:val="TableParagraph"/>
              <w:ind w:left="233"/>
              <w:rPr>
                <w:sz w:val="24"/>
              </w:rPr>
            </w:pPr>
            <w:r>
              <w:rPr>
                <w:spacing w:val="-4"/>
                <w:sz w:val="24"/>
              </w:rPr>
              <w:t>0.25</w:t>
            </w:r>
          </w:p>
        </w:tc>
        <w:tc>
          <w:tcPr>
            <w:tcW w:w="947" w:type="dxa"/>
          </w:tcPr>
          <w:p>
            <w:pPr>
              <w:pStyle w:val="TableParagraph"/>
              <w:spacing w:before="8"/>
              <w:rPr>
                <w:sz w:val="17"/>
              </w:rPr>
            </w:pPr>
          </w:p>
          <w:p>
            <w:pPr>
              <w:pStyle w:val="TableParagraph"/>
              <w:ind w:left="10"/>
              <w:jc w:val="center"/>
              <w:rPr>
                <w:sz w:val="24"/>
              </w:rPr>
            </w:pPr>
            <w:r>
              <w:rPr>
                <w:sz w:val="24"/>
              </w:rPr>
              <w:t>8</w:t>
            </w:r>
          </w:p>
        </w:tc>
        <w:tc>
          <w:tcPr>
            <w:tcW w:w="947" w:type="dxa"/>
          </w:tcPr>
          <w:p>
            <w:pPr>
              <w:pStyle w:val="TableParagraph"/>
              <w:spacing w:before="8"/>
              <w:rPr>
                <w:sz w:val="17"/>
              </w:rPr>
            </w:pPr>
          </w:p>
          <w:p>
            <w:pPr>
              <w:pStyle w:val="TableParagraph"/>
              <w:ind w:right="341"/>
              <w:jc w:val="right"/>
              <w:rPr>
                <w:sz w:val="24"/>
              </w:rPr>
            </w:pPr>
            <w:r>
              <w:rPr>
                <w:spacing w:val="-5"/>
                <w:sz w:val="24"/>
              </w:rPr>
              <w:t>15</w:t>
            </w:r>
          </w:p>
        </w:tc>
        <w:tc>
          <w:tcPr>
            <w:tcW w:w="1190" w:type="dxa"/>
          </w:tcPr>
          <w:p>
            <w:pPr>
              <w:pStyle w:val="TableParagraph"/>
              <w:spacing w:before="61"/>
              <w:ind w:left="10"/>
              <w:jc w:val="center"/>
              <w:rPr>
                <w:sz w:val="24"/>
              </w:rPr>
            </w:pPr>
            <w:r>
              <w:rPr>
                <w:sz w:val="24"/>
              </w:rPr>
              <w:t>≤</w:t>
            </w:r>
          </w:p>
          <w:p>
            <w:pPr>
              <w:pStyle w:val="TableParagraph"/>
              <w:spacing w:before="23"/>
              <w:ind w:left="103" w:right="93"/>
              <w:jc w:val="center"/>
              <w:rPr>
                <w:sz w:val="24"/>
              </w:rPr>
            </w:pPr>
            <w:r>
              <w:rPr>
                <w:spacing w:val="-2"/>
                <w:sz w:val="24"/>
              </w:rPr>
              <w:t>1/14000</w:t>
            </w:r>
          </w:p>
        </w:tc>
        <w:tc>
          <w:tcPr>
            <w:tcW w:w="583" w:type="dxa"/>
          </w:tcPr>
          <w:p>
            <w:pPr>
              <w:pStyle w:val="TableParagraph"/>
              <w:spacing w:before="8"/>
              <w:rPr>
                <w:sz w:val="17"/>
              </w:rPr>
            </w:pPr>
          </w:p>
          <w:p>
            <w:pPr>
              <w:pStyle w:val="TableParagraph"/>
              <w:ind w:left="10"/>
              <w:jc w:val="center"/>
              <w:rPr>
                <w:sz w:val="24"/>
              </w:rPr>
            </w:pPr>
            <w:r>
              <w:rPr>
                <w:sz w:val="24"/>
              </w:rPr>
              <w:t>—</w:t>
            </w:r>
          </w:p>
        </w:tc>
        <w:tc>
          <w:tcPr>
            <w:tcW w:w="583" w:type="dxa"/>
          </w:tcPr>
          <w:p>
            <w:pPr>
              <w:pStyle w:val="TableParagraph"/>
              <w:spacing w:before="8"/>
              <w:rPr>
                <w:sz w:val="17"/>
              </w:rPr>
            </w:pPr>
          </w:p>
          <w:p>
            <w:pPr>
              <w:pStyle w:val="TableParagraph"/>
              <w:ind w:right="219"/>
              <w:jc w:val="right"/>
              <w:rPr>
                <w:sz w:val="24"/>
              </w:rPr>
            </w:pPr>
            <w:r>
              <w:rPr>
                <w:sz w:val="24"/>
              </w:rPr>
              <w:t>1</w:t>
            </w:r>
          </w:p>
        </w:tc>
        <w:tc>
          <w:tcPr>
            <w:tcW w:w="583" w:type="dxa"/>
          </w:tcPr>
          <w:p>
            <w:pPr>
              <w:pStyle w:val="TableParagraph"/>
              <w:spacing w:before="8"/>
              <w:rPr>
                <w:sz w:val="17"/>
              </w:rPr>
            </w:pPr>
          </w:p>
          <w:p>
            <w:pPr>
              <w:pStyle w:val="TableParagraph"/>
              <w:ind w:left="9"/>
              <w:jc w:val="center"/>
              <w:rPr>
                <w:sz w:val="24"/>
              </w:rPr>
            </w:pPr>
            <w:r>
              <w:rPr>
                <w:sz w:val="24"/>
              </w:rPr>
              <w:t>3</w:t>
            </w:r>
          </w:p>
        </w:tc>
        <w:tc>
          <w:tcPr>
            <w:tcW w:w="947" w:type="dxa"/>
          </w:tcPr>
          <w:p>
            <w:pPr>
              <w:pStyle w:val="TableParagraph"/>
              <w:spacing w:before="8"/>
              <w:rPr>
                <w:sz w:val="17"/>
              </w:rPr>
            </w:pPr>
          </w:p>
          <w:p>
            <w:pPr>
              <w:pStyle w:val="TableParagraph"/>
              <w:ind w:right="161"/>
              <w:jc w:val="right"/>
              <w:rPr>
                <w:sz w:val="24"/>
              </w:rPr>
            </w:pPr>
            <w:r>
              <w:rPr>
                <w:spacing w:val="-4"/>
                <w:sz w:val="24"/>
              </w:rPr>
              <w:t>16√n</w:t>
            </w:r>
          </w:p>
        </w:tc>
        <w:tc>
          <w:tcPr>
            <w:tcW w:w="1069" w:type="dxa"/>
          </w:tcPr>
          <w:p>
            <w:pPr>
              <w:pStyle w:val="TableParagraph"/>
              <w:spacing w:before="61"/>
              <w:ind w:left="9"/>
              <w:jc w:val="center"/>
              <w:rPr>
                <w:sz w:val="24"/>
              </w:rPr>
            </w:pPr>
            <w:r>
              <w:rPr>
                <w:sz w:val="24"/>
              </w:rPr>
              <w:t>≤</w:t>
            </w:r>
          </w:p>
          <w:p>
            <w:pPr>
              <w:pStyle w:val="TableParagraph"/>
              <w:spacing w:before="23"/>
              <w:ind w:left="101" w:right="92"/>
              <w:jc w:val="center"/>
              <w:rPr>
                <w:sz w:val="24"/>
              </w:rPr>
            </w:pPr>
            <w:r>
              <w:rPr>
                <w:spacing w:val="-2"/>
                <w:sz w:val="24"/>
              </w:rPr>
              <w:t>1/10000</w:t>
            </w:r>
          </w:p>
        </w:tc>
      </w:tr>
      <w:tr>
        <w:tblPrEx>
          <w:tblW w:w="0" w:type="auto"/>
          <w:jc w:val="left"/>
          <w:tblInd w:w="190" w:type="dxa"/>
          <w:tblLayout w:type="fixed"/>
          <w:tblCellMar>
            <w:top w:w="0" w:type="dxa"/>
            <w:left w:w="0" w:type="dxa"/>
            <w:bottom w:w="0" w:type="dxa"/>
            <w:right w:w="0" w:type="dxa"/>
          </w:tblCellMar>
          <w:tblLook w:val="01E0"/>
        </w:tblPrEx>
        <w:trPr>
          <w:trHeight w:val="760"/>
          <w:jc w:val="left"/>
        </w:trPr>
        <w:tc>
          <w:tcPr>
            <w:tcW w:w="534" w:type="dxa"/>
          </w:tcPr>
          <w:p>
            <w:pPr>
              <w:pStyle w:val="TableParagraph"/>
              <w:spacing w:before="72" w:line="256" w:lineRule="auto"/>
              <w:ind w:left="147" w:right="136"/>
              <w:rPr>
                <w:sz w:val="24"/>
              </w:rPr>
            </w:pPr>
            <w:r>
              <w:rPr>
                <w:spacing w:val="-10"/>
                <w:sz w:val="24"/>
              </w:rPr>
              <w:t>三</w:t>
            </w:r>
            <w:r>
              <w:rPr>
                <w:spacing w:val="-10"/>
                <w:sz w:val="24"/>
              </w:rPr>
              <w:t>级</w:t>
            </w:r>
          </w:p>
        </w:tc>
        <w:tc>
          <w:tcPr>
            <w:tcW w:w="947" w:type="dxa"/>
          </w:tcPr>
          <w:p>
            <w:pPr>
              <w:pStyle w:val="TableParagraph"/>
              <w:spacing w:before="6"/>
              <w:rPr>
                <w:sz w:val="18"/>
              </w:rPr>
            </w:pPr>
          </w:p>
          <w:p>
            <w:pPr>
              <w:pStyle w:val="TableParagraph"/>
              <w:spacing w:before="1"/>
              <w:ind w:right="281"/>
              <w:jc w:val="right"/>
              <w:rPr>
                <w:sz w:val="24"/>
              </w:rPr>
            </w:pPr>
            <w:r>
              <w:rPr>
                <w:spacing w:val="-5"/>
                <w:sz w:val="24"/>
              </w:rPr>
              <w:t>1.2</w:t>
            </w:r>
          </w:p>
        </w:tc>
        <w:tc>
          <w:tcPr>
            <w:tcW w:w="947" w:type="dxa"/>
          </w:tcPr>
          <w:p>
            <w:pPr>
              <w:pStyle w:val="TableParagraph"/>
              <w:spacing w:before="6"/>
              <w:rPr>
                <w:sz w:val="18"/>
              </w:rPr>
            </w:pPr>
          </w:p>
          <w:p>
            <w:pPr>
              <w:pStyle w:val="TableParagraph"/>
              <w:spacing w:before="1"/>
              <w:ind w:left="293"/>
              <w:rPr>
                <w:sz w:val="24"/>
              </w:rPr>
            </w:pPr>
            <w:r>
              <w:rPr>
                <w:spacing w:val="-5"/>
                <w:sz w:val="24"/>
              </w:rPr>
              <w:t>0.1</w:t>
            </w:r>
          </w:p>
        </w:tc>
        <w:tc>
          <w:tcPr>
            <w:tcW w:w="947" w:type="dxa"/>
          </w:tcPr>
          <w:p>
            <w:pPr>
              <w:pStyle w:val="TableParagraph"/>
              <w:spacing w:before="6"/>
              <w:rPr>
                <w:sz w:val="18"/>
              </w:rPr>
            </w:pPr>
          </w:p>
          <w:p>
            <w:pPr>
              <w:pStyle w:val="TableParagraph"/>
              <w:spacing w:before="1"/>
              <w:ind w:left="353"/>
              <w:rPr>
                <w:sz w:val="24"/>
              </w:rPr>
            </w:pPr>
            <w:r>
              <w:rPr>
                <w:spacing w:val="-5"/>
                <w:sz w:val="24"/>
              </w:rPr>
              <w:t>12</w:t>
            </w:r>
          </w:p>
        </w:tc>
        <w:tc>
          <w:tcPr>
            <w:tcW w:w="947" w:type="dxa"/>
          </w:tcPr>
          <w:p>
            <w:pPr>
              <w:pStyle w:val="TableParagraph"/>
              <w:spacing w:before="6"/>
              <w:rPr>
                <w:sz w:val="18"/>
              </w:rPr>
            </w:pPr>
          </w:p>
          <w:p>
            <w:pPr>
              <w:pStyle w:val="TableParagraph"/>
              <w:spacing w:before="1"/>
              <w:ind w:right="341"/>
              <w:jc w:val="right"/>
              <w:rPr>
                <w:sz w:val="24"/>
              </w:rPr>
            </w:pPr>
            <w:r>
              <w:rPr>
                <w:spacing w:val="-5"/>
                <w:sz w:val="24"/>
              </w:rPr>
              <w:t>15</w:t>
            </w:r>
          </w:p>
        </w:tc>
        <w:tc>
          <w:tcPr>
            <w:tcW w:w="1190" w:type="dxa"/>
          </w:tcPr>
          <w:p>
            <w:pPr>
              <w:pStyle w:val="TableParagraph"/>
              <w:spacing w:before="6"/>
              <w:rPr>
                <w:sz w:val="18"/>
              </w:rPr>
            </w:pPr>
          </w:p>
          <w:p>
            <w:pPr>
              <w:pStyle w:val="TableParagraph"/>
              <w:spacing w:before="1"/>
              <w:ind w:left="115"/>
              <w:rPr>
                <w:sz w:val="24"/>
              </w:rPr>
            </w:pPr>
            <w:r>
              <w:rPr>
                <w:spacing w:val="-2"/>
                <w:sz w:val="24"/>
              </w:rPr>
              <w:t>≤1/7000</w:t>
            </w:r>
          </w:p>
        </w:tc>
        <w:tc>
          <w:tcPr>
            <w:tcW w:w="583" w:type="dxa"/>
          </w:tcPr>
          <w:p>
            <w:pPr>
              <w:pStyle w:val="TableParagraph"/>
              <w:spacing w:before="6"/>
              <w:rPr>
                <w:sz w:val="18"/>
              </w:rPr>
            </w:pPr>
          </w:p>
          <w:p>
            <w:pPr>
              <w:pStyle w:val="TableParagraph"/>
              <w:spacing w:before="1"/>
              <w:ind w:left="10"/>
              <w:jc w:val="center"/>
              <w:rPr>
                <w:sz w:val="24"/>
              </w:rPr>
            </w:pPr>
            <w:r>
              <w:rPr>
                <w:sz w:val="24"/>
              </w:rPr>
              <w:t>—</w:t>
            </w:r>
          </w:p>
        </w:tc>
        <w:tc>
          <w:tcPr>
            <w:tcW w:w="583" w:type="dxa"/>
          </w:tcPr>
          <w:p>
            <w:pPr>
              <w:pStyle w:val="TableParagraph"/>
              <w:spacing w:before="6"/>
              <w:rPr>
                <w:sz w:val="18"/>
              </w:rPr>
            </w:pPr>
          </w:p>
          <w:p>
            <w:pPr>
              <w:pStyle w:val="TableParagraph"/>
              <w:spacing w:before="1"/>
              <w:ind w:right="219"/>
              <w:jc w:val="right"/>
              <w:rPr>
                <w:sz w:val="24"/>
              </w:rPr>
            </w:pPr>
            <w:r>
              <w:rPr>
                <w:sz w:val="24"/>
              </w:rPr>
              <w:t>1</w:t>
            </w:r>
          </w:p>
        </w:tc>
        <w:tc>
          <w:tcPr>
            <w:tcW w:w="583" w:type="dxa"/>
          </w:tcPr>
          <w:p>
            <w:pPr>
              <w:pStyle w:val="TableParagraph"/>
              <w:spacing w:before="6"/>
              <w:rPr>
                <w:sz w:val="18"/>
              </w:rPr>
            </w:pPr>
          </w:p>
          <w:p>
            <w:pPr>
              <w:pStyle w:val="TableParagraph"/>
              <w:spacing w:before="1"/>
              <w:ind w:left="9"/>
              <w:jc w:val="center"/>
              <w:rPr>
                <w:sz w:val="24"/>
              </w:rPr>
            </w:pPr>
            <w:r>
              <w:rPr>
                <w:sz w:val="24"/>
              </w:rPr>
              <w:t>2</w:t>
            </w:r>
          </w:p>
        </w:tc>
        <w:tc>
          <w:tcPr>
            <w:tcW w:w="947" w:type="dxa"/>
          </w:tcPr>
          <w:p>
            <w:pPr>
              <w:pStyle w:val="TableParagraph"/>
              <w:spacing w:before="6"/>
              <w:rPr>
                <w:sz w:val="18"/>
              </w:rPr>
            </w:pPr>
          </w:p>
          <w:p>
            <w:pPr>
              <w:pStyle w:val="TableParagraph"/>
              <w:spacing w:before="1"/>
              <w:ind w:right="161"/>
              <w:jc w:val="right"/>
              <w:rPr>
                <w:sz w:val="24"/>
              </w:rPr>
            </w:pPr>
            <w:r>
              <w:rPr>
                <w:spacing w:val="-4"/>
                <w:sz w:val="24"/>
              </w:rPr>
              <w:t>24√n</w:t>
            </w:r>
          </w:p>
        </w:tc>
        <w:tc>
          <w:tcPr>
            <w:tcW w:w="1069" w:type="dxa"/>
          </w:tcPr>
          <w:p>
            <w:pPr>
              <w:pStyle w:val="TableParagraph"/>
              <w:spacing w:before="72"/>
              <w:ind w:left="9"/>
              <w:jc w:val="center"/>
              <w:rPr>
                <w:sz w:val="24"/>
              </w:rPr>
            </w:pPr>
            <w:r>
              <w:rPr>
                <w:sz w:val="24"/>
              </w:rPr>
              <w:t>≤</w:t>
            </w:r>
          </w:p>
          <w:p>
            <w:pPr>
              <w:pStyle w:val="TableParagraph"/>
              <w:spacing w:before="23"/>
              <w:ind w:left="101" w:right="92"/>
              <w:jc w:val="center"/>
              <w:rPr>
                <w:sz w:val="24"/>
              </w:rPr>
            </w:pPr>
            <w:r>
              <w:rPr>
                <w:spacing w:val="-2"/>
                <w:sz w:val="24"/>
              </w:rPr>
              <w:t>1/5000</w:t>
            </w:r>
          </w:p>
        </w:tc>
      </w:tr>
    </w:tbl>
    <w:p>
      <w:pPr>
        <w:spacing w:before="137"/>
        <w:ind w:left="293" w:right="0" w:firstLine="0"/>
        <w:jc w:val="left"/>
        <w:rPr>
          <w:sz w:val="28"/>
        </w:rPr>
      </w:pPr>
      <w:r>
        <w:rPr>
          <w:sz w:val="28"/>
        </w:rPr>
        <w:t>3</w:t>
      </w:r>
      <w:r>
        <w:rPr>
          <w:spacing w:val="-1"/>
          <w:sz w:val="28"/>
        </w:rPr>
        <w:t>、控制网定期进行复核及其复核精度要求：</w:t>
      </w:r>
    </w:p>
    <w:p>
      <w:pPr>
        <w:pStyle w:val="BodyText"/>
        <w:spacing w:before="2"/>
        <w:rPr>
          <w:sz w:val="10"/>
        </w:rPr>
      </w:pPr>
    </w:p>
    <w:tbl>
      <w:tblPr>
        <w:tblStyle w:val="TableNormal2"/>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48"/>
        <w:gridCol w:w="1853"/>
        <w:gridCol w:w="1568"/>
        <w:gridCol w:w="1857"/>
        <w:gridCol w:w="1858"/>
      </w:tblGrid>
      <w:tr>
        <w:tblPrEx>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10"/>
          <w:jc w:val="left"/>
        </w:trPr>
        <w:tc>
          <w:tcPr>
            <w:tcW w:w="2148" w:type="dxa"/>
            <w:vMerge w:val="restart"/>
          </w:tcPr>
          <w:p>
            <w:pPr>
              <w:pStyle w:val="TableParagraph"/>
              <w:spacing w:before="35"/>
              <w:ind w:left="108"/>
              <w:rPr>
                <w:sz w:val="23"/>
              </w:rPr>
            </w:pPr>
            <w:r>
              <w:rPr>
                <w:spacing w:val="-5"/>
                <w:sz w:val="23"/>
              </w:rPr>
              <w:t>级别</w:t>
            </w:r>
          </w:p>
        </w:tc>
        <w:tc>
          <w:tcPr>
            <w:tcW w:w="3421" w:type="dxa"/>
            <w:gridSpan w:val="2"/>
          </w:tcPr>
          <w:p>
            <w:pPr>
              <w:pStyle w:val="TableParagraph"/>
              <w:spacing w:before="35"/>
              <w:ind w:left="108"/>
              <w:rPr>
                <w:sz w:val="23"/>
              </w:rPr>
            </w:pPr>
            <w:r>
              <w:rPr>
                <w:spacing w:val="-3"/>
                <w:sz w:val="23"/>
              </w:rPr>
              <w:t>精度要求</w:t>
            </w:r>
          </w:p>
        </w:tc>
        <w:tc>
          <w:tcPr>
            <w:tcW w:w="1857" w:type="dxa"/>
            <w:vMerge w:val="restart"/>
          </w:tcPr>
          <w:p>
            <w:pPr>
              <w:pStyle w:val="TableParagraph"/>
              <w:spacing w:before="35"/>
              <w:ind w:left="108"/>
              <w:rPr>
                <w:sz w:val="23"/>
              </w:rPr>
            </w:pPr>
            <w:r>
              <w:rPr>
                <w:spacing w:val="-3"/>
                <w:sz w:val="23"/>
              </w:rPr>
              <w:t>复核周期</w:t>
            </w:r>
          </w:p>
        </w:tc>
        <w:tc>
          <w:tcPr>
            <w:tcW w:w="1858" w:type="dxa"/>
            <w:vMerge w:val="restart"/>
          </w:tcPr>
          <w:p>
            <w:pPr>
              <w:pStyle w:val="TableParagraph"/>
              <w:spacing w:before="35"/>
              <w:ind w:left="107"/>
              <w:rPr>
                <w:sz w:val="23"/>
              </w:rPr>
            </w:pPr>
            <w:r>
              <w:rPr>
                <w:spacing w:val="-5"/>
                <w:sz w:val="23"/>
              </w:rPr>
              <w:t>方法</w:t>
            </w:r>
          </w:p>
        </w:tc>
      </w:tr>
      <w:tr>
        <w:tblPrEx>
          <w:tblW w:w="0" w:type="auto"/>
          <w:jc w:val="left"/>
          <w:tblInd w:w="190" w:type="dxa"/>
          <w:tblLayout w:type="fixed"/>
          <w:tblCellMar>
            <w:top w:w="0" w:type="dxa"/>
            <w:left w:w="0" w:type="dxa"/>
            <w:bottom w:w="0" w:type="dxa"/>
            <w:right w:w="0" w:type="dxa"/>
          </w:tblCellMar>
          <w:tblLook w:val="01E0"/>
        </w:tblPrEx>
        <w:trPr>
          <w:trHeight w:val="329"/>
          <w:jc w:val="left"/>
        </w:trPr>
        <w:tc>
          <w:tcPr>
            <w:tcW w:w="2148" w:type="dxa"/>
            <w:vMerge/>
            <w:tcBorders>
              <w:top w:val="nil"/>
            </w:tcBorders>
          </w:tcPr>
          <w:p>
            <w:pPr>
              <w:rPr>
                <w:sz w:val="2"/>
                <w:szCs w:val="2"/>
              </w:rPr>
            </w:pPr>
          </w:p>
        </w:tc>
        <w:tc>
          <w:tcPr>
            <w:tcW w:w="1853" w:type="dxa"/>
          </w:tcPr>
          <w:p>
            <w:pPr>
              <w:pStyle w:val="TableParagraph"/>
              <w:spacing w:before="35" w:line="275" w:lineRule="exact"/>
              <w:ind w:left="108"/>
              <w:rPr>
                <w:sz w:val="23"/>
              </w:rPr>
            </w:pPr>
            <w:r>
              <w:rPr>
                <w:spacing w:val="-5"/>
                <w:sz w:val="23"/>
              </w:rPr>
              <w:t>角度</w:t>
            </w:r>
          </w:p>
        </w:tc>
        <w:tc>
          <w:tcPr>
            <w:tcW w:w="1568" w:type="dxa"/>
          </w:tcPr>
          <w:p>
            <w:pPr>
              <w:pStyle w:val="TableParagraph"/>
              <w:spacing w:before="35" w:line="275" w:lineRule="exact"/>
              <w:ind w:left="108"/>
              <w:rPr>
                <w:sz w:val="23"/>
              </w:rPr>
            </w:pPr>
            <w:r>
              <w:rPr>
                <w:spacing w:val="-5"/>
                <w:sz w:val="23"/>
              </w:rPr>
              <w:t>边长</w:t>
            </w:r>
          </w:p>
        </w:tc>
        <w:tc>
          <w:tcPr>
            <w:tcW w:w="1857" w:type="dxa"/>
            <w:vMerge/>
            <w:tcBorders>
              <w:top w:val="nil"/>
            </w:tcBorders>
          </w:tcPr>
          <w:p>
            <w:pPr>
              <w:rPr>
                <w:sz w:val="2"/>
                <w:szCs w:val="2"/>
              </w:rPr>
            </w:pPr>
          </w:p>
        </w:tc>
        <w:tc>
          <w:tcPr>
            <w:tcW w:w="1858" w:type="dxa"/>
            <w:vMerge/>
            <w:tcBorders>
              <w:top w:val="nil"/>
            </w:tcBorders>
          </w:tcPr>
          <w:p>
            <w:pPr>
              <w:rPr>
                <w:sz w:val="2"/>
                <w:szCs w:val="2"/>
              </w:rPr>
            </w:pPr>
          </w:p>
        </w:tc>
      </w:tr>
    </w:tbl>
    <w:p>
      <w:pPr>
        <w:spacing w:after="0"/>
        <w:rPr>
          <w:sz w:val="2"/>
          <w:szCs w:val="2"/>
        </w:rPr>
      </w:pPr>
      <w:r>
        <w:rPr>
          <w:sz w:val="2"/>
          <w:szCs w:val="2"/>
        </w:rPr>
        <w:br/>
      </w:r>
      <w:r>
        <w:rPr>
          <w:sz w:val="2"/>
          <w:szCs w:val="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3" w:history="1">
        <w:r>
          <w:rPr>
            <w:rFonts w:ascii="SimSun" w:eastAsia="SimSun" w:hAnsi="SimSun" w:cs="SimSun"/>
            <w:b/>
            <w:bCs/>
            <w:color w:val="0000EE"/>
            <w:sz w:val="30"/>
            <w:szCs w:val="30"/>
            <w:u w:val="single" w:color="0000EE"/>
          </w:rPr>
          <w:t>https://d.book118.com/398131001065006043</w:t>
        </w:r>
      </w:hyperlink>
    </w:p>
    <w:p>
      <w:pPr>
        <w:spacing w:after="0"/>
        <w:rPr>
          <w:sz w:val="2"/>
          <w:szCs w:val="2"/>
        </w:rPr>
      </w:pPr>
    </w:p>
    <w:sectPr>
      <w:footerReference w:type="default" r:id="rId24"/>
      <w:pgSz w:w="11910" w:h="16840"/>
      <w:pgMar w:top="1320" w:right="880" w:bottom="1120" w:left="1180" w:header="0" w:footer="927"/>
      <w:pgNumType w:start="1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Microsoft YaHei UI">
    <w:altName w:val="Microsoft YaHei UI"/>
    <w:charset w:val="86"/>
    <w:family w:val="swiss"/>
    <w:pitch w:val="variable"/>
    <w:sig w:usb0="00000000" w:usb1="00000000" w:usb2="00000000" w:usb3="00000000" w:csb0="00040000" w:csb1="00000000"/>
  </w:font>
  <w:font w:name="Malgun Gothic">
    <w:altName w:val="Malgun Gothic"/>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49" type="#_x0000_t202" style="width:16pt;height:12pt;margin-top:781.33pt;margin-left:294.83pt;mso-position-horizontal-relative:page;mso-position-vertical-relative:page;position:absolute;z-index:-251658240"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w:t>
                </w:r>
                <w:r>
                  <w:rPr>
                    <w:rFonts w:ascii="Times New Roman"/>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8" type="#_x0000_t202" style="width:16pt;height:12pt;margin-top:781.33pt;margin-left:294.83pt;mso-position-horizontal-relative:page;mso-position-vertical-relative:page;position:absolute;z-index:-251649024"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10</w:t>
                </w:r>
                <w:r>
                  <w:rPr>
                    <w:rFonts w:ascii="Times New Roman"/>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9" type="#_x0000_t202" style="width:16pt;height:12pt;margin-top:781.33pt;margin-left:294.83pt;mso-position-horizontal-relative:page;mso-position-vertical-relative:page;position:absolute;z-index:-251648000"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11</w:t>
                </w:r>
                <w:r>
                  <w:rPr>
                    <w:rFonts w:ascii="Times New Roman"/>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0" type="#_x0000_t202" style="width:16pt;height:12pt;margin-top:781.33pt;margin-left:294.83pt;mso-position-horizontal-relative:page;mso-position-vertical-relative:page;position:absolute;z-index:-251657216"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2</w:t>
                </w:r>
                <w:r>
                  <w:rPr>
                    <w:rFonts w:ascii="Times New Roman"/>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1" type="#_x0000_t202" style="width:16pt;height:12pt;margin-top:781.33pt;margin-left:294.83pt;mso-position-horizontal-relative:page;mso-position-vertical-relative:page;position:absolute;z-index:-251656192"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3</w:t>
                </w:r>
                <w:r>
                  <w:rPr>
                    <w:rFonts w:ascii="Times New Roman"/>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2" type="#_x0000_t202" style="width:16pt;height:12pt;margin-top:781.33pt;margin-left:294.83pt;mso-position-horizontal-relative:page;mso-position-vertical-relative:page;position:absolute;z-index:-251655168"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4</w:t>
                </w:r>
                <w:r>
                  <w:rPr>
                    <w:rFonts w:ascii="Times New Roman"/>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3" type="#_x0000_t202" style="width:16pt;height:12pt;margin-top:781.33pt;margin-left:294.83pt;mso-position-horizontal-relative:page;mso-position-vertical-relative:page;position:absolute;z-index:-251654144"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5</w:t>
                </w:r>
                <w:r>
                  <w:rPr>
                    <w:rFonts w:ascii="Times New Roman"/>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4" type="#_x0000_t202" style="width:16pt;height:12pt;margin-top:781.33pt;margin-left:294.83pt;mso-position-horizontal-relative:page;mso-position-vertical-relative:page;position:absolute;z-index:-251653120"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6</w:t>
                </w:r>
                <w:r>
                  <w:rPr>
                    <w:rFonts w:ascii="Times New Roman"/>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5" type="#_x0000_t202" style="width:16pt;height:12pt;margin-top:781.33pt;margin-left:294.83pt;mso-position-horizontal-relative:page;mso-position-vertical-relative:page;position:absolute;z-index:-251652096"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7</w:t>
                </w:r>
                <w:r>
                  <w:rPr>
                    <w:rFonts w:ascii="Times New Roman"/>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6" type="#_x0000_t202" style="width:16pt;height:12pt;margin-top:781.33pt;margin-left:294.83pt;mso-position-horizontal-relative:page;mso-position-vertical-relative:page;position:absolute;z-index:-251651072"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8</w:t>
                </w:r>
                <w:r>
                  <w:rPr>
                    <w:rFonts w:ascii="Times New Roman"/>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4"/>
      </w:rPr>
    </w:pPr>
    <w:r>
      <w:pict>
        <v:shapetype id="_x0000_t202" coordsize="21600,21600" o:spt="202" path="m,l,21600r21600,l21600,xe">
          <v:stroke joinstyle="miter"/>
          <v:path gradientshapeok="t" o:connecttype="rect"/>
        </v:shapetype>
        <v:shape id="_x0000_s2057" type="#_x0000_t202" style="width:16pt;height:12pt;margin-top:781.33pt;margin-left:294.83pt;mso-position-horizontal-relative:page;mso-position-vertical-relative:page;position:absolute;z-index:-251650048" filled="f" stroked="f">
          <v:textbox inset="0,0,0,0">
            <w:txbxContent>
              <w:p>
                <w:pPr>
                  <w:spacing w:before="12"/>
                  <w:ind w:left="60" w:right="0" w:firstLine="0"/>
                  <w:jc w:val="left"/>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Pr>
                    <w:rFonts w:ascii="Times New Roman"/>
                    <w:spacing w:val="-5"/>
                    <w:sz w:val="18"/>
                  </w:rPr>
                  <w:t>9</w:t>
                </w:r>
                <w:r>
                  <w:rPr>
                    <w:rFonts w:ascii="Times New Roman"/>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1E4B20"/>
    <w:multiLevelType w:val="hybridMultilevel"/>
    <w:tmpl w:val="00000000"/>
    <w:lvl w:ilvl="0">
      <w:start w:val="1"/>
      <w:numFmt w:val="decimal"/>
      <w:lvlText w:val="（%1）"/>
      <w:lvlJc w:val="left"/>
      <w:pPr>
        <w:ind w:left="294" w:hanging="701"/>
        <w:jc w:val="left"/>
      </w:pPr>
      <w:rPr>
        <w:rFonts w:ascii="宋体" w:eastAsia="宋体" w:hAnsi="宋体" w:cs="宋体" w:hint="default"/>
        <w:b w:val="0"/>
        <w:bCs w:val="0"/>
        <w:i w:val="0"/>
        <w:iCs w:val="0"/>
        <w:spacing w:val="-24"/>
        <w:w w:val="100"/>
        <w:sz w:val="26"/>
        <w:szCs w:val="26"/>
        <w:lang w:val="en-US" w:eastAsia="zh-CN" w:bidi="ar-SA"/>
      </w:rPr>
    </w:lvl>
    <w:lvl w:ilvl="1">
      <w:start w:val="1"/>
      <w:numFmt w:val="decimal"/>
      <w:lvlText w:val="（%2）"/>
      <w:lvlJc w:val="left"/>
      <w:pPr>
        <w:ind w:left="1555" w:hanging="701"/>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2480" w:hanging="701"/>
      </w:pPr>
      <w:rPr>
        <w:rFonts w:hint="default"/>
        <w:lang w:val="en-US" w:eastAsia="zh-CN" w:bidi="ar-SA"/>
      </w:rPr>
    </w:lvl>
    <w:lvl w:ilvl="3">
      <w:start w:val="0"/>
      <w:numFmt w:val="bullet"/>
      <w:lvlText w:val="•"/>
      <w:lvlJc w:val="left"/>
      <w:pPr>
        <w:ind w:left="3401" w:hanging="701"/>
      </w:pPr>
      <w:rPr>
        <w:rFonts w:hint="default"/>
        <w:lang w:val="en-US" w:eastAsia="zh-CN" w:bidi="ar-SA"/>
      </w:rPr>
    </w:lvl>
    <w:lvl w:ilvl="4">
      <w:start w:val="0"/>
      <w:numFmt w:val="bullet"/>
      <w:lvlText w:val="•"/>
      <w:lvlJc w:val="left"/>
      <w:pPr>
        <w:ind w:left="4322" w:hanging="701"/>
      </w:pPr>
      <w:rPr>
        <w:rFonts w:hint="default"/>
        <w:lang w:val="en-US" w:eastAsia="zh-CN" w:bidi="ar-SA"/>
      </w:rPr>
    </w:lvl>
    <w:lvl w:ilvl="5">
      <w:start w:val="0"/>
      <w:numFmt w:val="bullet"/>
      <w:lvlText w:val="•"/>
      <w:lvlJc w:val="left"/>
      <w:pPr>
        <w:ind w:left="5242" w:hanging="701"/>
      </w:pPr>
      <w:rPr>
        <w:rFonts w:hint="default"/>
        <w:lang w:val="en-US" w:eastAsia="zh-CN" w:bidi="ar-SA"/>
      </w:rPr>
    </w:lvl>
    <w:lvl w:ilvl="6">
      <w:start w:val="0"/>
      <w:numFmt w:val="bullet"/>
      <w:lvlText w:val="•"/>
      <w:lvlJc w:val="left"/>
      <w:pPr>
        <w:ind w:left="6163" w:hanging="701"/>
      </w:pPr>
      <w:rPr>
        <w:rFonts w:hint="default"/>
        <w:lang w:val="en-US" w:eastAsia="zh-CN" w:bidi="ar-SA"/>
      </w:rPr>
    </w:lvl>
    <w:lvl w:ilvl="7">
      <w:start w:val="0"/>
      <w:numFmt w:val="bullet"/>
      <w:lvlText w:val="•"/>
      <w:lvlJc w:val="left"/>
      <w:pPr>
        <w:ind w:left="7084" w:hanging="701"/>
      </w:pPr>
      <w:rPr>
        <w:rFonts w:hint="default"/>
        <w:lang w:val="en-US" w:eastAsia="zh-CN" w:bidi="ar-SA"/>
      </w:rPr>
    </w:lvl>
    <w:lvl w:ilvl="8">
      <w:start w:val="0"/>
      <w:numFmt w:val="bullet"/>
      <w:lvlText w:val="•"/>
      <w:lvlJc w:val="left"/>
      <w:pPr>
        <w:ind w:left="8004" w:hanging="701"/>
      </w:pPr>
      <w:rPr>
        <w:rFonts w:hint="default"/>
        <w:lang w:val="en-US" w:eastAsia="zh-CN" w:bidi="ar-SA"/>
      </w:rPr>
    </w:lvl>
  </w:abstractNum>
  <w:abstractNum w:abstractNumId="1">
    <w:nsid w:val="14442901"/>
    <w:multiLevelType w:val="hybridMultilevel"/>
    <w:tmpl w:val="00000000"/>
    <w:lvl w:ilvl="0">
      <w:start w:val="1"/>
      <w:numFmt w:val="decimal"/>
      <w:lvlText w:val="（%1）"/>
      <w:lvlJc w:val="left"/>
      <w:pPr>
        <w:ind w:left="1614" w:hanging="840"/>
        <w:jc w:val="left"/>
      </w:pPr>
      <w:rPr>
        <w:rFonts w:ascii="宋体" w:eastAsia="宋体" w:hAnsi="宋体" w:cs="宋体" w:hint="default"/>
        <w:b w:val="0"/>
        <w:bCs w:val="0"/>
        <w:i w:val="0"/>
        <w:iCs w:val="0"/>
        <w:w w:val="100"/>
        <w:sz w:val="28"/>
        <w:szCs w:val="28"/>
        <w:lang w:val="en-US" w:eastAsia="zh-CN" w:bidi="ar-SA"/>
      </w:rPr>
    </w:lvl>
    <w:lvl w:ilvl="1">
      <w:start w:val="1"/>
      <w:numFmt w:val="decimal"/>
      <w:lvlText w:val="%2."/>
      <w:lvlJc w:val="left"/>
      <w:pPr>
        <w:ind w:left="1275" w:hanging="421"/>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2534" w:hanging="421"/>
      </w:pPr>
      <w:rPr>
        <w:rFonts w:hint="default"/>
        <w:lang w:val="en-US" w:eastAsia="zh-CN" w:bidi="ar-SA"/>
      </w:rPr>
    </w:lvl>
    <w:lvl w:ilvl="3">
      <w:start w:val="0"/>
      <w:numFmt w:val="bullet"/>
      <w:lvlText w:val="•"/>
      <w:lvlJc w:val="left"/>
      <w:pPr>
        <w:ind w:left="3448" w:hanging="421"/>
      </w:pPr>
      <w:rPr>
        <w:rFonts w:hint="default"/>
        <w:lang w:val="en-US" w:eastAsia="zh-CN" w:bidi="ar-SA"/>
      </w:rPr>
    </w:lvl>
    <w:lvl w:ilvl="4">
      <w:start w:val="0"/>
      <w:numFmt w:val="bullet"/>
      <w:lvlText w:val="•"/>
      <w:lvlJc w:val="left"/>
      <w:pPr>
        <w:ind w:left="4362" w:hanging="421"/>
      </w:pPr>
      <w:rPr>
        <w:rFonts w:hint="default"/>
        <w:lang w:val="en-US" w:eastAsia="zh-CN" w:bidi="ar-SA"/>
      </w:rPr>
    </w:lvl>
    <w:lvl w:ilvl="5">
      <w:start w:val="0"/>
      <w:numFmt w:val="bullet"/>
      <w:lvlText w:val="•"/>
      <w:lvlJc w:val="left"/>
      <w:pPr>
        <w:ind w:left="5276" w:hanging="421"/>
      </w:pPr>
      <w:rPr>
        <w:rFonts w:hint="default"/>
        <w:lang w:val="en-US" w:eastAsia="zh-CN" w:bidi="ar-SA"/>
      </w:rPr>
    </w:lvl>
    <w:lvl w:ilvl="6">
      <w:start w:val="0"/>
      <w:numFmt w:val="bullet"/>
      <w:lvlText w:val="•"/>
      <w:lvlJc w:val="left"/>
      <w:pPr>
        <w:ind w:left="6190" w:hanging="421"/>
      </w:pPr>
      <w:rPr>
        <w:rFonts w:hint="default"/>
        <w:lang w:val="en-US" w:eastAsia="zh-CN" w:bidi="ar-SA"/>
      </w:rPr>
    </w:lvl>
    <w:lvl w:ilvl="7">
      <w:start w:val="0"/>
      <w:numFmt w:val="bullet"/>
      <w:lvlText w:val="•"/>
      <w:lvlJc w:val="left"/>
      <w:pPr>
        <w:ind w:left="7104" w:hanging="421"/>
      </w:pPr>
      <w:rPr>
        <w:rFonts w:hint="default"/>
        <w:lang w:val="en-US" w:eastAsia="zh-CN" w:bidi="ar-SA"/>
      </w:rPr>
    </w:lvl>
    <w:lvl w:ilvl="8">
      <w:start w:val="0"/>
      <w:numFmt w:val="bullet"/>
      <w:lvlText w:val="•"/>
      <w:lvlJc w:val="left"/>
      <w:pPr>
        <w:ind w:left="8018" w:hanging="421"/>
      </w:pPr>
      <w:rPr>
        <w:rFonts w:hint="default"/>
        <w:lang w:val="en-US" w:eastAsia="zh-CN" w:bidi="ar-SA"/>
      </w:rPr>
    </w:lvl>
  </w:abstractNum>
  <w:abstractNum w:abstractNumId="2">
    <w:nsid w:val="1DEFE34F"/>
    <w:multiLevelType w:val="hybridMultilevel"/>
    <w:tmpl w:val="00000000"/>
    <w:lvl w:ilvl="0">
      <w:start w:val="2"/>
      <w:numFmt w:val="decimal"/>
      <w:lvlText w:val="%1"/>
      <w:lvlJc w:val="left"/>
      <w:pPr>
        <w:ind w:left="714" w:hanging="420"/>
        <w:jc w:val="left"/>
      </w:pPr>
      <w:rPr>
        <w:rFonts w:ascii="宋体" w:eastAsia="宋体" w:hAnsi="宋体" w:cs="宋体" w:hint="default"/>
        <w:b w:val="0"/>
        <w:bCs w:val="0"/>
        <w:i w:val="0"/>
        <w:iCs w:val="0"/>
        <w:w w:val="100"/>
        <w:sz w:val="28"/>
        <w:szCs w:val="28"/>
        <w:lang w:val="en-US" w:eastAsia="zh-CN" w:bidi="ar-SA"/>
      </w:rPr>
    </w:lvl>
    <w:lvl w:ilvl="1">
      <w:start w:val="0"/>
      <w:numFmt w:val="bullet"/>
      <w:lvlText w:val="•"/>
      <w:lvlJc w:val="left"/>
      <w:pPr>
        <w:ind w:left="1632" w:hanging="420"/>
      </w:pPr>
      <w:rPr>
        <w:rFonts w:hint="default"/>
        <w:lang w:val="en-US" w:eastAsia="zh-CN" w:bidi="ar-SA"/>
      </w:rPr>
    </w:lvl>
    <w:lvl w:ilvl="2">
      <w:start w:val="0"/>
      <w:numFmt w:val="bullet"/>
      <w:lvlText w:val="•"/>
      <w:lvlJc w:val="left"/>
      <w:pPr>
        <w:ind w:left="2545" w:hanging="420"/>
      </w:pPr>
      <w:rPr>
        <w:rFonts w:hint="default"/>
        <w:lang w:val="en-US" w:eastAsia="zh-CN" w:bidi="ar-SA"/>
      </w:rPr>
    </w:lvl>
    <w:lvl w:ilvl="3">
      <w:start w:val="0"/>
      <w:numFmt w:val="bullet"/>
      <w:lvlText w:val="•"/>
      <w:lvlJc w:val="left"/>
      <w:pPr>
        <w:ind w:left="3457" w:hanging="420"/>
      </w:pPr>
      <w:rPr>
        <w:rFonts w:hint="default"/>
        <w:lang w:val="en-US" w:eastAsia="zh-CN" w:bidi="ar-SA"/>
      </w:rPr>
    </w:lvl>
    <w:lvl w:ilvl="4">
      <w:start w:val="0"/>
      <w:numFmt w:val="bullet"/>
      <w:lvlText w:val="•"/>
      <w:lvlJc w:val="left"/>
      <w:pPr>
        <w:ind w:left="4370" w:hanging="420"/>
      </w:pPr>
      <w:rPr>
        <w:rFonts w:hint="default"/>
        <w:lang w:val="en-US" w:eastAsia="zh-CN" w:bidi="ar-SA"/>
      </w:rPr>
    </w:lvl>
    <w:lvl w:ilvl="5">
      <w:start w:val="0"/>
      <w:numFmt w:val="bullet"/>
      <w:lvlText w:val="•"/>
      <w:lvlJc w:val="left"/>
      <w:pPr>
        <w:ind w:left="5283" w:hanging="420"/>
      </w:pPr>
      <w:rPr>
        <w:rFonts w:hint="default"/>
        <w:lang w:val="en-US" w:eastAsia="zh-CN" w:bidi="ar-SA"/>
      </w:rPr>
    </w:lvl>
    <w:lvl w:ilvl="6">
      <w:start w:val="0"/>
      <w:numFmt w:val="bullet"/>
      <w:lvlText w:val="•"/>
      <w:lvlJc w:val="left"/>
      <w:pPr>
        <w:ind w:left="6195" w:hanging="420"/>
      </w:pPr>
      <w:rPr>
        <w:rFonts w:hint="default"/>
        <w:lang w:val="en-US" w:eastAsia="zh-CN" w:bidi="ar-SA"/>
      </w:rPr>
    </w:lvl>
    <w:lvl w:ilvl="7">
      <w:start w:val="0"/>
      <w:numFmt w:val="bullet"/>
      <w:lvlText w:val="•"/>
      <w:lvlJc w:val="left"/>
      <w:pPr>
        <w:ind w:left="7108" w:hanging="420"/>
      </w:pPr>
      <w:rPr>
        <w:rFonts w:hint="default"/>
        <w:lang w:val="en-US" w:eastAsia="zh-CN" w:bidi="ar-SA"/>
      </w:rPr>
    </w:lvl>
    <w:lvl w:ilvl="8">
      <w:start w:val="0"/>
      <w:numFmt w:val="bullet"/>
      <w:lvlText w:val="•"/>
      <w:lvlJc w:val="left"/>
      <w:pPr>
        <w:ind w:left="8020" w:hanging="420"/>
      </w:pPr>
      <w:rPr>
        <w:rFonts w:hint="default"/>
        <w:lang w:val="en-US" w:eastAsia="zh-CN" w:bidi="ar-SA"/>
      </w:rPr>
    </w:lvl>
  </w:abstractNum>
  <w:abstractNum w:abstractNumId="3">
    <w:nsid w:val="2579A1E4"/>
    <w:multiLevelType w:val="hybridMultilevel"/>
    <w:tmpl w:val="00000000"/>
    <w:lvl w:ilvl="0">
      <w:start w:val="1"/>
      <w:numFmt w:val="decimal"/>
      <w:lvlText w:val="（%1）"/>
      <w:lvlJc w:val="left"/>
      <w:pPr>
        <w:ind w:left="1614" w:hanging="840"/>
        <w:jc w:val="left"/>
      </w:pPr>
      <w:rPr>
        <w:rFonts w:ascii="宋体" w:eastAsia="宋体" w:hAnsi="宋体" w:cs="宋体" w:hint="default"/>
        <w:b w:val="0"/>
        <w:bCs w:val="0"/>
        <w:i w:val="0"/>
        <w:iCs w:val="0"/>
        <w:w w:val="100"/>
        <w:sz w:val="28"/>
        <w:szCs w:val="28"/>
        <w:lang w:val="en-US" w:eastAsia="zh-CN" w:bidi="ar-SA"/>
      </w:rPr>
    </w:lvl>
    <w:lvl w:ilvl="1">
      <w:start w:val="1"/>
      <w:numFmt w:val="decimal"/>
      <w:lvlText w:val="%2."/>
      <w:lvlJc w:val="left"/>
      <w:pPr>
        <w:ind w:left="1275" w:hanging="421"/>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2534" w:hanging="421"/>
      </w:pPr>
      <w:rPr>
        <w:rFonts w:hint="default"/>
        <w:lang w:val="en-US" w:eastAsia="zh-CN" w:bidi="ar-SA"/>
      </w:rPr>
    </w:lvl>
    <w:lvl w:ilvl="3">
      <w:start w:val="0"/>
      <w:numFmt w:val="bullet"/>
      <w:lvlText w:val="•"/>
      <w:lvlJc w:val="left"/>
      <w:pPr>
        <w:ind w:left="3448" w:hanging="421"/>
      </w:pPr>
      <w:rPr>
        <w:rFonts w:hint="default"/>
        <w:lang w:val="en-US" w:eastAsia="zh-CN" w:bidi="ar-SA"/>
      </w:rPr>
    </w:lvl>
    <w:lvl w:ilvl="4">
      <w:start w:val="0"/>
      <w:numFmt w:val="bullet"/>
      <w:lvlText w:val="•"/>
      <w:lvlJc w:val="left"/>
      <w:pPr>
        <w:ind w:left="4362" w:hanging="421"/>
      </w:pPr>
      <w:rPr>
        <w:rFonts w:hint="default"/>
        <w:lang w:val="en-US" w:eastAsia="zh-CN" w:bidi="ar-SA"/>
      </w:rPr>
    </w:lvl>
    <w:lvl w:ilvl="5">
      <w:start w:val="0"/>
      <w:numFmt w:val="bullet"/>
      <w:lvlText w:val="•"/>
      <w:lvlJc w:val="left"/>
      <w:pPr>
        <w:ind w:left="5276" w:hanging="421"/>
      </w:pPr>
      <w:rPr>
        <w:rFonts w:hint="default"/>
        <w:lang w:val="en-US" w:eastAsia="zh-CN" w:bidi="ar-SA"/>
      </w:rPr>
    </w:lvl>
    <w:lvl w:ilvl="6">
      <w:start w:val="0"/>
      <w:numFmt w:val="bullet"/>
      <w:lvlText w:val="•"/>
      <w:lvlJc w:val="left"/>
      <w:pPr>
        <w:ind w:left="6190" w:hanging="421"/>
      </w:pPr>
      <w:rPr>
        <w:rFonts w:hint="default"/>
        <w:lang w:val="en-US" w:eastAsia="zh-CN" w:bidi="ar-SA"/>
      </w:rPr>
    </w:lvl>
    <w:lvl w:ilvl="7">
      <w:start w:val="0"/>
      <w:numFmt w:val="bullet"/>
      <w:lvlText w:val="•"/>
      <w:lvlJc w:val="left"/>
      <w:pPr>
        <w:ind w:left="7104" w:hanging="421"/>
      </w:pPr>
      <w:rPr>
        <w:rFonts w:hint="default"/>
        <w:lang w:val="en-US" w:eastAsia="zh-CN" w:bidi="ar-SA"/>
      </w:rPr>
    </w:lvl>
    <w:lvl w:ilvl="8">
      <w:start w:val="0"/>
      <w:numFmt w:val="bullet"/>
      <w:lvlText w:val="•"/>
      <w:lvlJc w:val="left"/>
      <w:pPr>
        <w:ind w:left="8018" w:hanging="421"/>
      </w:pPr>
      <w:rPr>
        <w:rFonts w:hint="default"/>
        <w:lang w:val="en-US" w:eastAsia="zh-CN" w:bidi="ar-SA"/>
      </w:rPr>
    </w:lvl>
  </w:abstractNum>
  <w:abstractNum w:abstractNumId="4">
    <w:nsid w:val="26887F35"/>
    <w:multiLevelType w:val="hybridMultilevel"/>
    <w:tmpl w:val="00000000"/>
    <w:lvl w:ilvl="0">
      <w:start w:val="1"/>
      <w:numFmt w:val="decimal"/>
      <w:lvlText w:val="%1"/>
      <w:lvlJc w:val="left"/>
      <w:pPr>
        <w:ind w:left="1040" w:hanging="327"/>
        <w:jc w:val="left"/>
      </w:pPr>
      <w:rPr>
        <w:rFonts w:ascii="Arial" w:eastAsia="Arial" w:hAnsi="Arial" w:cs="Arial" w:hint="default"/>
        <w:b w:val="0"/>
        <w:bCs w:val="0"/>
        <w:i w:val="0"/>
        <w:iCs w:val="0"/>
        <w:w w:val="100"/>
        <w:sz w:val="21"/>
        <w:szCs w:val="21"/>
        <w:lang w:val="en-US" w:eastAsia="zh-CN" w:bidi="ar-SA"/>
      </w:rPr>
    </w:lvl>
    <w:lvl w:ilvl="1">
      <w:start w:val="0"/>
      <w:numFmt w:val="bullet"/>
      <w:lvlText w:val="•"/>
      <w:lvlJc w:val="left"/>
      <w:pPr>
        <w:ind w:left="1920" w:hanging="327"/>
      </w:pPr>
      <w:rPr>
        <w:rFonts w:hint="default"/>
        <w:lang w:val="en-US" w:eastAsia="zh-CN" w:bidi="ar-SA"/>
      </w:rPr>
    </w:lvl>
    <w:lvl w:ilvl="2">
      <w:start w:val="0"/>
      <w:numFmt w:val="bullet"/>
      <w:lvlText w:val="•"/>
      <w:lvlJc w:val="left"/>
      <w:pPr>
        <w:ind w:left="2801" w:hanging="327"/>
      </w:pPr>
      <w:rPr>
        <w:rFonts w:hint="default"/>
        <w:lang w:val="en-US" w:eastAsia="zh-CN" w:bidi="ar-SA"/>
      </w:rPr>
    </w:lvl>
    <w:lvl w:ilvl="3">
      <w:start w:val="0"/>
      <w:numFmt w:val="bullet"/>
      <w:lvlText w:val="•"/>
      <w:lvlJc w:val="left"/>
      <w:pPr>
        <w:ind w:left="3681" w:hanging="327"/>
      </w:pPr>
      <w:rPr>
        <w:rFonts w:hint="default"/>
        <w:lang w:val="en-US" w:eastAsia="zh-CN" w:bidi="ar-SA"/>
      </w:rPr>
    </w:lvl>
    <w:lvl w:ilvl="4">
      <w:start w:val="0"/>
      <w:numFmt w:val="bullet"/>
      <w:lvlText w:val="•"/>
      <w:lvlJc w:val="left"/>
      <w:pPr>
        <w:ind w:left="4562" w:hanging="327"/>
      </w:pPr>
      <w:rPr>
        <w:rFonts w:hint="default"/>
        <w:lang w:val="en-US" w:eastAsia="zh-CN" w:bidi="ar-SA"/>
      </w:rPr>
    </w:lvl>
    <w:lvl w:ilvl="5">
      <w:start w:val="0"/>
      <w:numFmt w:val="bullet"/>
      <w:lvlText w:val="•"/>
      <w:lvlJc w:val="left"/>
      <w:pPr>
        <w:ind w:left="5443" w:hanging="327"/>
      </w:pPr>
      <w:rPr>
        <w:rFonts w:hint="default"/>
        <w:lang w:val="en-US" w:eastAsia="zh-CN" w:bidi="ar-SA"/>
      </w:rPr>
    </w:lvl>
    <w:lvl w:ilvl="6">
      <w:start w:val="0"/>
      <w:numFmt w:val="bullet"/>
      <w:lvlText w:val="•"/>
      <w:lvlJc w:val="left"/>
      <w:pPr>
        <w:ind w:left="6323" w:hanging="327"/>
      </w:pPr>
      <w:rPr>
        <w:rFonts w:hint="default"/>
        <w:lang w:val="en-US" w:eastAsia="zh-CN" w:bidi="ar-SA"/>
      </w:rPr>
    </w:lvl>
    <w:lvl w:ilvl="7">
      <w:start w:val="0"/>
      <w:numFmt w:val="bullet"/>
      <w:lvlText w:val="•"/>
      <w:lvlJc w:val="left"/>
      <w:pPr>
        <w:ind w:left="7204" w:hanging="327"/>
      </w:pPr>
      <w:rPr>
        <w:rFonts w:hint="default"/>
        <w:lang w:val="en-US" w:eastAsia="zh-CN" w:bidi="ar-SA"/>
      </w:rPr>
    </w:lvl>
    <w:lvl w:ilvl="8">
      <w:start w:val="0"/>
      <w:numFmt w:val="bullet"/>
      <w:lvlText w:val="•"/>
      <w:lvlJc w:val="left"/>
      <w:pPr>
        <w:ind w:left="8084" w:hanging="327"/>
      </w:pPr>
      <w:rPr>
        <w:rFonts w:hint="default"/>
        <w:lang w:val="en-US" w:eastAsia="zh-CN" w:bidi="ar-SA"/>
      </w:rPr>
    </w:lvl>
  </w:abstractNum>
  <w:abstractNum w:abstractNumId="5">
    <w:nsid w:val="271FFD0A"/>
    <w:multiLevelType w:val="hybridMultilevel"/>
    <w:tmpl w:val="00000000"/>
    <w:lvl w:ilvl="0">
      <w:start w:val="1"/>
      <w:numFmt w:val="decimal"/>
      <w:lvlText w:val="（%1）"/>
      <w:lvlJc w:val="left"/>
      <w:pPr>
        <w:ind w:left="533" w:hanging="701"/>
        <w:jc w:val="lef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470" w:hanging="701"/>
      </w:pPr>
      <w:rPr>
        <w:rFonts w:hint="default"/>
        <w:lang w:val="en-US" w:eastAsia="zh-CN" w:bidi="ar-SA"/>
      </w:rPr>
    </w:lvl>
    <w:lvl w:ilvl="2">
      <w:start w:val="0"/>
      <w:numFmt w:val="bullet"/>
      <w:lvlText w:val="•"/>
      <w:lvlJc w:val="left"/>
      <w:pPr>
        <w:ind w:left="2401" w:hanging="701"/>
      </w:pPr>
      <w:rPr>
        <w:rFonts w:hint="default"/>
        <w:lang w:val="en-US" w:eastAsia="zh-CN" w:bidi="ar-SA"/>
      </w:rPr>
    </w:lvl>
    <w:lvl w:ilvl="3">
      <w:start w:val="0"/>
      <w:numFmt w:val="bullet"/>
      <w:lvlText w:val="•"/>
      <w:lvlJc w:val="left"/>
      <w:pPr>
        <w:ind w:left="3331" w:hanging="701"/>
      </w:pPr>
      <w:rPr>
        <w:rFonts w:hint="default"/>
        <w:lang w:val="en-US" w:eastAsia="zh-CN" w:bidi="ar-SA"/>
      </w:rPr>
    </w:lvl>
    <w:lvl w:ilvl="4">
      <w:start w:val="0"/>
      <w:numFmt w:val="bullet"/>
      <w:lvlText w:val="•"/>
      <w:lvlJc w:val="left"/>
      <w:pPr>
        <w:ind w:left="4262" w:hanging="701"/>
      </w:pPr>
      <w:rPr>
        <w:rFonts w:hint="default"/>
        <w:lang w:val="en-US" w:eastAsia="zh-CN" w:bidi="ar-SA"/>
      </w:rPr>
    </w:lvl>
    <w:lvl w:ilvl="5">
      <w:start w:val="0"/>
      <w:numFmt w:val="bullet"/>
      <w:lvlText w:val="•"/>
      <w:lvlJc w:val="left"/>
      <w:pPr>
        <w:ind w:left="5193" w:hanging="701"/>
      </w:pPr>
      <w:rPr>
        <w:rFonts w:hint="default"/>
        <w:lang w:val="en-US" w:eastAsia="zh-CN" w:bidi="ar-SA"/>
      </w:rPr>
    </w:lvl>
    <w:lvl w:ilvl="6">
      <w:start w:val="0"/>
      <w:numFmt w:val="bullet"/>
      <w:lvlText w:val="•"/>
      <w:lvlJc w:val="left"/>
      <w:pPr>
        <w:ind w:left="6123" w:hanging="701"/>
      </w:pPr>
      <w:rPr>
        <w:rFonts w:hint="default"/>
        <w:lang w:val="en-US" w:eastAsia="zh-CN" w:bidi="ar-SA"/>
      </w:rPr>
    </w:lvl>
    <w:lvl w:ilvl="7">
      <w:start w:val="0"/>
      <w:numFmt w:val="bullet"/>
      <w:lvlText w:val="•"/>
      <w:lvlJc w:val="left"/>
      <w:pPr>
        <w:ind w:left="7054" w:hanging="701"/>
      </w:pPr>
      <w:rPr>
        <w:rFonts w:hint="default"/>
        <w:lang w:val="en-US" w:eastAsia="zh-CN" w:bidi="ar-SA"/>
      </w:rPr>
    </w:lvl>
    <w:lvl w:ilvl="8">
      <w:start w:val="0"/>
      <w:numFmt w:val="bullet"/>
      <w:lvlText w:val="•"/>
      <w:lvlJc w:val="left"/>
      <w:pPr>
        <w:ind w:left="7984" w:hanging="701"/>
      </w:pPr>
      <w:rPr>
        <w:rFonts w:hint="default"/>
        <w:lang w:val="en-US" w:eastAsia="zh-CN" w:bidi="ar-SA"/>
      </w:rPr>
    </w:lvl>
  </w:abstractNum>
  <w:abstractNum w:abstractNumId="6">
    <w:nsid w:val="27C94F18"/>
    <w:multiLevelType w:val="hybridMultilevel"/>
    <w:tmpl w:val="00000000"/>
    <w:lvl w:ilvl="0">
      <w:start w:val="1"/>
      <w:numFmt w:val="decimal"/>
      <w:lvlText w:val="%1."/>
      <w:lvlJc w:val="left"/>
      <w:pPr>
        <w:ind w:left="766"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263"/>
      </w:pPr>
      <w:rPr>
        <w:rFonts w:hint="default"/>
        <w:lang w:val="en-US" w:eastAsia="zh-CN" w:bidi="ar-SA"/>
      </w:rPr>
    </w:lvl>
    <w:lvl w:ilvl="2">
      <w:start w:val="0"/>
      <w:numFmt w:val="bullet"/>
      <w:lvlText w:val="•"/>
      <w:lvlJc w:val="left"/>
      <w:pPr>
        <w:ind w:left="2577" w:hanging="263"/>
      </w:pPr>
      <w:rPr>
        <w:rFonts w:hint="default"/>
        <w:lang w:val="en-US" w:eastAsia="zh-CN" w:bidi="ar-SA"/>
      </w:rPr>
    </w:lvl>
    <w:lvl w:ilvl="3">
      <w:start w:val="0"/>
      <w:numFmt w:val="bullet"/>
      <w:lvlText w:val="•"/>
      <w:lvlJc w:val="left"/>
      <w:pPr>
        <w:ind w:left="3485" w:hanging="263"/>
      </w:pPr>
      <w:rPr>
        <w:rFonts w:hint="default"/>
        <w:lang w:val="en-US" w:eastAsia="zh-CN" w:bidi="ar-SA"/>
      </w:rPr>
    </w:lvl>
    <w:lvl w:ilvl="4">
      <w:start w:val="0"/>
      <w:numFmt w:val="bullet"/>
      <w:lvlText w:val="•"/>
      <w:lvlJc w:val="left"/>
      <w:pPr>
        <w:ind w:left="4394" w:hanging="263"/>
      </w:pPr>
      <w:rPr>
        <w:rFonts w:hint="default"/>
        <w:lang w:val="en-US" w:eastAsia="zh-CN" w:bidi="ar-SA"/>
      </w:rPr>
    </w:lvl>
    <w:lvl w:ilvl="5">
      <w:start w:val="0"/>
      <w:numFmt w:val="bullet"/>
      <w:lvlText w:val="•"/>
      <w:lvlJc w:val="left"/>
      <w:pPr>
        <w:ind w:left="5303" w:hanging="263"/>
      </w:pPr>
      <w:rPr>
        <w:rFonts w:hint="default"/>
        <w:lang w:val="en-US" w:eastAsia="zh-CN" w:bidi="ar-SA"/>
      </w:rPr>
    </w:lvl>
    <w:lvl w:ilvl="6">
      <w:start w:val="0"/>
      <w:numFmt w:val="bullet"/>
      <w:lvlText w:val="•"/>
      <w:lvlJc w:val="left"/>
      <w:pPr>
        <w:ind w:left="6211" w:hanging="263"/>
      </w:pPr>
      <w:rPr>
        <w:rFonts w:hint="default"/>
        <w:lang w:val="en-US" w:eastAsia="zh-CN" w:bidi="ar-SA"/>
      </w:rPr>
    </w:lvl>
    <w:lvl w:ilvl="7">
      <w:start w:val="0"/>
      <w:numFmt w:val="bullet"/>
      <w:lvlText w:val="•"/>
      <w:lvlJc w:val="left"/>
      <w:pPr>
        <w:ind w:left="7120" w:hanging="263"/>
      </w:pPr>
      <w:rPr>
        <w:rFonts w:hint="default"/>
        <w:lang w:val="en-US" w:eastAsia="zh-CN" w:bidi="ar-SA"/>
      </w:rPr>
    </w:lvl>
    <w:lvl w:ilvl="8">
      <w:start w:val="0"/>
      <w:numFmt w:val="bullet"/>
      <w:lvlText w:val="•"/>
      <w:lvlJc w:val="left"/>
      <w:pPr>
        <w:ind w:left="8028" w:hanging="263"/>
      </w:pPr>
      <w:rPr>
        <w:rFonts w:hint="default"/>
        <w:lang w:val="en-US" w:eastAsia="zh-CN" w:bidi="ar-SA"/>
      </w:rPr>
    </w:lvl>
  </w:abstractNum>
  <w:abstractNum w:abstractNumId="7">
    <w:nsid w:val="2AED0AB9"/>
    <w:multiLevelType w:val="hybridMultilevel"/>
    <w:tmpl w:val="00000000"/>
    <w:lvl w:ilvl="0">
      <w:start w:val="1"/>
      <w:numFmt w:val="decimal"/>
      <w:lvlText w:val="%1."/>
      <w:lvlJc w:val="left"/>
      <w:pPr>
        <w:ind w:left="766"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263"/>
      </w:pPr>
      <w:rPr>
        <w:rFonts w:hint="default"/>
        <w:lang w:val="en-US" w:eastAsia="zh-CN" w:bidi="ar-SA"/>
      </w:rPr>
    </w:lvl>
    <w:lvl w:ilvl="2">
      <w:start w:val="0"/>
      <w:numFmt w:val="bullet"/>
      <w:lvlText w:val="•"/>
      <w:lvlJc w:val="left"/>
      <w:pPr>
        <w:ind w:left="2577" w:hanging="263"/>
      </w:pPr>
      <w:rPr>
        <w:rFonts w:hint="default"/>
        <w:lang w:val="en-US" w:eastAsia="zh-CN" w:bidi="ar-SA"/>
      </w:rPr>
    </w:lvl>
    <w:lvl w:ilvl="3">
      <w:start w:val="0"/>
      <w:numFmt w:val="bullet"/>
      <w:lvlText w:val="•"/>
      <w:lvlJc w:val="left"/>
      <w:pPr>
        <w:ind w:left="3485" w:hanging="263"/>
      </w:pPr>
      <w:rPr>
        <w:rFonts w:hint="default"/>
        <w:lang w:val="en-US" w:eastAsia="zh-CN" w:bidi="ar-SA"/>
      </w:rPr>
    </w:lvl>
    <w:lvl w:ilvl="4">
      <w:start w:val="0"/>
      <w:numFmt w:val="bullet"/>
      <w:lvlText w:val="•"/>
      <w:lvlJc w:val="left"/>
      <w:pPr>
        <w:ind w:left="4394" w:hanging="263"/>
      </w:pPr>
      <w:rPr>
        <w:rFonts w:hint="default"/>
        <w:lang w:val="en-US" w:eastAsia="zh-CN" w:bidi="ar-SA"/>
      </w:rPr>
    </w:lvl>
    <w:lvl w:ilvl="5">
      <w:start w:val="0"/>
      <w:numFmt w:val="bullet"/>
      <w:lvlText w:val="•"/>
      <w:lvlJc w:val="left"/>
      <w:pPr>
        <w:ind w:left="5303" w:hanging="263"/>
      </w:pPr>
      <w:rPr>
        <w:rFonts w:hint="default"/>
        <w:lang w:val="en-US" w:eastAsia="zh-CN" w:bidi="ar-SA"/>
      </w:rPr>
    </w:lvl>
    <w:lvl w:ilvl="6">
      <w:start w:val="0"/>
      <w:numFmt w:val="bullet"/>
      <w:lvlText w:val="•"/>
      <w:lvlJc w:val="left"/>
      <w:pPr>
        <w:ind w:left="6211" w:hanging="263"/>
      </w:pPr>
      <w:rPr>
        <w:rFonts w:hint="default"/>
        <w:lang w:val="en-US" w:eastAsia="zh-CN" w:bidi="ar-SA"/>
      </w:rPr>
    </w:lvl>
    <w:lvl w:ilvl="7">
      <w:start w:val="0"/>
      <w:numFmt w:val="bullet"/>
      <w:lvlText w:val="•"/>
      <w:lvlJc w:val="left"/>
      <w:pPr>
        <w:ind w:left="7120" w:hanging="263"/>
      </w:pPr>
      <w:rPr>
        <w:rFonts w:hint="default"/>
        <w:lang w:val="en-US" w:eastAsia="zh-CN" w:bidi="ar-SA"/>
      </w:rPr>
    </w:lvl>
    <w:lvl w:ilvl="8">
      <w:start w:val="0"/>
      <w:numFmt w:val="bullet"/>
      <w:lvlText w:val="•"/>
      <w:lvlJc w:val="left"/>
      <w:pPr>
        <w:ind w:left="8028" w:hanging="263"/>
      </w:pPr>
      <w:rPr>
        <w:rFonts w:hint="default"/>
        <w:lang w:val="en-US" w:eastAsia="zh-CN" w:bidi="ar-SA"/>
      </w:rPr>
    </w:lvl>
  </w:abstractNum>
  <w:abstractNum w:abstractNumId="8">
    <w:nsid w:val="2EC1FE61"/>
    <w:multiLevelType w:val="hybridMultilevel"/>
    <w:tmpl w:val="00000000"/>
    <w:lvl w:ilvl="0">
      <w:start w:val="1"/>
      <w:numFmt w:val="decimal"/>
      <w:lvlText w:val="%1"/>
      <w:lvlJc w:val="left"/>
      <w:pPr>
        <w:ind w:left="504"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34" w:hanging="210"/>
      </w:pPr>
      <w:rPr>
        <w:rFonts w:hint="default"/>
        <w:lang w:val="en-US" w:eastAsia="zh-CN" w:bidi="ar-SA"/>
      </w:rPr>
    </w:lvl>
    <w:lvl w:ilvl="2">
      <w:start w:val="0"/>
      <w:numFmt w:val="bullet"/>
      <w:lvlText w:val="•"/>
      <w:lvlJc w:val="left"/>
      <w:pPr>
        <w:ind w:left="2369" w:hanging="210"/>
      </w:pPr>
      <w:rPr>
        <w:rFonts w:hint="default"/>
        <w:lang w:val="en-US" w:eastAsia="zh-CN" w:bidi="ar-SA"/>
      </w:rPr>
    </w:lvl>
    <w:lvl w:ilvl="3">
      <w:start w:val="0"/>
      <w:numFmt w:val="bullet"/>
      <w:lvlText w:val="•"/>
      <w:lvlJc w:val="left"/>
      <w:pPr>
        <w:ind w:left="3303" w:hanging="210"/>
      </w:pPr>
      <w:rPr>
        <w:rFonts w:hint="default"/>
        <w:lang w:val="en-US" w:eastAsia="zh-CN" w:bidi="ar-SA"/>
      </w:rPr>
    </w:lvl>
    <w:lvl w:ilvl="4">
      <w:start w:val="0"/>
      <w:numFmt w:val="bullet"/>
      <w:lvlText w:val="•"/>
      <w:lvlJc w:val="left"/>
      <w:pPr>
        <w:ind w:left="4238" w:hanging="210"/>
      </w:pPr>
      <w:rPr>
        <w:rFonts w:hint="default"/>
        <w:lang w:val="en-US" w:eastAsia="zh-CN" w:bidi="ar-SA"/>
      </w:rPr>
    </w:lvl>
    <w:lvl w:ilvl="5">
      <w:start w:val="0"/>
      <w:numFmt w:val="bullet"/>
      <w:lvlText w:val="•"/>
      <w:lvlJc w:val="left"/>
      <w:pPr>
        <w:ind w:left="5173" w:hanging="210"/>
      </w:pPr>
      <w:rPr>
        <w:rFonts w:hint="default"/>
        <w:lang w:val="en-US" w:eastAsia="zh-CN" w:bidi="ar-SA"/>
      </w:rPr>
    </w:lvl>
    <w:lvl w:ilvl="6">
      <w:start w:val="0"/>
      <w:numFmt w:val="bullet"/>
      <w:lvlText w:val="•"/>
      <w:lvlJc w:val="left"/>
      <w:pPr>
        <w:ind w:left="6107" w:hanging="210"/>
      </w:pPr>
      <w:rPr>
        <w:rFonts w:hint="default"/>
        <w:lang w:val="en-US" w:eastAsia="zh-CN" w:bidi="ar-SA"/>
      </w:rPr>
    </w:lvl>
    <w:lvl w:ilvl="7">
      <w:start w:val="0"/>
      <w:numFmt w:val="bullet"/>
      <w:lvlText w:val="•"/>
      <w:lvlJc w:val="left"/>
      <w:pPr>
        <w:ind w:left="7042" w:hanging="210"/>
      </w:pPr>
      <w:rPr>
        <w:rFonts w:hint="default"/>
        <w:lang w:val="en-US" w:eastAsia="zh-CN" w:bidi="ar-SA"/>
      </w:rPr>
    </w:lvl>
    <w:lvl w:ilvl="8">
      <w:start w:val="0"/>
      <w:numFmt w:val="bullet"/>
      <w:lvlText w:val="•"/>
      <w:lvlJc w:val="left"/>
      <w:pPr>
        <w:ind w:left="7976" w:hanging="210"/>
      </w:pPr>
      <w:rPr>
        <w:rFonts w:hint="default"/>
        <w:lang w:val="en-US" w:eastAsia="zh-CN" w:bidi="ar-SA"/>
      </w:rPr>
    </w:lvl>
  </w:abstractNum>
  <w:abstractNum w:abstractNumId="9">
    <w:nsid w:val="311B2DA4"/>
    <w:multiLevelType w:val="hybridMultilevel"/>
    <w:tmpl w:val="00000000"/>
    <w:lvl w:ilvl="0">
      <w:start w:val="1"/>
      <w:numFmt w:val="decimal"/>
      <w:lvlText w:val="%1."/>
      <w:lvlJc w:val="left"/>
      <w:pPr>
        <w:ind w:left="295" w:hanging="316"/>
        <w:jc w:val="right"/>
      </w:pPr>
      <w:rPr>
        <w:rFonts w:ascii="Times New Roman" w:eastAsia="Times New Roman" w:hAnsi="Times New Roman" w:cs="Times New Roman" w:hint="default"/>
        <w:b w:val="0"/>
        <w:bCs w:val="0"/>
        <w:i w:val="0"/>
        <w:iCs w:val="0"/>
        <w:spacing w:val="-16"/>
        <w:w w:val="100"/>
        <w:sz w:val="19"/>
        <w:szCs w:val="19"/>
        <w:lang w:val="en-US" w:eastAsia="zh-CN" w:bidi="ar-SA"/>
      </w:rPr>
    </w:lvl>
    <w:lvl w:ilvl="1">
      <w:start w:val="0"/>
      <w:numFmt w:val="bullet"/>
      <w:lvlText w:val="•"/>
      <w:lvlJc w:val="left"/>
      <w:pPr>
        <w:ind w:left="1254" w:hanging="316"/>
      </w:pPr>
      <w:rPr>
        <w:rFonts w:hint="default"/>
        <w:lang w:val="en-US" w:eastAsia="zh-CN" w:bidi="ar-SA"/>
      </w:rPr>
    </w:lvl>
    <w:lvl w:ilvl="2">
      <w:start w:val="0"/>
      <w:numFmt w:val="bullet"/>
      <w:lvlText w:val="•"/>
      <w:lvlJc w:val="left"/>
      <w:pPr>
        <w:ind w:left="2209" w:hanging="316"/>
      </w:pPr>
      <w:rPr>
        <w:rFonts w:hint="default"/>
        <w:lang w:val="en-US" w:eastAsia="zh-CN" w:bidi="ar-SA"/>
      </w:rPr>
    </w:lvl>
    <w:lvl w:ilvl="3">
      <w:start w:val="0"/>
      <w:numFmt w:val="bullet"/>
      <w:lvlText w:val="•"/>
      <w:lvlJc w:val="left"/>
      <w:pPr>
        <w:ind w:left="3163" w:hanging="316"/>
      </w:pPr>
      <w:rPr>
        <w:rFonts w:hint="default"/>
        <w:lang w:val="en-US" w:eastAsia="zh-CN" w:bidi="ar-SA"/>
      </w:rPr>
    </w:lvl>
    <w:lvl w:ilvl="4">
      <w:start w:val="0"/>
      <w:numFmt w:val="bullet"/>
      <w:lvlText w:val="•"/>
      <w:lvlJc w:val="left"/>
      <w:pPr>
        <w:ind w:left="4118" w:hanging="316"/>
      </w:pPr>
      <w:rPr>
        <w:rFonts w:hint="default"/>
        <w:lang w:val="en-US" w:eastAsia="zh-CN" w:bidi="ar-SA"/>
      </w:rPr>
    </w:lvl>
    <w:lvl w:ilvl="5">
      <w:start w:val="0"/>
      <w:numFmt w:val="bullet"/>
      <w:lvlText w:val="•"/>
      <w:lvlJc w:val="left"/>
      <w:pPr>
        <w:ind w:left="5073" w:hanging="316"/>
      </w:pPr>
      <w:rPr>
        <w:rFonts w:hint="default"/>
        <w:lang w:val="en-US" w:eastAsia="zh-CN" w:bidi="ar-SA"/>
      </w:rPr>
    </w:lvl>
    <w:lvl w:ilvl="6">
      <w:start w:val="0"/>
      <w:numFmt w:val="bullet"/>
      <w:lvlText w:val="•"/>
      <w:lvlJc w:val="left"/>
      <w:pPr>
        <w:ind w:left="6027" w:hanging="316"/>
      </w:pPr>
      <w:rPr>
        <w:rFonts w:hint="default"/>
        <w:lang w:val="en-US" w:eastAsia="zh-CN" w:bidi="ar-SA"/>
      </w:rPr>
    </w:lvl>
    <w:lvl w:ilvl="7">
      <w:start w:val="0"/>
      <w:numFmt w:val="bullet"/>
      <w:lvlText w:val="•"/>
      <w:lvlJc w:val="left"/>
      <w:pPr>
        <w:ind w:left="6982" w:hanging="316"/>
      </w:pPr>
      <w:rPr>
        <w:rFonts w:hint="default"/>
        <w:lang w:val="en-US" w:eastAsia="zh-CN" w:bidi="ar-SA"/>
      </w:rPr>
    </w:lvl>
    <w:lvl w:ilvl="8">
      <w:start w:val="0"/>
      <w:numFmt w:val="bullet"/>
      <w:lvlText w:val="•"/>
      <w:lvlJc w:val="left"/>
      <w:pPr>
        <w:ind w:left="7936" w:hanging="316"/>
      </w:pPr>
      <w:rPr>
        <w:rFonts w:hint="default"/>
        <w:lang w:val="en-US" w:eastAsia="zh-CN" w:bidi="ar-SA"/>
      </w:rPr>
    </w:lvl>
  </w:abstractNum>
  <w:abstractNum w:abstractNumId="10">
    <w:nsid w:val="3DA4735C"/>
    <w:multiLevelType w:val="hybridMultilevel"/>
    <w:tmpl w:val="00000000"/>
    <w:lvl w:ilvl="0">
      <w:start w:val="1"/>
      <w:numFmt w:val="decimal"/>
      <w:lvlText w:val="%1."/>
      <w:lvlJc w:val="left"/>
      <w:pPr>
        <w:ind w:left="295" w:hanging="316"/>
        <w:jc w:val="left"/>
      </w:pPr>
      <w:rPr>
        <w:rFonts w:ascii="Times New Roman" w:eastAsia="Times New Roman" w:hAnsi="Times New Roman" w:cs="Times New Roman" w:hint="default"/>
        <w:b w:val="0"/>
        <w:bCs w:val="0"/>
        <w:i w:val="0"/>
        <w:iCs w:val="0"/>
        <w:spacing w:val="-12"/>
        <w:w w:val="100"/>
        <w:sz w:val="19"/>
        <w:szCs w:val="19"/>
        <w:lang w:val="en-US" w:eastAsia="zh-CN" w:bidi="ar-SA"/>
      </w:rPr>
    </w:lvl>
    <w:lvl w:ilvl="1">
      <w:start w:val="0"/>
      <w:numFmt w:val="bullet"/>
      <w:lvlText w:val="•"/>
      <w:lvlJc w:val="left"/>
      <w:pPr>
        <w:ind w:left="1254" w:hanging="316"/>
      </w:pPr>
      <w:rPr>
        <w:rFonts w:hint="default"/>
        <w:lang w:val="en-US" w:eastAsia="zh-CN" w:bidi="ar-SA"/>
      </w:rPr>
    </w:lvl>
    <w:lvl w:ilvl="2">
      <w:start w:val="0"/>
      <w:numFmt w:val="bullet"/>
      <w:lvlText w:val="•"/>
      <w:lvlJc w:val="left"/>
      <w:pPr>
        <w:ind w:left="2209" w:hanging="316"/>
      </w:pPr>
      <w:rPr>
        <w:rFonts w:hint="default"/>
        <w:lang w:val="en-US" w:eastAsia="zh-CN" w:bidi="ar-SA"/>
      </w:rPr>
    </w:lvl>
    <w:lvl w:ilvl="3">
      <w:start w:val="0"/>
      <w:numFmt w:val="bullet"/>
      <w:lvlText w:val="•"/>
      <w:lvlJc w:val="left"/>
      <w:pPr>
        <w:ind w:left="3163" w:hanging="316"/>
      </w:pPr>
      <w:rPr>
        <w:rFonts w:hint="default"/>
        <w:lang w:val="en-US" w:eastAsia="zh-CN" w:bidi="ar-SA"/>
      </w:rPr>
    </w:lvl>
    <w:lvl w:ilvl="4">
      <w:start w:val="0"/>
      <w:numFmt w:val="bullet"/>
      <w:lvlText w:val="•"/>
      <w:lvlJc w:val="left"/>
      <w:pPr>
        <w:ind w:left="4118" w:hanging="316"/>
      </w:pPr>
      <w:rPr>
        <w:rFonts w:hint="default"/>
        <w:lang w:val="en-US" w:eastAsia="zh-CN" w:bidi="ar-SA"/>
      </w:rPr>
    </w:lvl>
    <w:lvl w:ilvl="5">
      <w:start w:val="0"/>
      <w:numFmt w:val="bullet"/>
      <w:lvlText w:val="•"/>
      <w:lvlJc w:val="left"/>
      <w:pPr>
        <w:ind w:left="5073" w:hanging="316"/>
      </w:pPr>
      <w:rPr>
        <w:rFonts w:hint="default"/>
        <w:lang w:val="en-US" w:eastAsia="zh-CN" w:bidi="ar-SA"/>
      </w:rPr>
    </w:lvl>
    <w:lvl w:ilvl="6">
      <w:start w:val="0"/>
      <w:numFmt w:val="bullet"/>
      <w:lvlText w:val="•"/>
      <w:lvlJc w:val="left"/>
      <w:pPr>
        <w:ind w:left="6027" w:hanging="316"/>
      </w:pPr>
      <w:rPr>
        <w:rFonts w:hint="default"/>
        <w:lang w:val="en-US" w:eastAsia="zh-CN" w:bidi="ar-SA"/>
      </w:rPr>
    </w:lvl>
    <w:lvl w:ilvl="7">
      <w:start w:val="0"/>
      <w:numFmt w:val="bullet"/>
      <w:lvlText w:val="•"/>
      <w:lvlJc w:val="left"/>
      <w:pPr>
        <w:ind w:left="6982" w:hanging="316"/>
      </w:pPr>
      <w:rPr>
        <w:rFonts w:hint="default"/>
        <w:lang w:val="en-US" w:eastAsia="zh-CN" w:bidi="ar-SA"/>
      </w:rPr>
    </w:lvl>
    <w:lvl w:ilvl="8">
      <w:start w:val="0"/>
      <w:numFmt w:val="bullet"/>
      <w:lvlText w:val="•"/>
      <w:lvlJc w:val="left"/>
      <w:pPr>
        <w:ind w:left="7936" w:hanging="316"/>
      </w:pPr>
      <w:rPr>
        <w:rFonts w:hint="default"/>
        <w:lang w:val="en-US" w:eastAsia="zh-CN" w:bidi="ar-SA"/>
      </w:rPr>
    </w:lvl>
  </w:abstractNum>
  <w:abstractNum w:abstractNumId="11">
    <w:nsid w:val="4B1F363E"/>
    <w:multiLevelType w:val="hybridMultilevel"/>
    <w:tmpl w:val="00000000"/>
    <w:lvl w:ilvl="0">
      <w:start w:val="1"/>
      <w:numFmt w:val="decimal"/>
      <w:lvlText w:val="%1."/>
      <w:lvlJc w:val="left"/>
      <w:pPr>
        <w:ind w:left="766"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263"/>
      </w:pPr>
      <w:rPr>
        <w:rFonts w:hint="default"/>
        <w:lang w:val="en-US" w:eastAsia="zh-CN" w:bidi="ar-SA"/>
      </w:rPr>
    </w:lvl>
    <w:lvl w:ilvl="2">
      <w:start w:val="0"/>
      <w:numFmt w:val="bullet"/>
      <w:lvlText w:val="•"/>
      <w:lvlJc w:val="left"/>
      <w:pPr>
        <w:ind w:left="2577" w:hanging="263"/>
      </w:pPr>
      <w:rPr>
        <w:rFonts w:hint="default"/>
        <w:lang w:val="en-US" w:eastAsia="zh-CN" w:bidi="ar-SA"/>
      </w:rPr>
    </w:lvl>
    <w:lvl w:ilvl="3">
      <w:start w:val="0"/>
      <w:numFmt w:val="bullet"/>
      <w:lvlText w:val="•"/>
      <w:lvlJc w:val="left"/>
      <w:pPr>
        <w:ind w:left="3485" w:hanging="263"/>
      </w:pPr>
      <w:rPr>
        <w:rFonts w:hint="default"/>
        <w:lang w:val="en-US" w:eastAsia="zh-CN" w:bidi="ar-SA"/>
      </w:rPr>
    </w:lvl>
    <w:lvl w:ilvl="4">
      <w:start w:val="0"/>
      <w:numFmt w:val="bullet"/>
      <w:lvlText w:val="•"/>
      <w:lvlJc w:val="left"/>
      <w:pPr>
        <w:ind w:left="4394" w:hanging="263"/>
      </w:pPr>
      <w:rPr>
        <w:rFonts w:hint="default"/>
        <w:lang w:val="en-US" w:eastAsia="zh-CN" w:bidi="ar-SA"/>
      </w:rPr>
    </w:lvl>
    <w:lvl w:ilvl="5">
      <w:start w:val="0"/>
      <w:numFmt w:val="bullet"/>
      <w:lvlText w:val="•"/>
      <w:lvlJc w:val="left"/>
      <w:pPr>
        <w:ind w:left="5303" w:hanging="263"/>
      </w:pPr>
      <w:rPr>
        <w:rFonts w:hint="default"/>
        <w:lang w:val="en-US" w:eastAsia="zh-CN" w:bidi="ar-SA"/>
      </w:rPr>
    </w:lvl>
    <w:lvl w:ilvl="6">
      <w:start w:val="0"/>
      <w:numFmt w:val="bullet"/>
      <w:lvlText w:val="•"/>
      <w:lvlJc w:val="left"/>
      <w:pPr>
        <w:ind w:left="6211" w:hanging="263"/>
      </w:pPr>
      <w:rPr>
        <w:rFonts w:hint="default"/>
        <w:lang w:val="en-US" w:eastAsia="zh-CN" w:bidi="ar-SA"/>
      </w:rPr>
    </w:lvl>
    <w:lvl w:ilvl="7">
      <w:start w:val="0"/>
      <w:numFmt w:val="bullet"/>
      <w:lvlText w:val="•"/>
      <w:lvlJc w:val="left"/>
      <w:pPr>
        <w:ind w:left="7120" w:hanging="263"/>
      </w:pPr>
      <w:rPr>
        <w:rFonts w:hint="default"/>
        <w:lang w:val="en-US" w:eastAsia="zh-CN" w:bidi="ar-SA"/>
      </w:rPr>
    </w:lvl>
    <w:lvl w:ilvl="8">
      <w:start w:val="0"/>
      <w:numFmt w:val="bullet"/>
      <w:lvlText w:val="•"/>
      <w:lvlJc w:val="left"/>
      <w:pPr>
        <w:ind w:left="8028" w:hanging="263"/>
      </w:pPr>
      <w:rPr>
        <w:rFonts w:hint="default"/>
        <w:lang w:val="en-US" w:eastAsia="zh-CN" w:bidi="ar-SA"/>
      </w:rPr>
    </w:lvl>
  </w:abstractNum>
  <w:abstractNum w:abstractNumId="12">
    <w:nsid w:val="4EEA0653"/>
    <w:multiLevelType w:val="hybridMultilevel"/>
    <w:tmpl w:val="00000000"/>
    <w:lvl w:ilvl="0">
      <w:start w:val="1"/>
      <w:numFmt w:val="decimal"/>
      <w:lvlText w:val="%1."/>
      <w:lvlJc w:val="left"/>
      <w:pPr>
        <w:ind w:left="295" w:hanging="316"/>
        <w:jc w:val="right"/>
      </w:pPr>
      <w:rPr>
        <w:rFonts w:ascii="Times New Roman" w:eastAsia="Times New Roman" w:hAnsi="Times New Roman" w:cs="Times New Roman" w:hint="default"/>
        <w:b w:val="0"/>
        <w:bCs w:val="0"/>
        <w:i w:val="0"/>
        <w:iCs w:val="0"/>
        <w:w w:val="100"/>
        <w:sz w:val="19"/>
        <w:szCs w:val="19"/>
        <w:lang w:val="en-US" w:eastAsia="zh-CN" w:bidi="ar-SA"/>
      </w:rPr>
    </w:lvl>
    <w:lvl w:ilvl="1">
      <w:start w:val="0"/>
      <w:numFmt w:val="bullet"/>
      <w:lvlText w:val="•"/>
      <w:lvlJc w:val="left"/>
      <w:pPr>
        <w:ind w:left="1254" w:hanging="316"/>
      </w:pPr>
      <w:rPr>
        <w:rFonts w:hint="default"/>
        <w:lang w:val="en-US" w:eastAsia="zh-CN" w:bidi="ar-SA"/>
      </w:rPr>
    </w:lvl>
    <w:lvl w:ilvl="2">
      <w:start w:val="0"/>
      <w:numFmt w:val="bullet"/>
      <w:lvlText w:val="•"/>
      <w:lvlJc w:val="left"/>
      <w:pPr>
        <w:ind w:left="2209" w:hanging="316"/>
      </w:pPr>
      <w:rPr>
        <w:rFonts w:hint="default"/>
        <w:lang w:val="en-US" w:eastAsia="zh-CN" w:bidi="ar-SA"/>
      </w:rPr>
    </w:lvl>
    <w:lvl w:ilvl="3">
      <w:start w:val="0"/>
      <w:numFmt w:val="bullet"/>
      <w:lvlText w:val="•"/>
      <w:lvlJc w:val="left"/>
      <w:pPr>
        <w:ind w:left="3163" w:hanging="316"/>
      </w:pPr>
      <w:rPr>
        <w:rFonts w:hint="default"/>
        <w:lang w:val="en-US" w:eastAsia="zh-CN" w:bidi="ar-SA"/>
      </w:rPr>
    </w:lvl>
    <w:lvl w:ilvl="4">
      <w:start w:val="0"/>
      <w:numFmt w:val="bullet"/>
      <w:lvlText w:val="•"/>
      <w:lvlJc w:val="left"/>
      <w:pPr>
        <w:ind w:left="4118" w:hanging="316"/>
      </w:pPr>
      <w:rPr>
        <w:rFonts w:hint="default"/>
        <w:lang w:val="en-US" w:eastAsia="zh-CN" w:bidi="ar-SA"/>
      </w:rPr>
    </w:lvl>
    <w:lvl w:ilvl="5">
      <w:start w:val="0"/>
      <w:numFmt w:val="bullet"/>
      <w:lvlText w:val="•"/>
      <w:lvlJc w:val="left"/>
      <w:pPr>
        <w:ind w:left="5073" w:hanging="316"/>
      </w:pPr>
      <w:rPr>
        <w:rFonts w:hint="default"/>
        <w:lang w:val="en-US" w:eastAsia="zh-CN" w:bidi="ar-SA"/>
      </w:rPr>
    </w:lvl>
    <w:lvl w:ilvl="6">
      <w:start w:val="0"/>
      <w:numFmt w:val="bullet"/>
      <w:lvlText w:val="•"/>
      <w:lvlJc w:val="left"/>
      <w:pPr>
        <w:ind w:left="6027" w:hanging="316"/>
      </w:pPr>
      <w:rPr>
        <w:rFonts w:hint="default"/>
        <w:lang w:val="en-US" w:eastAsia="zh-CN" w:bidi="ar-SA"/>
      </w:rPr>
    </w:lvl>
    <w:lvl w:ilvl="7">
      <w:start w:val="0"/>
      <w:numFmt w:val="bullet"/>
      <w:lvlText w:val="•"/>
      <w:lvlJc w:val="left"/>
      <w:pPr>
        <w:ind w:left="6982" w:hanging="316"/>
      </w:pPr>
      <w:rPr>
        <w:rFonts w:hint="default"/>
        <w:lang w:val="en-US" w:eastAsia="zh-CN" w:bidi="ar-SA"/>
      </w:rPr>
    </w:lvl>
    <w:lvl w:ilvl="8">
      <w:start w:val="0"/>
      <w:numFmt w:val="bullet"/>
      <w:lvlText w:val="•"/>
      <w:lvlJc w:val="left"/>
      <w:pPr>
        <w:ind w:left="7936" w:hanging="316"/>
      </w:pPr>
      <w:rPr>
        <w:rFonts w:hint="default"/>
        <w:lang w:val="en-US" w:eastAsia="zh-CN" w:bidi="ar-SA"/>
      </w:rPr>
    </w:lvl>
  </w:abstractNum>
  <w:abstractNum w:abstractNumId="13">
    <w:nsid w:val="504CBC62"/>
    <w:multiLevelType w:val="hybridMultilevel"/>
    <w:tmpl w:val="00000000"/>
    <w:lvl w:ilvl="0">
      <w:start w:val="1"/>
      <w:numFmt w:val="decimal"/>
      <w:lvlText w:val="%1."/>
      <w:lvlJc w:val="left"/>
      <w:pPr>
        <w:ind w:left="766"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668" w:hanging="263"/>
      </w:pPr>
      <w:rPr>
        <w:rFonts w:hint="default"/>
        <w:lang w:val="en-US" w:eastAsia="zh-CN" w:bidi="ar-SA"/>
      </w:rPr>
    </w:lvl>
    <w:lvl w:ilvl="2">
      <w:start w:val="0"/>
      <w:numFmt w:val="bullet"/>
      <w:lvlText w:val="•"/>
      <w:lvlJc w:val="left"/>
      <w:pPr>
        <w:ind w:left="2577" w:hanging="263"/>
      </w:pPr>
      <w:rPr>
        <w:rFonts w:hint="default"/>
        <w:lang w:val="en-US" w:eastAsia="zh-CN" w:bidi="ar-SA"/>
      </w:rPr>
    </w:lvl>
    <w:lvl w:ilvl="3">
      <w:start w:val="0"/>
      <w:numFmt w:val="bullet"/>
      <w:lvlText w:val="•"/>
      <w:lvlJc w:val="left"/>
      <w:pPr>
        <w:ind w:left="3485" w:hanging="263"/>
      </w:pPr>
      <w:rPr>
        <w:rFonts w:hint="default"/>
        <w:lang w:val="en-US" w:eastAsia="zh-CN" w:bidi="ar-SA"/>
      </w:rPr>
    </w:lvl>
    <w:lvl w:ilvl="4">
      <w:start w:val="0"/>
      <w:numFmt w:val="bullet"/>
      <w:lvlText w:val="•"/>
      <w:lvlJc w:val="left"/>
      <w:pPr>
        <w:ind w:left="4394" w:hanging="263"/>
      </w:pPr>
      <w:rPr>
        <w:rFonts w:hint="default"/>
        <w:lang w:val="en-US" w:eastAsia="zh-CN" w:bidi="ar-SA"/>
      </w:rPr>
    </w:lvl>
    <w:lvl w:ilvl="5">
      <w:start w:val="0"/>
      <w:numFmt w:val="bullet"/>
      <w:lvlText w:val="•"/>
      <w:lvlJc w:val="left"/>
      <w:pPr>
        <w:ind w:left="5303" w:hanging="263"/>
      </w:pPr>
      <w:rPr>
        <w:rFonts w:hint="default"/>
        <w:lang w:val="en-US" w:eastAsia="zh-CN" w:bidi="ar-SA"/>
      </w:rPr>
    </w:lvl>
    <w:lvl w:ilvl="6">
      <w:start w:val="0"/>
      <w:numFmt w:val="bullet"/>
      <w:lvlText w:val="•"/>
      <w:lvlJc w:val="left"/>
      <w:pPr>
        <w:ind w:left="6211" w:hanging="263"/>
      </w:pPr>
      <w:rPr>
        <w:rFonts w:hint="default"/>
        <w:lang w:val="en-US" w:eastAsia="zh-CN" w:bidi="ar-SA"/>
      </w:rPr>
    </w:lvl>
    <w:lvl w:ilvl="7">
      <w:start w:val="0"/>
      <w:numFmt w:val="bullet"/>
      <w:lvlText w:val="•"/>
      <w:lvlJc w:val="left"/>
      <w:pPr>
        <w:ind w:left="7120" w:hanging="263"/>
      </w:pPr>
      <w:rPr>
        <w:rFonts w:hint="default"/>
        <w:lang w:val="en-US" w:eastAsia="zh-CN" w:bidi="ar-SA"/>
      </w:rPr>
    </w:lvl>
    <w:lvl w:ilvl="8">
      <w:start w:val="0"/>
      <w:numFmt w:val="bullet"/>
      <w:lvlText w:val="•"/>
      <w:lvlJc w:val="left"/>
      <w:pPr>
        <w:ind w:left="8028" w:hanging="263"/>
      </w:pPr>
      <w:rPr>
        <w:rFonts w:hint="default"/>
        <w:lang w:val="en-US" w:eastAsia="zh-CN" w:bidi="ar-SA"/>
      </w:rPr>
    </w:lvl>
  </w:abstractNum>
  <w:abstractNum w:abstractNumId="14">
    <w:nsid w:val="6054C847"/>
    <w:multiLevelType w:val="hybridMultilevel"/>
    <w:tmpl w:val="00000000"/>
    <w:lvl w:ilvl="0">
      <w:start w:val="1"/>
      <w:numFmt w:val="decimal"/>
      <w:lvlText w:val="%1"/>
      <w:lvlJc w:val="left"/>
      <w:pPr>
        <w:ind w:left="504"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1"/>
      <w:numFmt w:val="decimal"/>
      <w:lvlText w:val="%2."/>
      <w:lvlJc w:val="left"/>
      <w:pPr>
        <w:ind w:left="1071" w:hanging="328"/>
        <w:jc w:val="left"/>
      </w:pPr>
      <w:rPr>
        <w:rFonts w:ascii="Arial" w:eastAsia="Arial" w:hAnsi="Arial" w:cs="Arial" w:hint="default"/>
        <w:b w:val="0"/>
        <w:bCs w:val="0"/>
        <w:i w:val="0"/>
        <w:iCs w:val="0"/>
        <w:spacing w:val="-1"/>
        <w:w w:val="100"/>
        <w:sz w:val="19"/>
        <w:szCs w:val="19"/>
        <w:lang w:val="en-US" w:eastAsia="zh-CN" w:bidi="ar-SA"/>
      </w:rPr>
    </w:lvl>
    <w:lvl w:ilvl="2">
      <w:start w:val="0"/>
      <w:numFmt w:val="bullet"/>
      <w:lvlText w:val="•"/>
      <w:lvlJc w:val="left"/>
      <w:pPr>
        <w:ind w:left="2054" w:hanging="328"/>
      </w:pPr>
      <w:rPr>
        <w:rFonts w:hint="default"/>
        <w:lang w:val="en-US" w:eastAsia="zh-CN" w:bidi="ar-SA"/>
      </w:rPr>
    </w:lvl>
    <w:lvl w:ilvl="3">
      <w:start w:val="0"/>
      <w:numFmt w:val="bullet"/>
      <w:lvlText w:val="•"/>
      <w:lvlJc w:val="left"/>
      <w:pPr>
        <w:ind w:left="3028" w:hanging="328"/>
      </w:pPr>
      <w:rPr>
        <w:rFonts w:hint="default"/>
        <w:lang w:val="en-US" w:eastAsia="zh-CN" w:bidi="ar-SA"/>
      </w:rPr>
    </w:lvl>
    <w:lvl w:ilvl="4">
      <w:start w:val="0"/>
      <w:numFmt w:val="bullet"/>
      <w:lvlText w:val="•"/>
      <w:lvlJc w:val="left"/>
      <w:pPr>
        <w:ind w:left="4002" w:hanging="328"/>
      </w:pPr>
      <w:rPr>
        <w:rFonts w:hint="default"/>
        <w:lang w:val="en-US" w:eastAsia="zh-CN" w:bidi="ar-SA"/>
      </w:rPr>
    </w:lvl>
    <w:lvl w:ilvl="5">
      <w:start w:val="0"/>
      <w:numFmt w:val="bullet"/>
      <w:lvlText w:val="•"/>
      <w:lvlJc w:val="left"/>
      <w:pPr>
        <w:ind w:left="4976" w:hanging="328"/>
      </w:pPr>
      <w:rPr>
        <w:rFonts w:hint="default"/>
        <w:lang w:val="en-US" w:eastAsia="zh-CN" w:bidi="ar-SA"/>
      </w:rPr>
    </w:lvl>
    <w:lvl w:ilvl="6">
      <w:start w:val="0"/>
      <w:numFmt w:val="bullet"/>
      <w:lvlText w:val="•"/>
      <w:lvlJc w:val="left"/>
      <w:pPr>
        <w:ind w:left="5950" w:hanging="328"/>
      </w:pPr>
      <w:rPr>
        <w:rFonts w:hint="default"/>
        <w:lang w:val="en-US" w:eastAsia="zh-CN" w:bidi="ar-SA"/>
      </w:rPr>
    </w:lvl>
    <w:lvl w:ilvl="7">
      <w:start w:val="0"/>
      <w:numFmt w:val="bullet"/>
      <w:lvlText w:val="•"/>
      <w:lvlJc w:val="left"/>
      <w:pPr>
        <w:ind w:left="6924" w:hanging="328"/>
      </w:pPr>
      <w:rPr>
        <w:rFonts w:hint="default"/>
        <w:lang w:val="en-US" w:eastAsia="zh-CN" w:bidi="ar-SA"/>
      </w:rPr>
    </w:lvl>
    <w:lvl w:ilvl="8">
      <w:start w:val="0"/>
      <w:numFmt w:val="bullet"/>
      <w:lvlText w:val="•"/>
      <w:lvlJc w:val="left"/>
      <w:pPr>
        <w:ind w:left="7898" w:hanging="328"/>
      </w:pPr>
      <w:rPr>
        <w:rFonts w:hint="default"/>
        <w:lang w:val="en-US" w:eastAsia="zh-CN" w:bidi="ar-SA"/>
      </w:rPr>
    </w:lvl>
  </w:abstractNum>
  <w:abstractNum w:abstractNumId="15">
    <w:nsid w:val="6100C067"/>
    <w:multiLevelType w:val="hybridMultilevel"/>
    <w:tmpl w:val="00000000"/>
    <w:lvl w:ilvl="0">
      <w:start w:val="4"/>
      <w:numFmt w:val="decimal"/>
      <w:lvlText w:val="%1."/>
      <w:lvlJc w:val="left"/>
      <w:pPr>
        <w:ind w:left="855" w:hanging="281"/>
        <w:jc w:val="right"/>
      </w:pPr>
      <w:rPr>
        <w:rFonts w:ascii="宋体" w:eastAsia="宋体" w:hAnsi="宋体" w:cs="宋体" w:hint="default"/>
        <w:b w:val="0"/>
        <w:bCs w:val="0"/>
        <w:i w:val="0"/>
        <w:iCs w:val="0"/>
        <w:w w:val="100"/>
        <w:sz w:val="26"/>
        <w:szCs w:val="26"/>
        <w:lang w:val="en-US" w:eastAsia="zh-CN" w:bidi="ar-SA"/>
      </w:rPr>
    </w:lvl>
    <w:lvl w:ilvl="1">
      <w:start w:val="0"/>
      <w:numFmt w:val="bullet"/>
      <w:lvlText w:val="•"/>
      <w:lvlJc w:val="left"/>
      <w:pPr>
        <w:ind w:left="1758" w:hanging="281"/>
      </w:pPr>
      <w:rPr>
        <w:rFonts w:hint="default"/>
        <w:lang w:val="en-US" w:eastAsia="zh-CN" w:bidi="ar-SA"/>
      </w:rPr>
    </w:lvl>
    <w:lvl w:ilvl="2">
      <w:start w:val="0"/>
      <w:numFmt w:val="bullet"/>
      <w:lvlText w:val="•"/>
      <w:lvlJc w:val="left"/>
      <w:pPr>
        <w:ind w:left="2657" w:hanging="281"/>
      </w:pPr>
      <w:rPr>
        <w:rFonts w:hint="default"/>
        <w:lang w:val="en-US" w:eastAsia="zh-CN" w:bidi="ar-SA"/>
      </w:rPr>
    </w:lvl>
    <w:lvl w:ilvl="3">
      <w:start w:val="0"/>
      <w:numFmt w:val="bullet"/>
      <w:lvlText w:val="•"/>
      <w:lvlJc w:val="left"/>
      <w:pPr>
        <w:ind w:left="3555" w:hanging="281"/>
      </w:pPr>
      <w:rPr>
        <w:rFonts w:hint="default"/>
        <w:lang w:val="en-US" w:eastAsia="zh-CN" w:bidi="ar-SA"/>
      </w:rPr>
    </w:lvl>
    <w:lvl w:ilvl="4">
      <w:start w:val="0"/>
      <w:numFmt w:val="bullet"/>
      <w:lvlText w:val="•"/>
      <w:lvlJc w:val="left"/>
      <w:pPr>
        <w:ind w:left="4454" w:hanging="281"/>
      </w:pPr>
      <w:rPr>
        <w:rFonts w:hint="default"/>
        <w:lang w:val="en-US" w:eastAsia="zh-CN" w:bidi="ar-SA"/>
      </w:rPr>
    </w:lvl>
    <w:lvl w:ilvl="5">
      <w:start w:val="0"/>
      <w:numFmt w:val="bullet"/>
      <w:lvlText w:val="•"/>
      <w:lvlJc w:val="left"/>
      <w:pPr>
        <w:ind w:left="5353" w:hanging="281"/>
      </w:pPr>
      <w:rPr>
        <w:rFonts w:hint="default"/>
        <w:lang w:val="en-US" w:eastAsia="zh-CN" w:bidi="ar-SA"/>
      </w:rPr>
    </w:lvl>
    <w:lvl w:ilvl="6">
      <w:start w:val="0"/>
      <w:numFmt w:val="bullet"/>
      <w:lvlText w:val="•"/>
      <w:lvlJc w:val="left"/>
      <w:pPr>
        <w:ind w:left="6251" w:hanging="281"/>
      </w:pPr>
      <w:rPr>
        <w:rFonts w:hint="default"/>
        <w:lang w:val="en-US" w:eastAsia="zh-CN" w:bidi="ar-SA"/>
      </w:rPr>
    </w:lvl>
    <w:lvl w:ilvl="7">
      <w:start w:val="0"/>
      <w:numFmt w:val="bullet"/>
      <w:lvlText w:val="•"/>
      <w:lvlJc w:val="left"/>
      <w:pPr>
        <w:ind w:left="7150" w:hanging="281"/>
      </w:pPr>
      <w:rPr>
        <w:rFonts w:hint="default"/>
        <w:lang w:val="en-US" w:eastAsia="zh-CN" w:bidi="ar-SA"/>
      </w:rPr>
    </w:lvl>
    <w:lvl w:ilvl="8">
      <w:start w:val="0"/>
      <w:numFmt w:val="bullet"/>
      <w:lvlText w:val="•"/>
      <w:lvlJc w:val="left"/>
      <w:pPr>
        <w:ind w:left="8048" w:hanging="281"/>
      </w:pPr>
      <w:rPr>
        <w:rFonts w:hint="default"/>
        <w:lang w:val="en-US" w:eastAsia="zh-CN" w:bidi="ar-SA"/>
      </w:rPr>
    </w:lvl>
  </w:abstractNum>
  <w:abstractNum w:abstractNumId="16">
    <w:nsid w:val="66C4CC5A"/>
    <w:multiLevelType w:val="hybridMultilevel"/>
    <w:tmpl w:val="00000000"/>
    <w:lvl w:ilvl="0">
      <w:start w:val="1"/>
      <w:numFmt w:val="decimal"/>
      <w:lvlText w:val="%1."/>
      <w:lvlJc w:val="left"/>
      <w:pPr>
        <w:ind w:left="295" w:hanging="316"/>
        <w:jc w:val="right"/>
      </w:pPr>
      <w:rPr>
        <w:rFonts w:ascii="Times New Roman" w:eastAsia="Times New Roman" w:hAnsi="Times New Roman" w:cs="Times New Roman" w:hint="default"/>
        <w:b w:val="0"/>
        <w:bCs w:val="0"/>
        <w:i w:val="0"/>
        <w:iCs w:val="0"/>
        <w:w w:val="100"/>
        <w:sz w:val="19"/>
        <w:szCs w:val="19"/>
        <w:lang w:val="en-US" w:eastAsia="zh-CN" w:bidi="ar-SA"/>
      </w:rPr>
    </w:lvl>
    <w:lvl w:ilvl="1">
      <w:start w:val="0"/>
      <w:numFmt w:val="bullet"/>
      <w:lvlText w:val="•"/>
      <w:lvlJc w:val="left"/>
      <w:pPr>
        <w:ind w:left="1254" w:hanging="316"/>
      </w:pPr>
      <w:rPr>
        <w:rFonts w:hint="default"/>
        <w:lang w:val="en-US" w:eastAsia="zh-CN" w:bidi="ar-SA"/>
      </w:rPr>
    </w:lvl>
    <w:lvl w:ilvl="2">
      <w:start w:val="0"/>
      <w:numFmt w:val="bullet"/>
      <w:lvlText w:val="•"/>
      <w:lvlJc w:val="left"/>
      <w:pPr>
        <w:ind w:left="2209" w:hanging="316"/>
      </w:pPr>
      <w:rPr>
        <w:rFonts w:hint="default"/>
        <w:lang w:val="en-US" w:eastAsia="zh-CN" w:bidi="ar-SA"/>
      </w:rPr>
    </w:lvl>
    <w:lvl w:ilvl="3">
      <w:start w:val="0"/>
      <w:numFmt w:val="bullet"/>
      <w:lvlText w:val="•"/>
      <w:lvlJc w:val="left"/>
      <w:pPr>
        <w:ind w:left="3163" w:hanging="316"/>
      </w:pPr>
      <w:rPr>
        <w:rFonts w:hint="default"/>
        <w:lang w:val="en-US" w:eastAsia="zh-CN" w:bidi="ar-SA"/>
      </w:rPr>
    </w:lvl>
    <w:lvl w:ilvl="4">
      <w:start w:val="0"/>
      <w:numFmt w:val="bullet"/>
      <w:lvlText w:val="•"/>
      <w:lvlJc w:val="left"/>
      <w:pPr>
        <w:ind w:left="4118" w:hanging="316"/>
      </w:pPr>
      <w:rPr>
        <w:rFonts w:hint="default"/>
        <w:lang w:val="en-US" w:eastAsia="zh-CN" w:bidi="ar-SA"/>
      </w:rPr>
    </w:lvl>
    <w:lvl w:ilvl="5">
      <w:start w:val="0"/>
      <w:numFmt w:val="bullet"/>
      <w:lvlText w:val="•"/>
      <w:lvlJc w:val="left"/>
      <w:pPr>
        <w:ind w:left="5073" w:hanging="316"/>
      </w:pPr>
      <w:rPr>
        <w:rFonts w:hint="default"/>
        <w:lang w:val="en-US" w:eastAsia="zh-CN" w:bidi="ar-SA"/>
      </w:rPr>
    </w:lvl>
    <w:lvl w:ilvl="6">
      <w:start w:val="0"/>
      <w:numFmt w:val="bullet"/>
      <w:lvlText w:val="•"/>
      <w:lvlJc w:val="left"/>
      <w:pPr>
        <w:ind w:left="6027" w:hanging="316"/>
      </w:pPr>
      <w:rPr>
        <w:rFonts w:hint="default"/>
        <w:lang w:val="en-US" w:eastAsia="zh-CN" w:bidi="ar-SA"/>
      </w:rPr>
    </w:lvl>
    <w:lvl w:ilvl="7">
      <w:start w:val="0"/>
      <w:numFmt w:val="bullet"/>
      <w:lvlText w:val="•"/>
      <w:lvlJc w:val="left"/>
      <w:pPr>
        <w:ind w:left="6982" w:hanging="316"/>
      </w:pPr>
      <w:rPr>
        <w:rFonts w:hint="default"/>
        <w:lang w:val="en-US" w:eastAsia="zh-CN" w:bidi="ar-SA"/>
      </w:rPr>
    </w:lvl>
    <w:lvl w:ilvl="8">
      <w:start w:val="0"/>
      <w:numFmt w:val="bullet"/>
      <w:lvlText w:val="•"/>
      <w:lvlJc w:val="left"/>
      <w:pPr>
        <w:ind w:left="7936" w:hanging="316"/>
      </w:pPr>
      <w:rPr>
        <w:rFonts w:hint="default"/>
        <w:lang w:val="en-US" w:eastAsia="zh-CN" w:bidi="ar-SA"/>
      </w:rPr>
    </w:lvl>
  </w:abstractNum>
  <w:abstractNum w:abstractNumId="17">
    <w:nsid w:val="6910E582"/>
    <w:multiLevelType w:val="hybridMultilevel"/>
    <w:tmpl w:val="00000000"/>
    <w:lvl w:ilvl="0">
      <w:start w:val="1"/>
      <w:numFmt w:val="decimal"/>
      <w:lvlText w:val="%1."/>
      <w:lvlJc w:val="left"/>
      <w:pPr>
        <w:ind w:left="295" w:hanging="316"/>
        <w:jc w:val="left"/>
      </w:pPr>
      <w:rPr>
        <w:rFonts w:ascii="Times New Roman" w:eastAsia="Times New Roman" w:hAnsi="Times New Roman" w:cs="Times New Roman" w:hint="default"/>
        <w:b w:val="0"/>
        <w:bCs w:val="0"/>
        <w:i w:val="0"/>
        <w:iCs w:val="0"/>
        <w:w w:val="100"/>
        <w:sz w:val="19"/>
        <w:szCs w:val="19"/>
        <w:lang w:val="en-US" w:eastAsia="zh-CN" w:bidi="ar-SA"/>
      </w:rPr>
    </w:lvl>
    <w:lvl w:ilvl="1">
      <w:start w:val="0"/>
      <w:numFmt w:val="bullet"/>
      <w:lvlText w:val="•"/>
      <w:lvlJc w:val="left"/>
      <w:pPr>
        <w:ind w:left="1254" w:hanging="316"/>
      </w:pPr>
      <w:rPr>
        <w:rFonts w:hint="default"/>
        <w:lang w:val="en-US" w:eastAsia="zh-CN" w:bidi="ar-SA"/>
      </w:rPr>
    </w:lvl>
    <w:lvl w:ilvl="2">
      <w:start w:val="0"/>
      <w:numFmt w:val="bullet"/>
      <w:lvlText w:val="•"/>
      <w:lvlJc w:val="left"/>
      <w:pPr>
        <w:ind w:left="2209" w:hanging="316"/>
      </w:pPr>
      <w:rPr>
        <w:rFonts w:hint="default"/>
        <w:lang w:val="en-US" w:eastAsia="zh-CN" w:bidi="ar-SA"/>
      </w:rPr>
    </w:lvl>
    <w:lvl w:ilvl="3">
      <w:start w:val="0"/>
      <w:numFmt w:val="bullet"/>
      <w:lvlText w:val="•"/>
      <w:lvlJc w:val="left"/>
      <w:pPr>
        <w:ind w:left="3163" w:hanging="316"/>
      </w:pPr>
      <w:rPr>
        <w:rFonts w:hint="default"/>
        <w:lang w:val="en-US" w:eastAsia="zh-CN" w:bidi="ar-SA"/>
      </w:rPr>
    </w:lvl>
    <w:lvl w:ilvl="4">
      <w:start w:val="0"/>
      <w:numFmt w:val="bullet"/>
      <w:lvlText w:val="•"/>
      <w:lvlJc w:val="left"/>
      <w:pPr>
        <w:ind w:left="4118" w:hanging="316"/>
      </w:pPr>
      <w:rPr>
        <w:rFonts w:hint="default"/>
        <w:lang w:val="en-US" w:eastAsia="zh-CN" w:bidi="ar-SA"/>
      </w:rPr>
    </w:lvl>
    <w:lvl w:ilvl="5">
      <w:start w:val="0"/>
      <w:numFmt w:val="bullet"/>
      <w:lvlText w:val="•"/>
      <w:lvlJc w:val="left"/>
      <w:pPr>
        <w:ind w:left="5073" w:hanging="316"/>
      </w:pPr>
      <w:rPr>
        <w:rFonts w:hint="default"/>
        <w:lang w:val="en-US" w:eastAsia="zh-CN" w:bidi="ar-SA"/>
      </w:rPr>
    </w:lvl>
    <w:lvl w:ilvl="6">
      <w:start w:val="0"/>
      <w:numFmt w:val="bullet"/>
      <w:lvlText w:val="•"/>
      <w:lvlJc w:val="left"/>
      <w:pPr>
        <w:ind w:left="6027" w:hanging="316"/>
      </w:pPr>
      <w:rPr>
        <w:rFonts w:hint="default"/>
        <w:lang w:val="en-US" w:eastAsia="zh-CN" w:bidi="ar-SA"/>
      </w:rPr>
    </w:lvl>
    <w:lvl w:ilvl="7">
      <w:start w:val="0"/>
      <w:numFmt w:val="bullet"/>
      <w:lvlText w:val="•"/>
      <w:lvlJc w:val="left"/>
      <w:pPr>
        <w:ind w:left="6982" w:hanging="316"/>
      </w:pPr>
      <w:rPr>
        <w:rFonts w:hint="default"/>
        <w:lang w:val="en-US" w:eastAsia="zh-CN" w:bidi="ar-SA"/>
      </w:rPr>
    </w:lvl>
    <w:lvl w:ilvl="8">
      <w:start w:val="0"/>
      <w:numFmt w:val="bullet"/>
      <w:lvlText w:val="•"/>
      <w:lvlJc w:val="left"/>
      <w:pPr>
        <w:ind w:left="7936" w:hanging="316"/>
      </w:pPr>
      <w:rPr>
        <w:rFonts w:hint="default"/>
        <w:lang w:val="en-US" w:eastAsia="zh-CN" w:bidi="ar-SA"/>
      </w:rPr>
    </w:lvl>
  </w:abstractNum>
  <w:abstractNum w:abstractNumId="18">
    <w:nsid w:val="697BF9C4"/>
    <w:multiLevelType w:val="hybridMultilevel"/>
    <w:tmpl w:val="00000000"/>
    <w:lvl w:ilvl="0">
      <w:start w:val="1"/>
      <w:numFmt w:val="decimal"/>
      <w:lvlText w:val="%1."/>
      <w:lvlJc w:val="left"/>
      <w:pPr>
        <w:ind w:left="653" w:hanging="182"/>
        <w:jc w:val="left"/>
      </w:pPr>
      <w:rPr>
        <w:rFonts w:ascii="Microsoft YaHei UI" w:eastAsia="Microsoft YaHei UI" w:hAnsi="Microsoft YaHei UI" w:cs="Microsoft YaHei UI" w:hint="default"/>
        <w:b w:val="0"/>
        <w:bCs w:val="0"/>
        <w:i w:val="0"/>
        <w:iCs w:val="0"/>
        <w:spacing w:val="-1"/>
        <w:w w:val="100"/>
        <w:sz w:val="19"/>
        <w:szCs w:val="19"/>
        <w:lang w:val="en-US" w:eastAsia="zh-CN" w:bidi="ar-SA"/>
      </w:rPr>
    </w:lvl>
    <w:lvl w:ilvl="1">
      <w:start w:val="1"/>
      <w:numFmt w:val="decimal"/>
      <w:lvlText w:val="%2"/>
      <w:lvlJc w:val="left"/>
      <w:pPr>
        <w:ind w:left="899" w:hanging="186"/>
        <w:jc w:val="lef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1894" w:hanging="186"/>
      </w:pPr>
      <w:rPr>
        <w:rFonts w:hint="default"/>
        <w:lang w:val="en-US" w:eastAsia="zh-CN" w:bidi="ar-SA"/>
      </w:rPr>
    </w:lvl>
    <w:lvl w:ilvl="3">
      <w:start w:val="0"/>
      <w:numFmt w:val="bullet"/>
      <w:lvlText w:val="•"/>
      <w:lvlJc w:val="left"/>
      <w:pPr>
        <w:ind w:left="2888" w:hanging="186"/>
      </w:pPr>
      <w:rPr>
        <w:rFonts w:hint="default"/>
        <w:lang w:val="en-US" w:eastAsia="zh-CN" w:bidi="ar-SA"/>
      </w:rPr>
    </w:lvl>
    <w:lvl w:ilvl="4">
      <w:start w:val="0"/>
      <w:numFmt w:val="bullet"/>
      <w:lvlText w:val="•"/>
      <w:lvlJc w:val="left"/>
      <w:pPr>
        <w:ind w:left="3882" w:hanging="186"/>
      </w:pPr>
      <w:rPr>
        <w:rFonts w:hint="default"/>
        <w:lang w:val="en-US" w:eastAsia="zh-CN" w:bidi="ar-SA"/>
      </w:rPr>
    </w:lvl>
    <w:lvl w:ilvl="5">
      <w:start w:val="0"/>
      <w:numFmt w:val="bullet"/>
      <w:lvlText w:val="•"/>
      <w:lvlJc w:val="left"/>
      <w:pPr>
        <w:ind w:left="4876" w:hanging="186"/>
      </w:pPr>
      <w:rPr>
        <w:rFonts w:hint="default"/>
        <w:lang w:val="en-US" w:eastAsia="zh-CN" w:bidi="ar-SA"/>
      </w:rPr>
    </w:lvl>
    <w:lvl w:ilvl="6">
      <w:start w:val="0"/>
      <w:numFmt w:val="bullet"/>
      <w:lvlText w:val="•"/>
      <w:lvlJc w:val="left"/>
      <w:pPr>
        <w:ind w:left="5870" w:hanging="186"/>
      </w:pPr>
      <w:rPr>
        <w:rFonts w:hint="default"/>
        <w:lang w:val="en-US" w:eastAsia="zh-CN" w:bidi="ar-SA"/>
      </w:rPr>
    </w:lvl>
    <w:lvl w:ilvl="7">
      <w:start w:val="0"/>
      <w:numFmt w:val="bullet"/>
      <w:lvlText w:val="•"/>
      <w:lvlJc w:val="left"/>
      <w:pPr>
        <w:ind w:left="6864" w:hanging="186"/>
      </w:pPr>
      <w:rPr>
        <w:rFonts w:hint="default"/>
        <w:lang w:val="en-US" w:eastAsia="zh-CN" w:bidi="ar-SA"/>
      </w:rPr>
    </w:lvl>
    <w:lvl w:ilvl="8">
      <w:start w:val="0"/>
      <w:numFmt w:val="bullet"/>
      <w:lvlText w:val="•"/>
      <w:lvlJc w:val="left"/>
      <w:pPr>
        <w:ind w:left="7858" w:hanging="186"/>
      </w:pPr>
      <w:rPr>
        <w:rFonts w:hint="default"/>
        <w:lang w:val="en-US" w:eastAsia="zh-CN" w:bidi="ar-SA"/>
      </w:rPr>
    </w:lvl>
  </w:abstractNum>
  <w:abstractNum w:abstractNumId="19">
    <w:nsid w:val="76393AC8"/>
    <w:multiLevelType w:val="hybridMultilevel"/>
    <w:tmpl w:val="00000000"/>
    <w:lvl w:ilvl="0">
      <w:start w:val="1"/>
      <w:numFmt w:val="decimal"/>
      <w:lvlText w:val="（%1）"/>
      <w:lvlJc w:val="left"/>
      <w:pPr>
        <w:ind w:left="294" w:hanging="701"/>
        <w:jc w:val="left"/>
      </w:pPr>
      <w:rPr>
        <w:rFonts w:ascii="宋体" w:eastAsia="宋体" w:hAnsi="宋体" w:cs="宋体" w:hint="default"/>
        <w:b w:val="0"/>
        <w:bCs w:val="0"/>
        <w:i w:val="0"/>
        <w:iCs w:val="0"/>
        <w:spacing w:val="-24"/>
        <w:w w:val="100"/>
        <w:sz w:val="26"/>
        <w:szCs w:val="26"/>
        <w:lang w:val="en-US" w:eastAsia="zh-CN" w:bidi="ar-SA"/>
      </w:rPr>
    </w:lvl>
    <w:lvl w:ilvl="1">
      <w:start w:val="1"/>
      <w:numFmt w:val="decimal"/>
      <w:lvlText w:val="（%2）"/>
      <w:lvlJc w:val="left"/>
      <w:pPr>
        <w:ind w:left="1555" w:hanging="701"/>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2480" w:hanging="701"/>
      </w:pPr>
      <w:rPr>
        <w:rFonts w:hint="default"/>
        <w:lang w:val="en-US" w:eastAsia="zh-CN" w:bidi="ar-SA"/>
      </w:rPr>
    </w:lvl>
    <w:lvl w:ilvl="3">
      <w:start w:val="0"/>
      <w:numFmt w:val="bullet"/>
      <w:lvlText w:val="•"/>
      <w:lvlJc w:val="left"/>
      <w:pPr>
        <w:ind w:left="3401" w:hanging="701"/>
      </w:pPr>
      <w:rPr>
        <w:rFonts w:hint="default"/>
        <w:lang w:val="en-US" w:eastAsia="zh-CN" w:bidi="ar-SA"/>
      </w:rPr>
    </w:lvl>
    <w:lvl w:ilvl="4">
      <w:start w:val="0"/>
      <w:numFmt w:val="bullet"/>
      <w:lvlText w:val="•"/>
      <w:lvlJc w:val="left"/>
      <w:pPr>
        <w:ind w:left="4322" w:hanging="701"/>
      </w:pPr>
      <w:rPr>
        <w:rFonts w:hint="default"/>
        <w:lang w:val="en-US" w:eastAsia="zh-CN" w:bidi="ar-SA"/>
      </w:rPr>
    </w:lvl>
    <w:lvl w:ilvl="5">
      <w:start w:val="0"/>
      <w:numFmt w:val="bullet"/>
      <w:lvlText w:val="•"/>
      <w:lvlJc w:val="left"/>
      <w:pPr>
        <w:ind w:left="5242" w:hanging="701"/>
      </w:pPr>
      <w:rPr>
        <w:rFonts w:hint="default"/>
        <w:lang w:val="en-US" w:eastAsia="zh-CN" w:bidi="ar-SA"/>
      </w:rPr>
    </w:lvl>
    <w:lvl w:ilvl="6">
      <w:start w:val="0"/>
      <w:numFmt w:val="bullet"/>
      <w:lvlText w:val="•"/>
      <w:lvlJc w:val="left"/>
      <w:pPr>
        <w:ind w:left="6163" w:hanging="701"/>
      </w:pPr>
      <w:rPr>
        <w:rFonts w:hint="default"/>
        <w:lang w:val="en-US" w:eastAsia="zh-CN" w:bidi="ar-SA"/>
      </w:rPr>
    </w:lvl>
    <w:lvl w:ilvl="7">
      <w:start w:val="0"/>
      <w:numFmt w:val="bullet"/>
      <w:lvlText w:val="•"/>
      <w:lvlJc w:val="left"/>
      <w:pPr>
        <w:ind w:left="7084" w:hanging="701"/>
      </w:pPr>
      <w:rPr>
        <w:rFonts w:hint="default"/>
        <w:lang w:val="en-US" w:eastAsia="zh-CN" w:bidi="ar-SA"/>
      </w:rPr>
    </w:lvl>
    <w:lvl w:ilvl="8">
      <w:start w:val="0"/>
      <w:numFmt w:val="bullet"/>
      <w:lvlText w:val="•"/>
      <w:lvlJc w:val="left"/>
      <w:pPr>
        <w:ind w:left="8004" w:hanging="701"/>
      </w:pPr>
      <w:rPr>
        <w:rFonts w:hint="default"/>
        <w:lang w:val="en-US" w:eastAsia="zh-CN" w:bidi="ar-SA"/>
      </w:rPr>
    </w:lvl>
  </w:abstractNum>
  <w:abstractNum w:abstractNumId="20">
    <w:nsid w:val="7B6A6D3B"/>
    <w:multiLevelType w:val="hybridMultilevel"/>
    <w:tmpl w:val="00000000"/>
    <w:lvl w:ilvl="0">
      <w:start w:val="1"/>
      <w:numFmt w:val="decimal"/>
      <w:lvlText w:val="（%1）"/>
      <w:lvlJc w:val="left"/>
      <w:pPr>
        <w:ind w:left="1614" w:hanging="840"/>
        <w:jc w:val="left"/>
      </w:pPr>
      <w:rPr>
        <w:rFonts w:ascii="宋体" w:eastAsia="宋体" w:hAnsi="宋体" w:cs="宋体" w:hint="default"/>
        <w:b w:val="0"/>
        <w:bCs w:val="0"/>
        <w:i w:val="0"/>
        <w:iCs w:val="0"/>
        <w:w w:val="100"/>
        <w:sz w:val="28"/>
        <w:szCs w:val="28"/>
        <w:lang w:val="en-US" w:eastAsia="zh-CN" w:bidi="ar-SA"/>
      </w:rPr>
    </w:lvl>
    <w:lvl w:ilvl="1">
      <w:start w:val="1"/>
      <w:numFmt w:val="decimal"/>
      <w:lvlText w:val="%2."/>
      <w:lvlJc w:val="left"/>
      <w:pPr>
        <w:ind w:left="1275" w:hanging="421"/>
        <w:jc w:val="left"/>
      </w:pPr>
      <w:rPr>
        <w:rFonts w:ascii="宋体" w:eastAsia="宋体" w:hAnsi="宋体" w:cs="宋体" w:hint="default"/>
        <w:b w:val="0"/>
        <w:bCs w:val="0"/>
        <w:i w:val="0"/>
        <w:iCs w:val="0"/>
        <w:w w:val="100"/>
        <w:sz w:val="26"/>
        <w:szCs w:val="26"/>
        <w:lang w:val="en-US" w:eastAsia="zh-CN" w:bidi="ar-SA"/>
      </w:rPr>
    </w:lvl>
    <w:lvl w:ilvl="2">
      <w:start w:val="0"/>
      <w:numFmt w:val="bullet"/>
      <w:lvlText w:val="•"/>
      <w:lvlJc w:val="left"/>
      <w:pPr>
        <w:ind w:left="2534" w:hanging="421"/>
      </w:pPr>
      <w:rPr>
        <w:rFonts w:hint="default"/>
        <w:lang w:val="en-US" w:eastAsia="zh-CN" w:bidi="ar-SA"/>
      </w:rPr>
    </w:lvl>
    <w:lvl w:ilvl="3">
      <w:start w:val="0"/>
      <w:numFmt w:val="bullet"/>
      <w:lvlText w:val="•"/>
      <w:lvlJc w:val="left"/>
      <w:pPr>
        <w:ind w:left="3448" w:hanging="421"/>
      </w:pPr>
      <w:rPr>
        <w:rFonts w:hint="default"/>
        <w:lang w:val="en-US" w:eastAsia="zh-CN" w:bidi="ar-SA"/>
      </w:rPr>
    </w:lvl>
    <w:lvl w:ilvl="4">
      <w:start w:val="0"/>
      <w:numFmt w:val="bullet"/>
      <w:lvlText w:val="•"/>
      <w:lvlJc w:val="left"/>
      <w:pPr>
        <w:ind w:left="4362" w:hanging="421"/>
      </w:pPr>
      <w:rPr>
        <w:rFonts w:hint="default"/>
        <w:lang w:val="en-US" w:eastAsia="zh-CN" w:bidi="ar-SA"/>
      </w:rPr>
    </w:lvl>
    <w:lvl w:ilvl="5">
      <w:start w:val="0"/>
      <w:numFmt w:val="bullet"/>
      <w:lvlText w:val="•"/>
      <w:lvlJc w:val="left"/>
      <w:pPr>
        <w:ind w:left="5276" w:hanging="421"/>
      </w:pPr>
      <w:rPr>
        <w:rFonts w:hint="default"/>
        <w:lang w:val="en-US" w:eastAsia="zh-CN" w:bidi="ar-SA"/>
      </w:rPr>
    </w:lvl>
    <w:lvl w:ilvl="6">
      <w:start w:val="0"/>
      <w:numFmt w:val="bullet"/>
      <w:lvlText w:val="•"/>
      <w:lvlJc w:val="left"/>
      <w:pPr>
        <w:ind w:left="6190" w:hanging="421"/>
      </w:pPr>
      <w:rPr>
        <w:rFonts w:hint="default"/>
        <w:lang w:val="en-US" w:eastAsia="zh-CN" w:bidi="ar-SA"/>
      </w:rPr>
    </w:lvl>
    <w:lvl w:ilvl="7">
      <w:start w:val="0"/>
      <w:numFmt w:val="bullet"/>
      <w:lvlText w:val="•"/>
      <w:lvlJc w:val="left"/>
      <w:pPr>
        <w:ind w:left="7104" w:hanging="421"/>
      </w:pPr>
      <w:rPr>
        <w:rFonts w:hint="default"/>
        <w:lang w:val="en-US" w:eastAsia="zh-CN" w:bidi="ar-SA"/>
      </w:rPr>
    </w:lvl>
    <w:lvl w:ilvl="8">
      <w:start w:val="0"/>
      <w:numFmt w:val="bullet"/>
      <w:lvlText w:val="•"/>
      <w:lvlJc w:val="left"/>
      <w:pPr>
        <w:ind w:left="8018" w:hanging="421"/>
      </w:pPr>
      <w:rPr>
        <w:rFonts w:hint="default"/>
        <w:lang w:val="en-US" w:eastAsia="zh-CN" w:bidi="ar-SA"/>
      </w:rPr>
    </w:lvl>
  </w:abstractNum>
  <w:abstractNum w:abstractNumId="21">
    <w:nsid w:val="7E5C10AA"/>
    <w:multiLevelType w:val="hybridMultilevel"/>
    <w:tmpl w:val="00000000"/>
    <w:lvl w:ilvl="0">
      <w:start w:val="1"/>
      <w:numFmt w:val="decimal"/>
      <w:lvlText w:val="%1"/>
      <w:lvlJc w:val="left"/>
      <w:pPr>
        <w:ind w:left="682"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596" w:hanging="210"/>
      </w:pPr>
      <w:rPr>
        <w:rFonts w:hint="default"/>
        <w:lang w:val="en-US" w:eastAsia="zh-CN" w:bidi="ar-SA"/>
      </w:rPr>
    </w:lvl>
    <w:lvl w:ilvl="2">
      <w:start w:val="0"/>
      <w:numFmt w:val="bullet"/>
      <w:lvlText w:val="•"/>
      <w:lvlJc w:val="left"/>
      <w:pPr>
        <w:ind w:left="2513" w:hanging="210"/>
      </w:pPr>
      <w:rPr>
        <w:rFonts w:hint="default"/>
        <w:lang w:val="en-US" w:eastAsia="zh-CN" w:bidi="ar-SA"/>
      </w:rPr>
    </w:lvl>
    <w:lvl w:ilvl="3">
      <w:start w:val="0"/>
      <w:numFmt w:val="bullet"/>
      <w:lvlText w:val="•"/>
      <w:lvlJc w:val="left"/>
      <w:pPr>
        <w:ind w:left="3429" w:hanging="210"/>
      </w:pPr>
      <w:rPr>
        <w:rFonts w:hint="default"/>
        <w:lang w:val="en-US" w:eastAsia="zh-CN" w:bidi="ar-SA"/>
      </w:rPr>
    </w:lvl>
    <w:lvl w:ilvl="4">
      <w:start w:val="0"/>
      <w:numFmt w:val="bullet"/>
      <w:lvlText w:val="•"/>
      <w:lvlJc w:val="left"/>
      <w:pPr>
        <w:ind w:left="4346" w:hanging="210"/>
      </w:pPr>
      <w:rPr>
        <w:rFonts w:hint="default"/>
        <w:lang w:val="en-US" w:eastAsia="zh-CN" w:bidi="ar-SA"/>
      </w:rPr>
    </w:lvl>
    <w:lvl w:ilvl="5">
      <w:start w:val="0"/>
      <w:numFmt w:val="bullet"/>
      <w:lvlText w:val="•"/>
      <w:lvlJc w:val="left"/>
      <w:pPr>
        <w:ind w:left="5263" w:hanging="210"/>
      </w:pPr>
      <w:rPr>
        <w:rFonts w:hint="default"/>
        <w:lang w:val="en-US" w:eastAsia="zh-CN" w:bidi="ar-SA"/>
      </w:rPr>
    </w:lvl>
    <w:lvl w:ilvl="6">
      <w:start w:val="0"/>
      <w:numFmt w:val="bullet"/>
      <w:lvlText w:val="•"/>
      <w:lvlJc w:val="left"/>
      <w:pPr>
        <w:ind w:left="6179" w:hanging="210"/>
      </w:pPr>
      <w:rPr>
        <w:rFonts w:hint="default"/>
        <w:lang w:val="en-US" w:eastAsia="zh-CN" w:bidi="ar-SA"/>
      </w:rPr>
    </w:lvl>
    <w:lvl w:ilvl="7">
      <w:start w:val="0"/>
      <w:numFmt w:val="bullet"/>
      <w:lvlText w:val="•"/>
      <w:lvlJc w:val="left"/>
      <w:pPr>
        <w:ind w:left="7096" w:hanging="210"/>
      </w:pPr>
      <w:rPr>
        <w:rFonts w:hint="default"/>
        <w:lang w:val="en-US" w:eastAsia="zh-CN" w:bidi="ar-SA"/>
      </w:rPr>
    </w:lvl>
    <w:lvl w:ilvl="8">
      <w:start w:val="0"/>
      <w:numFmt w:val="bullet"/>
      <w:lvlText w:val="•"/>
      <w:lvlJc w:val="left"/>
      <w:pPr>
        <w:ind w:left="8012" w:hanging="210"/>
      </w:pPr>
      <w:rPr>
        <w:rFonts w:hint="default"/>
        <w:lang w:val="en-US" w:eastAsia="zh-CN" w:bidi="ar-SA"/>
      </w:rPr>
    </w:lvl>
  </w:abstractNum>
  <w:abstractNum w:abstractNumId="22">
    <w:nsid w:val="7EDD6A6F"/>
    <w:multiLevelType w:val="hybridMultilevel"/>
    <w:tmpl w:val="00000000"/>
    <w:lvl w:ilvl="0">
      <w:start w:val="1"/>
      <w:numFmt w:val="decimal"/>
      <w:lvlText w:val="%1."/>
      <w:lvlJc w:val="left"/>
      <w:pPr>
        <w:ind w:left="926" w:hanging="316"/>
        <w:jc w:val="left"/>
      </w:pPr>
      <w:rPr>
        <w:rFonts w:ascii="Times New Roman" w:eastAsia="Times New Roman" w:hAnsi="Times New Roman" w:cs="Times New Roman" w:hint="default"/>
        <w:b w:val="0"/>
        <w:bCs w:val="0"/>
        <w:i w:val="0"/>
        <w:iCs w:val="0"/>
        <w:w w:val="100"/>
        <w:sz w:val="19"/>
        <w:szCs w:val="19"/>
        <w:lang w:val="en-US" w:eastAsia="zh-CN" w:bidi="ar-SA"/>
      </w:rPr>
    </w:lvl>
    <w:lvl w:ilvl="1">
      <w:start w:val="1"/>
      <w:numFmt w:val="decimal"/>
      <w:lvlText w:val="%2"/>
      <w:lvlJc w:val="left"/>
      <w:pPr>
        <w:ind w:left="1081" w:hanging="186"/>
        <w:jc w:val="righ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2054" w:hanging="186"/>
      </w:pPr>
      <w:rPr>
        <w:rFonts w:hint="default"/>
        <w:lang w:val="en-US" w:eastAsia="zh-CN" w:bidi="ar-SA"/>
      </w:rPr>
    </w:lvl>
    <w:lvl w:ilvl="3">
      <w:start w:val="0"/>
      <w:numFmt w:val="bullet"/>
      <w:lvlText w:val="•"/>
      <w:lvlJc w:val="left"/>
      <w:pPr>
        <w:ind w:left="3028" w:hanging="186"/>
      </w:pPr>
      <w:rPr>
        <w:rFonts w:hint="default"/>
        <w:lang w:val="en-US" w:eastAsia="zh-CN" w:bidi="ar-SA"/>
      </w:rPr>
    </w:lvl>
    <w:lvl w:ilvl="4">
      <w:start w:val="0"/>
      <w:numFmt w:val="bullet"/>
      <w:lvlText w:val="•"/>
      <w:lvlJc w:val="left"/>
      <w:pPr>
        <w:ind w:left="4002" w:hanging="186"/>
      </w:pPr>
      <w:rPr>
        <w:rFonts w:hint="default"/>
        <w:lang w:val="en-US" w:eastAsia="zh-CN" w:bidi="ar-SA"/>
      </w:rPr>
    </w:lvl>
    <w:lvl w:ilvl="5">
      <w:start w:val="0"/>
      <w:numFmt w:val="bullet"/>
      <w:lvlText w:val="•"/>
      <w:lvlJc w:val="left"/>
      <w:pPr>
        <w:ind w:left="4976" w:hanging="186"/>
      </w:pPr>
      <w:rPr>
        <w:rFonts w:hint="default"/>
        <w:lang w:val="en-US" w:eastAsia="zh-CN" w:bidi="ar-SA"/>
      </w:rPr>
    </w:lvl>
    <w:lvl w:ilvl="6">
      <w:start w:val="0"/>
      <w:numFmt w:val="bullet"/>
      <w:lvlText w:val="•"/>
      <w:lvlJc w:val="left"/>
      <w:pPr>
        <w:ind w:left="5950" w:hanging="186"/>
      </w:pPr>
      <w:rPr>
        <w:rFonts w:hint="default"/>
        <w:lang w:val="en-US" w:eastAsia="zh-CN" w:bidi="ar-SA"/>
      </w:rPr>
    </w:lvl>
    <w:lvl w:ilvl="7">
      <w:start w:val="0"/>
      <w:numFmt w:val="bullet"/>
      <w:lvlText w:val="•"/>
      <w:lvlJc w:val="left"/>
      <w:pPr>
        <w:ind w:left="6924" w:hanging="186"/>
      </w:pPr>
      <w:rPr>
        <w:rFonts w:hint="default"/>
        <w:lang w:val="en-US" w:eastAsia="zh-CN" w:bidi="ar-SA"/>
      </w:rPr>
    </w:lvl>
    <w:lvl w:ilvl="8">
      <w:start w:val="0"/>
      <w:numFmt w:val="bullet"/>
      <w:lvlText w:val="•"/>
      <w:lvlJc w:val="left"/>
      <w:pPr>
        <w:ind w:left="7898" w:hanging="186"/>
      </w:pPr>
      <w:rPr>
        <w:rFonts w:hint="default"/>
        <w:lang w:val="en-US" w:eastAsia="zh-CN" w:bidi="ar-SA"/>
      </w:rPr>
    </w:lvl>
  </w:abstractNum>
  <w:num w:numId="1">
    <w:abstractNumId w:val="0"/>
  </w:num>
  <w:num w:numId="2">
    <w:abstractNumId w:val="4"/>
  </w:num>
  <w:num w:numId="3">
    <w:abstractNumId w:val="18"/>
  </w:num>
  <w:num w:numId="4">
    <w:abstractNumId w:val="6"/>
  </w:num>
  <w:num w:numId="5">
    <w:abstractNumId w:val="7"/>
  </w:num>
  <w:num w:numId="6">
    <w:abstractNumId w:val="11"/>
  </w:num>
  <w:num w:numId="7">
    <w:abstractNumId w:val="13"/>
  </w:num>
  <w:num w:numId="8">
    <w:abstractNumId w:val="22"/>
  </w:num>
  <w:num w:numId="9">
    <w:abstractNumId w:val="17"/>
  </w:num>
  <w:num w:numId="10">
    <w:abstractNumId w:val="9"/>
  </w:num>
  <w:num w:numId="11">
    <w:abstractNumId w:val="16"/>
  </w:num>
  <w:num w:numId="12">
    <w:abstractNumId w:val="10"/>
  </w:num>
  <w:num w:numId="13">
    <w:abstractNumId w:val="12"/>
  </w:num>
  <w:num w:numId="14">
    <w:abstractNumId w:val="14"/>
  </w:num>
  <w:num w:numId="15">
    <w:abstractNumId w:val="8"/>
  </w:num>
  <w:num w:numId="16">
    <w:abstractNumId w:val="21"/>
  </w:num>
  <w:num w:numId="17">
    <w:abstractNumId w:val="2"/>
  </w:num>
  <w:num w:numId="18">
    <w:abstractNumId w:val="5"/>
  </w:num>
  <w:num w:numId="19">
    <w:abstractNumId w:val="15"/>
  </w:num>
  <w:num w:numId="20">
    <w:abstractNumId w:val="20"/>
  </w:num>
  <w:num w:numId="21">
    <w:abstractNumId w:val="1"/>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293"/>
      <w:outlineLvl w:val="0"/>
    </w:pPr>
    <w:rPr>
      <w:rFonts w:ascii="Microsoft JhengHei" w:eastAsia="Microsoft JhengHei" w:hAnsi="Microsoft JhengHei" w:cs="Microsoft JhengHei"/>
      <w:b/>
      <w:bCs/>
      <w:sz w:val="28"/>
      <w:szCs w:val="28"/>
      <w:lang w:val="en-US" w:eastAsia="zh-CN" w:bidi="ar-SA"/>
    </w:rPr>
  </w:style>
  <w:style w:type="paragraph" w:styleId="Heading2">
    <w:name w:val="heading 2"/>
    <w:basedOn w:val="Normal"/>
    <w:uiPriority w:val="1"/>
    <w:qFormat/>
    <w:pPr>
      <w:ind w:left="293"/>
      <w:outlineLvl w:val="1"/>
    </w:pPr>
    <w:rPr>
      <w:rFonts w:ascii="Microsoft JhengHei" w:eastAsia="Microsoft JhengHei" w:hAnsi="Microsoft JhengHei" w:cs="Microsoft JhengHei"/>
      <w:b/>
      <w:bCs/>
      <w:sz w:val="21"/>
      <w:szCs w:val="21"/>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20"/>
      <w:ind w:left="293"/>
    </w:pPr>
    <w:rPr>
      <w:rFonts w:ascii="宋体" w:eastAsia="宋体" w:hAnsi="宋体" w:cs="宋体"/>
      <w:sz w:val="36"/>
      <w:szCs w:val="36"/>
      <w:lang w:val="en-US" w:eastAsia="zh-CN" w:bidi="ar-SA"/>
    </w:rPr>
  </w:style>
  <w:style w:type="paragraph" w:styleId="TOC2">
    <w:name w:val="toc 2"/>
    <w:basedOn w:val="Normal"/>
    <w:uiPriority w:val="1"/>
    <w:qFormat/>
    <w:pPr>
      <w:spacing w:before="6"/>
      <w:ind w:left="293"/>
    </w:pPr>
    <w:rPr>
      <w:rFonts w:ascii="宋体" w:eastAsia="宋体" w:hAnsi="宋体" w:cs="宋体"/>
      <w:b/>
      <w:bCs/>
      <w:i/>
      <w:iCs/>
      <w:lang w:val="en-US" w:eastAsia="zh-CN" w:bidi="ar-SA"/>
    </w:r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ind w:left="3116"/>
    </w:pPr>
    <w:rPr>
      <w:rFonts w:ascii="Microsoft JhengHei" w:eastAsia="Microsoft JhengHei" w:hAnsi="Microsoft JhengHei" w:cs="Microsoft JhengHei"/>
      <w:b/>
      <w:bCs/>
      <w:sz w:val="72"/>
      <w:szCs w:val="72"/>
      <w:lang w:val="en-US" w:eastAsia="zh-CN" w:bidi="ar-SA"/>
    </w:rPr>
  </w:style>
  <w:style w:type="paragraph" w:styleId="ListParagraph">
    <w:name w:val="List Paragraph"/>
    <w:basedOn w:val="Normal"/>
    <w:uiPriority w:val="1"/>
    <w:qFormat/>
    <w:pPr>
      <w:ind w:left="294" w:firstLine="315"/>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hyperlink" Target="https://d.book118.com/398131001065006043" TargetMode="External" /><Relationship Id="rId24" Type="http://schemas.openxmlformats.org/officeDocument/2006/relationships/footer" Target="footer1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2024-03-04T13:09:50Z</dcterms:created>
  <dcterms:modified xsi:type="dcterms:W3CDTF">2024-03-04T13:09:50Z</dcterms:modified>
</cp:coreProperties>
</file>