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75" w:lineRule="exact"/>
      </w:pPr>
    </w:p>
    <w:p>
      <w:pPr>
        <w:spacing w:line="175" w:lineRule="exact"/>
        <w:sectPr>
          <w:headerReference w:type="default" r:id="rId4"/>
          <w:footerReference w:type="default" r:id="rId5"/>
          <w:pgSz w:w="11907" w:h="16839"/>
          <w:pgMar w:top="1713" w:right="638" w:bottom="1291" w:left="624" w:header="794" w:footer="745" w:gutter="0"/>
          <w:cols w:num="1" w:space="708" w:equalWidth="0">
            <w:col w:w="10644" w:space="0"/>
          </w:cols>
        </w:sectPr>
      </w:pPr>
    </w:p>
    <w:p>
      <w:pPr>
        <w:pStyle w:val="BodyText"/>
        <w:spacing w:line="652" w:lineRule="exact"/>
        <w:ind w:firstLine="11"/>
      </w:pPr>
      <w:r>
        <w:rPr>
          <w:position w:val="-13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5" type="#_x0000_t202" style="width:350.4pt;height:32.65pt;mso-position-horizontal-relative:char;mso-position-vertical-relative:line" filled="t" fillcolor="#4f81bd" stroked="f">
            <o:lock v:ext="edit" aspectratio="f"/>
            <v:textbox inset="0,0,0,0">
              <w:txbxContent>
                <w:p>
                  <w:pPr>
                    <w:spacing w:before="105" w:line="226" w:lineRule="auto"/>
                    <w:ind w:left="121"/>
                    <w:rPr>
                      <w:rFonts w:ascii="KaiTi" w:eastAsia="KaiTi" w:hAnsi="KaiTi" w:cs="KaiTi"/>
                      <w:sz w:val="43"/>
                      <w:szCs w:val="43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7"/>
                      <w:sz w:val="43"/>
                      <w:szCs w:val="43"/>
                      <w14:textOutline w14:w="7968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通信行业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511" w:lineRule="exact"/>
        <w:ind w:firstLine="11"/>
      </w:pPr>
      <w:r>
        <w:rPr>
          <w:position w:val="-10"/>
        </w:rPr>
        <w:pict>
          <v:shape id="_x0000_i1026" type="#_x0000_t202" style="width:350.4pt;height:25.6pt;mso-position-horizontal-relative:char;mso-position-vertical-relative:line" filled="t" fillcolor="#dedfef" stroked="f">
            <o:lock v:ext="edit" aspectratio="f"/>
            <v:textbox inset="0,0,0,0">
              <w:txbxContent>
                <w:p>
                  <w:pPr>
                    <w:spacing w:before="135" w:line="212" w:lineRule="auto"/>
                    <w:ind w:left="401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1F497D"/>
                      <w:spacing w:val="-4"/>
                      <w:sz w:val="24"/>
                      <w:szCs w:val="24"/>
                      <w14:textOutline w14:w="4354">
                        <w14:solidFill>
                          <w14:srgbClr w14:val="1F497D"/>
                        </w14:solidFill>
                        <w14:prstDash w14:val="solid"/>
                        <w14:round/>
                      </w14:textOutline>
                    </w:rPr>
                    <w:t>地方政策推动数据要素市场化加速，</w:t>
                  </w:r>
                  <w:r>
                    <w:rPr>
                      <w:rFonts w:ascii="KaiTi" w:eastAsia="KaiTi" w:hAnsi="KaiTi" w:cs="KaiTi"/>
                      <w:color w:val="1F497D"/>
                      <w:spacing w:val="-4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color w:val="1F497D"/>
                      <w:spacing w:val="-4"/>
                      <w:sz w:val="24"/>
                      <w:szCs w:val="24"/>
                      <w14:textOutline w14:w="4354">
                        <w14:solidFill>
                          <w14:srgbClr w14:val="1F497D"/>
                        </w14:solidFill>
                        <w14:prstDash w14:val="solid"/>
                        <w14:round/>
                      </w14:textOutline>
                    </w:rPr>
                    <w:t>持续关注产业链投资机会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208" w:line="221" w:lineRule="auto"/>
        <w:ind w:left="122"/>
        <w:outlineLvl w:val="0"/>
        <w:rPr>
          <w:sz w:val="28"/>
          <w:szCs w:val="28"/>
        </w:rPr>
      </w:pPr>
      <w:r>
        <w:rPr>
          <w:color w:val="17365D"/>
          <w:sz w:val="28"/>
          <w:szCs w:val="28"/>
          <w14:textOutline w14:w="5094">
            <w14:solidFill>
              <w14:srgbClr w14:val="17365D"/>
            </w14:solidFill>
            <w14:prstDash w14:val="solid"/>
            <w14:round/>
          </w14:textOutline>
        </w:rPr>
        <w:t>核心观点：</w:t>
      </w:r>
    </w:p>
    <w:p>
      <w:pPr>
        <w:pStyle w:val="BodyText"/>
        <w:spacing w:before="191" w:line="270" w:lineRule="auto"/>
        <w:ind w:left="545" w:right="45" w:hanging="408"/>
      </w:pPr>
      <w:r>
        <w:rPr>
          <w:rFonts w:ascii="Wingdings" w:eastAsia="Wingdings" w:hAnsi="Wingdings" w:cs="Wingdings"/>
          <w:color w:val="1F497D"/>
          <w:spacing w:val="-4"/>
        </w:rPr>
        <w:t>.</w:t>
      </w:r>
      <w:r>
        <w:rPr>
          <w:rFonts w:ascii="Wingdings" w:eastAsia="Wingdings" w:hAnsi="Wingdings" w:cs="Wingdings"/>
          <w:color w:val="1F497D"/>
          <w:spacing w:val="73"/>
        </w:rPr>
        <w:t xml:space="preserve"> 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事件：近期江苏省出台《关于推进数据基础制度建设更好发挥数据要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14"/>
          <w14:textOutline w14:w="3831">
            <w14:solidFill>
              <w14:srgbClr w14:val="1F497D"/>
            </w14:solidFill>
            <w14:prstDash w14:val="solid"/>
            <w14:round/>
          </w14:textOutline>
        </w:rPr>
        <w:t>素作用的实施意见》（以下简称《数据二十条》）。</w:t>
      </w:r>
      <w:r>
        <w:rPr>
          <w:rFonts w:ascii="Arial" w:eastAsia="Arial" w:hAnsi="Arial" w:cs="Arial"/>
          <w:b/>
          <w:bCs/>
          <w:color w:val="1F497D"/>
          <w:spacing w:val="-14"/>
        </w:rPr>
        <w:t xml:space="preserve">2024 </w:t>
      </w:r>
      <w:r>
        <w:rPr>
          <w:color w:val="1F497D"/>
          <w:spacing w:val="-14"/>
          <w14:textOutline w14:w="3831">
            <w14:solidFill>
              <w14:srgbClr w14:val="1F497D"/>
            </w14:solidFill>
            <w14:prstDash w14:val="solid"/>
            <w14:round/>
          </w14:textOutline>
        </w:rPr>
        <w:t>年以来，</w:t>
      </w:r>
      <w:r>
        <w:rPr>
          <w:color w:val="1F497D"/>
          <w:spacing w:val="-14"/>
        </w:rPr>
        <w:t xml:space="preserve"> </w:t>
      </w:r>
      <w:r>
        <w:rPr>
          <w:color w:val="1F497D"/>
          <w:spacing w:val="-14"/>
          <w14:textOutline w14:w="3831">
            <w14:solidFill>
              <w14:srgbClr w14:val="1F497D"/>
            </w14:solidFill>
            <w14:prstDash w14:val="solid"/>
            <w14:round/>
          </w14:textOutline>
        </w:rPr>
        <w:t>四川、</w:t>
      </w:r>
      <w:r>
        <w:rPr>
          <w:color w:val="1F497D"/>
          <w:spacing w:val="7"/>
        </w:rPr>
        <w:t xml:space="preserve"> 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山西、郑州等多地频出数据要素相关政策，</w:t>
      </w:r>
      <w:r>
        <w:rPr>
          <w:color w:val="1F497D"/>
          <w:spacing w:val="26"/>
        </w:rPr>
        <w:t xml:space="preserve"> 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旨在加速推动数据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要素市</w:t>
      </w:r>
      <w:r>
        <w:rPr>
          <w:color w:val="1F497D"/>
        </w:rPr>
        <w:t xml:space="preserve"> </w:t>
      </w:r>
      <w:r>
        <w:rPr>
          <w:color w:val="1F497D"/>
          <w:spacing w:val="-8"/>
          <w14:textOutline w14:w="3831">
            <w14:solidFill>
              <w14:srgbClr w14:val="1F497D"/>
            </w14:solidFill>
            <w14:prstDash w14:val="solid"/>
            <w14:round/>
          </w14:textOutline>
        </w:rPr>
        <w:t>场化进程。</w:t>
      </w:r>
    </w:p>
    <w:p>
      <w:pPr>
        <w:pStyle w:val="BodyText"/>
        <w:spacing w:before="74" w:line="279" w:lineRule="auto"/>
        <w:ind w:left="539" w:right="54" w:hanging="402"/>
      </w:pPr>
      <w:r>
        <w:rPr>
          <w:rFonts w:ascii="Wingdings" w:eastAsia="Wingdings" w:hAnsi="Wingdings" w:cs="Wingdings"/>
          <w:color w:val="1F497D"/>
          <w:spacing w:val="-3"/>
        </w:rPr>
        <w:t>.</w:t>
      </w:r>
      <w:r>
        <w:rPr>
          <w:rFonts w:ascii="Wingdings" w:eastAsia="Wingdings" w:hAnsi="Wingdings" w:cs="Wingdings"/>
          <w:color w:val="1F497D"/>
          <w:spacing w:val="57"/>
        </w:rPr>
        <w:t xml:space="preserve">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构建协同创新的多元生态体系，加速数据要素应用场景落地。</w:t>
      </w:r>
      <w:r>
        <w:rPr>
          <w:color w:val="1F497D"/>
          <w:spacing w:val="-3"/>
        </w:rPr>
        <w:t>江苏省</w:t>
      </w:r>
      <w:r>
        <w:rPr>
          <w:color w:val="1F497D"/>
        </w:rPr>
        <w:t xml:space="preserve"> </w:t>
      </w:r>
      <w:r>
        <w:rPr>
          <w:color w:val="1F497D"/>
          <w:spacing w:val="-11"/>
        </w:rPr>
        <w:t>《数据二十条》就“数据要素基建”、“培育数据要素领军企业和市场第</w:t>
      </w:r>
      <w:r>
        <w:rPr>
          <w:color w:val="1F497D"/>
          <w:spacing w:val="6"/>
        </w:rPr>
        <w:t xml:space="preserve"> </w:t>
      </w:r>
      <w:r>
        <w:rPr>
          <w:color w:val="1F497D"/>
          <w:spacing w:val="-3"/>
        </w:rPr>
        <w:t>三方服务机构”以及“强化技术支撑和人才培养”方面提出指导意见，</w:t>
      </w:r>
      <w:r>
        <w:rPr>
          <w:color w:val="1F497D"/>
          <w:spacing w:val="13"/>
        </w:rPr>
        <w:t xml:space="preserve"> </w:t>
      </w:r>
      <w:r>
        <w:rPr>
          <w:color w:val="1F497D"/>
          <w:spacing w:val="-4"/>
        </w:rPr>
        <w:t>意在构建多元化数据要素生态体系。此外，四川</w:t>
      </w:r>
      <w:r>
        <w:rPr>
          <w:color w:val="1F497D"/>
          <w:spacing w:val="-5"/>
        </w:rPr>
        <w:t>省《关于推进数据要素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市场化配置综合改革的实施方案》中提出在</w:t>
      </w:r>
      <w:r>
        <w:rPr>
          <w:color w:val="1F497D"/>
          <w:spacing w:val="-5"/>
        </w:rPr>
        <w:t>农业、制造业、服务业、交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通、文化等重点领域实施数据赋能融合行动，打造一批数字化转型促进</w:t>
      </w:r>
      <w:r>
        <w:rPr>
          <w:color w:val="1F497D"/>
          <w:spacing w:val="18"/>
        </w:rPr>
        <w:t xml:space="preserve"> </w:t>
      </w:r>
      <w:r>
        <w:rPr>
          <w:color w:val="1F497D"/>
          <w:spacing w:val="-4"/>
        </w:rPr>
        <w:t>中心和数据融合标杆应用场景，鼓励具备条</w:t>
      </w:r>
      <w:r>
        <w:rPr>
          <w:color w:val="1F497D"/>
          <w:spacing w:val="-5"/>
        </w:rPr>
        <w:t>件的市（州）积极参与，在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重点领域、重点场景开展先行先试。我们认</w:t>
      </w:r>
      <w:r>
        <w:rPr>
          <w:color w:val="1F497D"/>
          <w:spacing w:val="-5"/>
        </w:rPr>
        <w:t>为，数据要素应用场景未来</w:t>
      </w:r>
      <w:r>
        <w:rPr>
          <w:color w:val="1F497D"/>
        </w:rPr>
        <w:t xml:space="preserve"> </w:t>
      </w:r>
      <w:r>
        <w:rPr>
          <w:color w:val="1F497D"/>
        </w:rPr>
        <w:t>有望实现加速落地。</w:t>
      </w:r>
    </w:p>
    <w:p>
      <w:pPr>
        <w:pStyle w:val="BodyText"/>
        <w:spacing w:before="74" w:line="278" w:lineRule="auto"/>
        <w:ind w:left="540" w:right="42" w:hanging="403"/>
      </w:pPr>
      <w:r>
        <w:rPr>
          <w:rFonts w:ascii="Wingdings" w:eastAsia="Wingdings" w:hAnsi="Wingdings" w:cs="Wingdings"/>
          <w:color w:val="1F497D"/>
          <w:spacing w:val="-10"/>
        </w:rPr>
        <w:t>.</w:t>
      </w:r>
      <w:r>
        <w:rPr>
          <w:rFonts w:ascii="Wingdings" w:eastAsia="Wingdings" w:hAnsi="Wingdings" w:cs="Wingdings"/>
          <w:color w:val="1F497D"/>
          <w:spacing w:val="67"/>
        </w:rPr>
        <w:t xml:space="preserve"> </w:t>
      </w:r>
      <w:r>
        <w:rPr>
          <w:color w:val="1F497D"/>
          <w:spacing w:val="-10"/>
          <w14:textOutline w14:w="3831">
            <w14:solidFill>
              <w14:srgbClr w14:val="1F497D"/>
            </w14:solidFill>
            <w14:prstDash w14:val="solid"/>
            <w14:round/>
          </w14:textOutline>
        </w:rPr>
        <w:t>率先落实数据产权制度，构建数据要素流通体系。</w:t>
      </w:r>
      <w:r>
        <w:rPr>
          <w:color w:val="1F497D"/>
          <w:spacing w:val="-10"/>
        </w:rPr>
        <w:t>《数据二十条》中指</w:t>
      </w:r>
      <w:r>
        <w:rPr>
          <w:color w:val="1F497D"/>
          <w:spacing w:val="-10"/>
        </w:rPr>
        <w:t xml:space="preserve"> </w:t>
      </w:r>
      <w:r>
        <w:rPr>
          <w:color w:val="1F497D"/>
          <w:spacing w:val="-7"/>
        </w:rPr>
        <w:t>出，将“力争到</w:t>
      </w:r>
      <w:r>
        <w:rPr>
          <w:color w:val="1F497D"/>
          <w:spacing w:val="-42"/>
        </w:rPr>
        <w:t xml:space="preserve"> </w:t>
      </w:r>
      <w:r>
        <w:rPr>
          <w:rFonts w:ascii="Arial" w:eastAsia="Arial" w:hAnsi="Arial" w:cs="Arial"/>
          <w:color w:val="1F497D"/>
          <w:spacing w:val="-7"/>
        </w:rPr>
        <w:t xml:space="preserve">2030 </w:t>
      </w:r>
      <w:r>
        <w:rPr>
          <w:color w:val="1F497D"/>
          <w:spacing w:val="-7"/>
        </w:rPr>
        <w:t>年，健全数据分类分级管理制度，建立标准规范、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统一协调的数据运营管理机制”作为主要目标之一，开展公共数据识别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3"/>
        </w:rPr>
        <w:t>和分类分级管理，</w:t>
      </w:r>
      <w:r>
        <w:rPr>
          <w:color w:val="1F497D"/>
          <w:spacing w:val="-3"/>
        </w:rPr>
        <w:t xml:space="preserve"> </w:t>
      </w:r>
      <w:r>
        <w:rPr>
          <w:color w:val="1F497D"/>
          <w:spacing w:val="-3"/>
        </w:rPr>
        <w:t>形成全省统一规范的公共数据目录，汇聚整合省、</w:t>
      </w:r>
      <w:r>
        <w:rPr>
          <w:color w:val="1F497D"/>
          <w:spacing w:val="7"/>
        </w:rPr>
        <w:t xml:space="preserve">  </w:t>
      </w:r>
      <w:r>
        <w:rPr>
          <w:color w:val="1F497D"/>
          <w:spacing w:val="-5"/>
        </w:rPr>
        <w:t>市、县三级公共数据，打造共建共享的公共数据资源体系。同时强调健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2"/>
        </w:rPr>
        <w:t>全数据交易流通机制的重要性，探索数据资产入表和会计</w:t>
      </w:r>
      <w:r>
        <w:rPr>
          <w:color w:val="1F497D"/>
          <w:spacing w:val="1"/>
        </w:rPr>
        <w:t>核算的新路</w:t>
      </w:r>
      <w:r>
        <w:rPr>
          <w:color w:val="1F497D"/>
          <w:spacing w:val="1"/>
        </w:rPr>
        <w:t xml:space="preserve"> </w:t>
      </w:r>
      <w:r>
        <w:rPr>
          <w:color w:val="1F497D"/>
          <w:spacing w:val="-5"/>
        </w:rPr>
        <w:t>径、新模式，探索以股权化等形式实现数据资本化。构建数据流通基础</w:t>
      </w:r>
      <w:r>
        <w:rPr>
          <w:color w:val="1F497D"/>
          <w:spacing w:val="-5"/>
        </w:rPr>
        <w:t xml:space="preserve"> </w:t>
      </w:r>
      <w:r>
        <w:rPr>
          <w:color w:val="1F497D"/>
          <w:spacing w:val="-4"/>
        </w:rPr>
        <w:t>设施，</w:t>
      </w:r>
      <w:r>
        <w:rPr>
          <w:color w:val="1F497D"/>
          <w:spacing w:val="-4"/>
        </w:rPr>
        <w:t xml:space="preserve"> </w:t>
      </w:r>
      <w:r>
        <w:rPr>
          <w:color w:val="1F497D"/>
          <w:spacing w:val="-4"/>
        </w:rPr>
        <w:t>为数据存储、加工、流通交易提供可靠的基础设施支撑。</w:t>
      </w:r>
    </w:p>
    <w:p>
      <w:pPr>
        <w:pStyle w:val="BodyText"/>
        <w:spacing w:before="77" w:line="278" w:lineRule="auto"/>
        <w:ind w:left="540" w:right="109" w:hanging="403"/>
      </w:pPr>
      <w:r>
        <w:rPr>
          <w:rFonts w:ascii="Wingdings" w:eastAsia="Wingdings" w:hAnsi="Wingdings" w:cs="Wingdings"/>
          <w:color w:val="1F497D"/>
          <w:spacing w:val="-3"/>
        </w:rPr>
        <w:t>.</w:t>
      </w:r>
      <w:r>
        <w:rPr>
          <w:rFonts w:ascii="Wingdings" w:eastAsia="Wingdings" w:hAnsi="Wingdings" w:cs="Wingdings"/>
          <w:color w:val="1F497D"/>
          <w:spacing w:val="59"/>
        </w:rPr>
        <w:t xml:space="preserve">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我们认为，数字经济在经历了概念引导阶段之后，已经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进入落地实施</w:t>
      </w:r>
      <w:r>
        <w:rPr>
          <w:color w:val="1F497D"/>
        </w:rPr>
        <w:t xml:space="preserve"> </w:t>
      </w:r>
      <w:r>
        <w:rPr>
          <w:color w:val="1F497D"/>
          <w:spacing w:val="2"/>
          <w14:textOutline w14:w="3831">
            <w14:solidFill>
              <w14:srgbClr w14:val="1F497D"/>
            </w14:solidFill>
            <w14:prstDash w14:val="solid"/>
            <w14:round/>
          </w14:textOutline>
        </w:rPr>
        <w:t>阶段。地方政府基于自身产业基础和数字经济发展不同阶段，结合自</w:t>
      </w:r>
      <w:r>
        <w:rPr>
          <w:color w:val="1F497D"/>
          <w:spacing w:val="10"/>
        </w:rPr>
        <w:t xml:space="preserve"> 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身优势，</w:t>
      </w:r>
      <w:r>
        <w:rPr>
          <w:color w:val="1F497D"/>
          <w:spacing w:val="-25"/>
        </w:rPr>
        <w:t xml:space="preserve"> </w:t>
      </w:r>
      <w:r>
        <w:rPr>
          <w:color w:val="1F497D"/>
          <w:spacing w:val="-7"/>
          <w14:textOutline w14:w="3831">
            <w14:solidFill>
              <w14:srgbClr w14:val="1F497D"/>
            </w14:solidFill>
            <w14:prstDash w14:val="solid"/>
            <w14:round/>
          </w14:textOutline>
        </w:rPr>
        <w:t>加速数字经济相关产业落地速度。</w:t>
      </w:r>
      <w:r>
        <w:rPr>
          <w:color w:val="1F497D"/>
          <w:spacing w:val="-7"/>
        </w:rPr>
        <w:t>数字经济概念引导阶段，地</w:t>
      </w:r>
      <w:r>
        <w:rPr>
          <w:color w:val="1F497D"/>
        </w:rPr>
        <w:t xml:space="preserve"> </w:t>
      </w:r>
      <w:r>
        <w:rPr>
          <w:color w:val="1F497D"/>
          <w:spacing w:val="-4"/>
        </w:rPr>
        <w:t>方政府多聚焦于产业数字化、数字化质体、数</w:t>
      </w:r>
      <w:r>
        <w:rPr>
          <w:color w:val="1F497D"/>
          <w:spacing w:val="-5"/>
        </w:rPr>
        <w:t>据价值化、数字安全等上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层建筑搭建，力求完整全面。在实际落地阶段，数字经济必须要依靠实</w:t>
      </w:r>
      <w:r>
        <w:rPr>
          <w:color w:val="1F497D"/>
          <w:spacing w:val="18"/>
        </w:rPr>
        <w:t xml:space="preserve"> </w:t>
      </w:r>
      <w:r>
        <w:rPr>
          <w:color w:val="1F497D"/>
          <w:spacing w:val="-5"/>
        </w:rPr>
        <w:t>体经济，作为一种技术手段服务于实体经济发展，实现与实体经济的融</w:t>
      </w:r>
      <w:r>
        <w:rPr>
          <w:color w:val="1F497D"/>
          <w:spacing w:val="18"/>
        </w:rPr>
        <w:t xml:space="preserve"> </w:t>
      </w:r>
      <w:r>
        <w:rPr>
          <w:color w:val="1F497D"/>
          <w:spacing w:val="-6"/>
        </w:rPr>
        <w:t>合。地方政府基于自身产业基础和数字经济发展不同阶段，</w:t>
      </w:r>
      <w:r>
        <w:rPr>
          <w:color w:val="1F497D"/>
          <w:spacing w:val="-56"/>
        </w:rPr>
        <w:t xml:space="preserve"> </w:t>
      </w:r>
      <w:r>
        <w:rPr>
          <w:color w:val="1F497D"/>
          <w:spacing w:val="-6"/>
        </w:rPr>
        <w:t>结合自身优</w:t>
      </w:r>
      <w:r>
        <w:rPr>
          <w:color w:val="1F497D"/>
        </w:rPr>
        <w:t xml:space="preserve"> </w:t>
      </w:r>
      <w:r>
        <w:rPr>
          <w:color w:val="1F497D"/>
          <w:spacing w:val="-1"/>
        </w:rPr>
        <w:t>势产业，推动数字经济相关产业的加速落地。</w:t>
      </w:r>
    </w:p>
    <w:p>
      <w:pPr>
        <w:pStyle w:val="BodyText"/>
        <w:spacing w:before="83" w:line="273" w:lineRule="auto"/>
        <w:ind w:left="543" w:right="110" w:hanging="406"/>
      </w:pPr>
      <w:r>
        <w:rPr>
          <w:rFonts w:ascii="Wingdings" w:eastAsia="Wingdings" w:hAnsi="Wingdings" w:cs="Wingdings"/>
          <w:color w:val="1F497D"/>
          <w:spacing w:val="-3"/>
        </w:rPr>
        <w:t>.</w:t>
      </w:r>
      <w:r>
        <w:rPr>
          <w:rFonts w:ascii="Wingdings" w:eastAsia="Wingdings" w:hAnsi="Wingdings" w:cs="Wingdings"/>
          <w:color w:val="1F497D"/>
          <w:spacing w:val="59"/>
        </w:rPr>
        <w:t xml:space="preserve"> </w:t>
      </w:r>
      <w:r>
        <w:rPr>
          <w:color w:val="1F497D"/>
          <w:spacing w:val="-3"/>
          <w14:textOutline w14:w="3831">
            <w14:solidFill>
              <w14:srgbClr w14:val="1F497D"/>
            </w14:solidFill>
            <w14:prstDash w14:val="solid"/>
            <w14:round/>
          </w14:textOutline>
        </w:rPr>
        <w:t>通信行业在数字经济时代将进一步完善信息和算力基建，保障数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字基</w:t>
      </w:r>
      <w:r>
        <w:rPr>
          <w:color w:val="1F497D"/>
        </w:rPr>
        <w:t xml:space="preserve"> </w:t>
      </w:r>
      <w:r>
        <w:rPr>
          <w:color w:val="1F497D"/>
          <w:spacing w:val="-1"/>
          <w14:textOutline w14:w="3831">
            <w14:solidFill>
              <w14:srgbClr w14:val="1F497D"/>
            </w14:solidFill>
            <w14:prstDash w14:val="solid"/>
            <w14:round/>
          </w14:textOutline>
        </w:rPr>
        <w:t>座合理建设和信息高可靠传输，并在此基础上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，</w:t>
      </w:r>
      <w:r>
        <w:rPr>
          <w:color w:val="1F497D"/>
          <w:spacing w:val="-2"/>
        </w:rPr>
        <w:t xml:space="preserve"> </w:t>
      </w:r>
      <w:r>
        <w:rPr>
          <w:color w:val="1F497D"/>
          <w:spacing w:val="-2"/>
          <w14:textOutline w14:w="3831">
            <w14:solidFill>
              <w14:srgbClr w14:val="1F497D"/>
            </w14:solidFill>
            <w14:prstDash w14:val="solid"/>
            <w14:round/>
          </w14:textOutline>
        </w:rPr>
        <w:t>通过自身能力延伸，</w:t>
      </w:r>
      <w:r>
        <w:rPr>
          <w:color w:val="1F497D"/>
        </w:rPr>
        <w:t xml:space="preserve"> </w:t>
      </w:r>
      <w:r>
        <w:rPr>
          <w:color w:val="1F497D"/>
          <w:spacing w:val="-4"/>
          <w14:textOutline w14:w="3831">
            <w14:solidFill>
              <w14:srgbClr w14:val="1F497D"/>
            </w14:solidFill>
            <w14:prstDash w14:val="solid"/>
            <w14:round/>
          </w14:textOutline>
        </w:rPr>
        <w:t>为行业和企业数字化转型赋能。</w:t>
      </w:r>
      <w:r>
        <w:rPr>
          <w:color w:val="1F497D"/>
          <w:spacing w:val="-4"/>
        </w:rPr>
        <w:t>建议关注：</w:t>
      </w:r>
      <w:r>
        <w:rPr>
          <w:color w:val="1F497D"/>
          <w:spacing w:val="-51"/>
        </w:rPr>
        <w:t xml:space="preserve"> </w:t>
      </w:r>
      <w:r>
        <w:rPr>
          <w:color w:val="1F497D"/>
          <w:spacing w:val="-4"/>
        </w:rPr>
        <w:t>信息</w:t>
      </w:r>
      <w:r>
        <w:rPr>
          <w:rFonts w:ascii="Arial" w:eastAsia="Arial" w:hAnsi="Arial" w:cs="Arial"/>
          <w:color w:val="1F497D"/>
          <w:spacing w:val="-4"/>
        </w:rPr>
        <w:t>&amp;</w:t>
      </w:r>
      <w:r>
        <w:rPr>
          <w:color w:val="1F497D"/>
          <w:spacing w:val="-4"/>
        </w:rPr>
        <w:t>算力基建：信息基建</w:t>
      </w:r>
      <w:r>
        <w:rPr>
          <w:color w:val="1F497D"/>
        </w:rPr>
        <w:t xml:space="preserve"> </w:t>
      </w:r>
      <w:r>
        <w:rPr>
          <w:color w:val="1F497D"/>
          <w:spacing w:val="-2"/>
        </w:rPr>
        <w:t>目标为提升有线</w:t>
      </w:r>
      <w:r>
        <w:rPr>
          <w:rFonts w:ascii="Arial" w:eastAsia="Arial" w:hAnsi="Arial" w:cs="Arial"/>
          <w:color w:val="1F497D"/>
          <w:spacing w:val="-2"/>
        </w:rPr>
        <w:t>+</w:t>
      </w:r>
      <w:r>
        <w:rPr>
          <w:color w:val="1F497D"/>
          <w:spacing w:val="-2"/>
        </w:rPr>
        <w:t>无线提升网络覆盖的深度及广度。重点关注运营商中</w:t>
      </w:r>
      <w:r>
        <w:rPr>
          <w:color w:val="1F497D"/>
          <w:spacing w:val="9"/>
        </w:rPr>
        <w:t xml:space="preserve"> </w:t>
      </w:r>
      <w:r>
        <w:rPr>
          <w:color w:val="1F497D"/>
        </w:rPr>
        <w:t>国移动</w:t>
      </w:r>
      <w:r>
        <w:rPr>
          <w:color w:val="1F497D"/>
          <w:spacing w:val="-52"/>
        </w:rPr>
        <w:t xml:space="preserve"> </w:t>
      </w:r>
      <w:r>
        <w:rPr>
          <w:rFonts w:ascii="Arial" w:eastAsia="Arial" w:hAnsi="Arial" w:cs="Arial"/>
          <w:color w:val="1F497D"/>
        </w:rPr>
        <w:t>A/H</w:t>
      </w:r>
      <w:r>
        <w:rPr>
          <w:color w:val="1F497D"/>
        </w:rPr>
        <w:t>、中国电信</w:t>
      </w:r>
      <w:r>
        <w:rPr>
          <w:color w:val="1F497D"/>
          <w:spacing w:val="-55"/>
        </w:rPr>
        <w:t xml:space="preserve"> </w:t>
      </w:r>
      <w:r>
        <w:rPr>
          <w:rFonts w:ascii="Arial" w:eastAsia="Arial" w:hAnsi="Arial" w:cs="Arial"/>
          <w:color w:val="1F497D"/>
        </w:rPr>
        <w:t>A/H</w:t>
      </w:r>
      <w:r>
        <w:rPr>
          <w:color w:val="1F497D"/>
        </w:rPr>
        <w:t>、中国联通。</w:t>
      </w:r>
    </w:p>
    <w:p>
      <w:pPr>
        <w:pStyle w:val="BodyText"/>
        <w:spacing w:before="78" w:line="236" w:lineRule="auto"/>
        <w:ind w:left="548" w:right="111" w:hanging="411"/>
      </w:pPr>
      <w:r>
        <w:rPr>
          <w:rFonts w:ascii="Wingdings" w:eastAsia="Wingdings" w:hAnsi="Wingdings" w:cs="Wingdings"/>
          <w:color w:val="1F497D"/>
          <w:spacing w:val="-10"/>
        </w:rPr>
        <w:t>.</w:t>
      </w:r>
      <w:r>
        <w:rPr>
          <w:rFonts w:ascii="Wingdings" w:eastAsia="Wingdings" w:hAnsi="Wingdings" w:cs="Wingdings"/>
          <w:color w:val="1F497D"/>
          <w:spacing w:val="57"/>
        </w:rPr>
        <w:t xml:space="preserve"> </w:t>
      </w:r>
      <w:r>
        <w:rPr>
          <w:color w:val="1F497D"/>
          <w:spacing w:val="-10"/>
          <w14:textOutline w14:w="3831">
            <w14:solidFill>
              <w14:srgbClr w14:val="1F497D"/>
            </w14:solidFill>
            <w14:prstDash w14:val="solid"/>
            <w14:round/>
          </w14:textOutline>
        </w:rPr>
        <w:t>风险提示。</w:t>
      </w:r>
      <w:r>
        <w:rPr>
          <w:color w:val="1F497D"/>
          <w:spacing w:val="28"/>
        </w:rPr>
        <w:t xml:space="preserve"> </w:t>
      </w:r>
      <w:r>
        <w:rPr>
          <w:rFonts w:ascii="Arial" w:eastAsia="Arial" w:hAnsi="Arial" w:cs="Arial"/>
          <w:color w:val="1F497D"/>
          <w:spacing w:val="-10"/>
        </w:rPr>
        <w:t xml:space="preserve">5G </w:t>
      </w:r>
      <w:r>
        <w:rPr>
          <w:color w:val="1F497D"/>
          <w:spacing w:val="-10"/>
        </w:rPr>
        <w:t>建设应用不及预期的风险；</w:t>
      </w:r>
      <w:r>
        <w:rPr>
          <w:rFonts w:ascii="Arial" w:eastAsia="Arial" w:hAnsi="Arial" w:cs="Arial"/>
          <w:color w:val="1F497D"/>
          <w:spacing w:val="-10"/>
        </w:rPr>
        <w:t xml:space="preserve">IDC </w:t>
      </w:r>
      <w:r>
        <w:rPr>
          <w:color w:val="1F497D"/>
          <w:spacing w:val="-10"/>
        </w:rPr>
        <w:t>新建设项目</w:t>
      </w:r>
      <w:r>
        <w:rPr>
          <w:color w:val="1F497D"/>
          <w:spacing w:val="-11"/>
        </w:rPr>
        <w:t>落地不及预</w:t>
      </w:r>
      <w:r>
        <w:rPr>
          <w:color w:val="1F497D"/>
        </w:rPr>
        <w:t xml:space="preserve"> </w:t>
      </w:r>
      <w:r>
        <w:rPr>
          <w:color w:val="1F497D"/>
          <w:spacing w:val="-5"/>
        </w:rPr>
        <w:t>期的风险；</w:t>
      </w:r>
      <w:r>
        <w:rPr>
          <w:color w:val="1F497D"/>
          <w:spacing w:val="-11"/>
        </w:rPr>
        <w:t xml:space="preserve"> </w:t>
      </w:r>
      <w:r>
        <w:rPr>
          <w:color w:val="1F497D"/>
          <w:spacing w:val="-5"/>
        </w:rPr>
        <w:t>数字中国政策落地不及预期风险。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6"/>
          <w:footerReference w:type="default" r:id="rId7"/>
          <w:type w:val="continuous"/>
          <w:pgSz w:w="11907" w:h="16839"/>
          <w:pgMar w:top="1713" w:right="638" w:bottom="1291" w:left="624" w:header="794" w:footer="745" w:gutter="0"/>
          <w:pgNumType w:start="2"/>
          <w:cols w:num="2" w:space="708" w:equalWidth="0">
            <w:col w:w="7027" w:space="100"/>
            <w:col w:w="3517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0"/>
        <w:tblW w:w="3516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516"/>
      </w:tblGrid>
      <w:tr>
        <w:tblPrEx>
          <w:tblW w:w="3516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16"/>
        </w:trPr>
        <w:tc>
          <w:tcPr>
            <w:tcW w:w="3516" w:type="dxa"/>
            <w:vAlign w:val="top"/>
          </w:tcPr>
          <w:tbl>
            <w:tblPr>
              <w:tblStyle w:val="TableNormal0"/>
              <w:tblW w:w="3515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2486"/>
              <w:gridCol w:w="1029"/>
            </w:tblGrid>
            <w:tr>
              <w:tblPrEx>
                <w:tblW w:w="3515" w:type="dxa"/>
                <w:tblInd w:w="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349"/>
              </w:trPr>
              <w:tc>
                <w:tcPr>
                  <w:tcW w:w="2486" w:type="dxa"/>
                  <w:tcBorders>
                    <w:top w:val="single" w:sz="14" w:space="0" w:color="DEDFEF"/>
                    <w:bottom w:val="single" w:sz="2" w:space="0" w:color="1F497D"/>
                  </w:tcBorders>
                  <w:shd w:val="clear" w:color="auto" w:fill="DEDFEF"/>
                  <w:vAlign w:val="top"/>
                </w:tcPr>
                <w:p>
                  <w:pPr>
                    <w:spacing w:before="43" w:line="215" w:lineRule="auto"/>
                    <w:ind w:left="117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1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行业评级</w:t>
                  </w:r>
                </w:p>
              </w:tc>
              <w:tc>
                <w:tcPr>
                  <w:tcW w:w="1029" w:type="dxa"/>
                  <w:tcBorders>
                    <w:top w:val="single" w:sz="14" w:space="0" w:color="DEDFEF"/>
                    <w:bottom w:val="single" w:sz="2" w:space="0" w:color="1F497D"/>
                  </w:tcBorders>
                  <w:shd w:val="clear" w:color="auto" w:fill="DEDFEF"/>
                  <w:vAlign w:val="top"/>
                </w:tcPr>
                <w:p>
                  <w:pPr>
                    <w:spacing w:before="43" w:line="225" w:lineRule="auto"/>
                    <w:ind w:left="464"/>
                    <w:rPr>
                      <w:rFonts w:ascii="KaiTi" w:eastAsia="KaiTi" w:hAnsi="KaiTi" w:cs="KaiTi"/>
                      <w:sz w:val="24"/>
                      <w:szCs w:val="24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6"/>
                      <w:sz w:val="24"/>
                      <w:szCs w:val="24"/>
                      <w14:textOutline w14:w="4354">
                        <w14:solidFill>
                          <w14:srgbClr w14:val="17365D"/>
                        </w14:solidFill>
                        <w14:prstDash w14:val="solid"/>
                        <w14:round/>
                      </w14:textOutline>
                    </w:rPr>
                    <w:t>买入</w:t>
                  </w:r>
                </w:p>
              </w:tc>
            </w:tr>
            <w:tr>
              <w:tblPrEx>
                <w:tblW w:w="3515" w:type="dxa"/>
                <w:tblInd w:w="0" w:type="dxa"/>
                <w:tblLayout w:type="fixed"/>
              </w:tblPrEx>
              <w:trPr>
                <w:trHeight w:val="1363"/>
              </w:trPr>
              <w:tc>
                <w:tcPr>
                  <w:tcW w:w="2486" w:type="dxa"/>
                  <w:tcBorders>
                    <w:top w:val="single" w:sz="2" w:space="0" w:color="1F497D"/>
                    <w:bottom w:val="single" w:sz="2" w:space="0" w:color="1F497D"/>
                  </w:tcBorders>
                  <w:vAlign w:val="top"/>
                </w:tcPr>
                <w:p>
                  <w:pPr>
                    <w:spacing w:before="86" w:line="326" w:lineRule="exact"/>
                    <w:ind w:left="120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2"/>
                      <w:position w:val="11"/>
                      <w:sz w:val="18"/>
                      <w:szCs w:val="18"/>
                    </w:rPr>
                    <w:t>前次评级</w:t>
                  </w:r>
                </w:p>
                <w:p>
                  <w:pPr>
                    <w:spacing w:line="216" w:lineRule="auto"/>
                    <w:ind w:left="113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1"/>
                      <w:sz w:val="18"/>
                      <w:szCs w:val="18"/>
                    </w:rPr>
                    <w:t>报告日期</w:t>
                  </w:r>
                </w:p>
                <w:p>
                  <w:pPr>
                    <w:pStyle w:val="TableText"/>
                    <w:spacing w:line="389" w:lineRule="auto"/>
                    <w:rPr>
                      <w:sz w:val="21"/>
                    </w:rPr>
                  </w:pPr>
                </w:p>
                <w:p>
                  <w:pPr>
                    <w:spacing w:before="68" w:line="220" w:lineRule="auto"/>
                    <w:ind w:left="48"/>
                    <w:rPr>
                      <w:rFonts w:ascii="KaiTi" w:eastAsia="KaiTi" w:hAnsi="KaiTi" w:cs="KaiTi"/>
                      <w:sz w:val="21"/>
                      <w:szCs w:val="21"/>
                    </w:rPr>
                  </w:pPr>
                  <w:r>
                    <w:rPr>
                      <w:rFonts w:ascii="KaiTi" w:eastAsia="KaiTi" w:hAnsi="KaiTi" w:cs="KaiTi"/>
                      <w:color w:val="1F497D"/>
                      <w:spacing w:val="1"/>
                      <w:sz w:val="21"/>
                      <w:szCs w:val="21"/>
                      <w14:textOutline w14:w="3831">
                        <w14:solidFill>
                          <w14:srgbClr w14:val="1F497D"/>
                        </w14:solidFill>
                        <w14:prstDash w14:val="solid"/>
                        <w14:round/>
                      </w14:textOutline>
                    </w:rPr>
                    <w:t>相对市场表现</w:t>
                  </w:r>
                </w:p>
              </w:tc>
              <w:tc>
                <w:tcPr>
                  <w:tcW w:w="1029" w:type="dxa"/>
                  <w:tcBorders>
                    <w:top w:val="single" w:sz="2" w:space="0" w:color="1F497D"/>
                    <w:bottom w:val="single" w:sz="2" w:space="0" w:color="1F497D"/>
                  </w:tcBorders>
                  <w:vAlign w:val="top"/>
                </w:tcPr>
                <w:p>
                  <w:pPr>
                    <w:spacing w:before="86" w:line="344" w:lineRule="exact"/>
                    <w:ind w:left="580"/>
                    <w:rPr>
                      <w:rFonts w:ascii="KaiTi" w:eastAsia="KaiTi" w:hAnsi="KaiTi" w:cs="KaiTi"/>
                      <w:sz w:val="18"/>
                      <w:szCs w:val="18"/>
                    </w:rPr>
                  </w:pPr>
                  <w:r>
                    <w:rPr>
                      <w:rFonts w:ascii="KaiTi" w:eastAsia="KaiTi" w:hAnsi="KaiTi" w:cs="KaiTi"/>
                      <w:color w:val="17365D"/>
                      <w:spacing w:val="-5"/>
                      <w:position w:val="12"/>
                      <w:sz w:val="18"/>
                      <w:szCs w:val="18"/>
                    </w:rPr>
                    <w:t>买入</w:t>
                  </w:r>
                </w:p>
                <w:p>
                  <w:pPr>
                    <w:pStyle w:val="TableText"/>
                    <w:spacing w:line="194" w:lineRule="auto"/>
                    <w:ind w:left="6"/>
                    <w:rPr>
                      <w:sz w:val="18"/>
                      <w:szCs w:val="18"/>
                    </w:rPr>
                  </w:pPr>
                  <w:r>
                    <w:rPr>
                      <w:color w:val="17365D"/>
                      <w:spacing w:val="-1"/>
                      <w:sz w:val="18"/>
                      <w:szCs w:val="18"/>
                    </w:rPr>
                    <w:t>2024-01-22</w:t>
                  </w:r>
                </w:p>
              </w:tc>
            </w:tr>
          </w:tbl>
          <w:p>
            <w:pPr>
              <w:pStyle w:val="TableText"/>
              <w:spacing w:line="148" w:lineRule="exact"/>
              <w:rPr>
                <w:sz w:val="12"/>
              </w:rPr>
            </w:pPr>
          </w:p>
        </w:tc>
      </w:tr>
      <w:tr>
        <w:tblPrEx>
          <w:tblW w:w="3516" w:type="dxa"/>
          <w:tblInd w:w="0" w:type="dxa"/>
          <w:tblLayout w:type="fixed"/>
        </w:tblPrEx>
        <w:trPr>
          <w:trHeight w:val="2026"/>
        </w:trPr>
        <w:tc>
          <w:tcPr>
            <w:tcW w:w="3516" w:type="dxa"/>
            <w:vAlign w:val="top"/>
          </w:tcPr>
          <w:p>
            <w:pPr>
              <w:pStyle w:val="TableText"/>
              <w:spacing w:before="157" w:line="203" w:lineRule="auto"/>
              <w:ind w:left="199"/>
              <w:rPr>
                <w:sz w:val="11"/>
                <w:szCs w:val="11"/>
              </w:rPr>
            </w:pPr>
            <w:r>
              <w:pict>
                <v:shape id="_x0000_s1027" style="width:0.75pt;height:85.6pt;margin-top:10.2pt;margin-left:25.97pt;position:absolute;z-index:-251658240" coordorigin="0,0" coordsize="15,1711" path="m7,1711l7,e" filled="f" strokecolor="#868686" strokeweight="0.72pt"/>
              </w:pict>
            </w:r>
            <w:r>
              <w:pict>
                <v:rect id="_x0000_s1028" style="width:0.6pt;height:4.7pt;margin-top:39.47pt;margin-left:-67.27pt;mso-position-horizontal-relative:right-margin-area;mso-position-vertical-relative:top-margin-area;position:absolute;z-index:251674624" filled="t" fillcolor="red" stroked="f"/>
              </w:pict>
            </w:r>
            <w:r>
              <w:pict>
                <v:rect id="_x0000_s1029" style="width:0.6pt;height:7.1pt;margin-top:37.07pt;margin-left:-58.51pt;mso-position-horizontal-relative:right-margin-area;mso-position-vertical-relative:top-margin-area;position:absolute;z-index:251671552" filled="t" fillcolor="red" stroked="f"/>
              </w:pict>
            </w:r>
            <w:r>
              <w:pict>
                <v:rect id="_x0000_s1030" style="width:0.65pt;height:7pt;margin-top:10.19pt;margin-left:-92.59pt;mso-position-horizontal-relative:right-margin-area;mso-position-vertical-relative:top-margin-area;position:absolute;z-index:251672576" filled="t" fillcolor="red" stroked="f"/>
              </w:pict>
            </w:r>
            <w:r>
              <w:pict>
                <v:rect id="_x0000_s1031" style="width:0.65pt;height:4.35pt;margin-top:29.27pt;margin-left:-74.59pt;mso-position-horizontal-relative:right-margin-area;mso-position-vertical-relative:top-margin-area;position:absolute;z-index:251675648" filled="t" fillcolor="red" stroked="f"/>
              </w:pict>
            </w:r>
            <w:r>
              <w:pict>
                <v:rect id="_x0000_s1032" style="width:0.6pt;height:2.05pt;margin-top:10.19pt;margin-left:-92.95pt;mso-position-horizontal-relative:right-margin-area;mso-position-vertical-relative:top-margin-area;position:absolute;z-index:251676672" filled="t" fillcolor="red" stroked="f"/>
              </w:pict>
            </w:r>
            <w:r>
              <w:drawing>
                <wp:anchor distT="0" distB="0" distL="0" distR="0" simplePos="0" relativeHeight="251673600" behindDoc="0" locked="0" layoutInCell="1" allowOverlap="1">
                  <wp:simplePos x="0" y="0"/>
                  <wp:positionH relativeFrom="rightMargin">
                    <wp:posOffset>-224916</wp:posOffset>
                  </wp:positionH>
                  <wp:positionV relativeFrom="topMargin">
                    <wp:posOffset>731406</wp:posOffset>
                  </wp:positionV>
                  <wp:extent cx="12192" cy="38100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" cy="38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1312" behindDoc="0" locked="0" layoutInCell="1" allowOverlap="1">
                  <wp:simplePos x="0" y="0"/>
                  <wp:positionH relativeFrom="rightMargin">
                    <wp:posOffset>-1470024</wp:posOffset>
                  </wp:positionH>
                  <wp:positionV relativeFrom="topMargin">
                    <wp:posOffset>348882</wp:posOffset>
                  </wp:positionV>
                  <wp:extent cx="245363" cy="207263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63" cy="2072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rightMargin">
                    <wp:posOffset>-1921128</wp:posOffset>
                  </wp:positionH>
                  <wp:positionV relativeFrom="topMargin">
                    <wp:posOffset>214770</wp:posOffset>
                  </wp:positionV>
                  <wp:extent cx="1708403" cy="705611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403" cy="7056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rightMargin">
                    <wp:posOffset>-496188</wp:posOffset>
                  </wp:positionH>
                  <wp:positionV relativeFrom="topMargin">
                    <wp:posOffset>514998</wp:posOffset>
                  </wp:positionV>
                  <wp:extent cx="134111" cy="28956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111" cy="289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rightMargin">
                    <wp:posOffset>-625728</wp:posOffset>
                  </wp:positionH>
                  <wp:positionV relativeFrom="topMargin">
                    <wp:posOffset>472326</wp:posOffset>
                  </wp:positionV>
                  <wp:extent cx="16764" cy="74676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" cy="74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rightMargin">
                    <wp:posOffset>-1828164</wp:posOffset>
                  </wp:positionH>
                  <wp:positionV relativeFrom="topMargin">
                    <wp:posOffset>582055</wp:posOffset>
                  </wp:positionV>
                  <wp:extent cx="464819" cy="376427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19" cy="3764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3" style="width:43.2pt;height:4.2pt;margin-top:79.31pt;margin-left:-99.91pt;mso-position-horizontal-relative:right-margin-area;mso-position-vertical-relative:top-margin-area;position:absolute;z-index:251663360" coordorigin="0,0" coordsize="864,83" path="m2,21l9,16m45,14l52,26m573,2l580,28l604,62l612,45l619,81l626,64l633,74l655,47l662,26l669,26l676,40l684,23m712,7l722,11l729,45l736,55l758,38l765,43l772,57l780,59l787,74m837,55l861,69e" filled="f" strokecolor="navy" strokeweight="0.24pt">
                  <v:stroke endcap="round"/>
                </v:shape>
              </w:pict>
            </w:r>
            <w:r>
              <w:pict>
                <v:shape id="_x0000_s1034" style="width:19.7pt;height:4.1pt;margin-top:81.95pt;margin-left:-60.67pt;mso-position-horizontal-relative:right-margin-area;mso-position-vertical-relative:top-margin-area;position:absolute;z-index:251664384" coordorigin="0,0" coordsize="394,81" path="m2,21l23,9l31,14l38,24l45,43l52,2m76,16l83,31l91,26l98,33l177,36l184,52l194,45l201,24l208,48l230,69l237,62l244,79m384,67l391,74e" filled="f" strokecolor="navy" strokeweight="0.24pt">
                  <v:stroke endcap="round"/>
                </v:shape>
              </w:pict>
            </w:r>
            <w:r>
              <w:pict>
                <v:shape id="_x0000_s1035" style="width:14.9pt;height:3.85pt;margin-top:85.19pt;margin-left:-48.55pt;mso-position-horizontal-relative:right-margin-area;mso-position-vertical-relative:top-margin-area;position:absolute;z-index:251665408" coordorigin="0,0" coordsize="297,76" path="m2,14l9,60l16,74m59,72l67,43l91,31l98,36l105,38l112,48l119,31l141,2m148,9l155,14l163,12l170,28l191,33l199,31l208,16l215,36l223,38l244,33l251,31l259,52l266,43l273,57l295,72e" filled="f" strokecolor="navy" strokeweight="0.24pt">
                  <v:stroke endcap="round"/>
                </v:shape>
              </w:pict>
            </w:r>
            <w:r>
              <w:pict>
                <v:shape id="_x0000_s1036" style="width:16.85pt;height:1.95pt;margin-top:88.55pt;margin-left:-47.83pt;mso-position-horizontal-relative:right-margin-area;mso-position-vertical-relative:top-margin-area;position:absolute;z-index:251667456" coordorigin="0,0" coordsize="337,39" path="m2,7l24,28l31,19l38,9l45,4m280,4l288,2l295,19l302,14l309,21l333,36e" filled="f" strokecolor="navy" strokeweight="0.24pt">
                  <v:stroke endcap="round"/>
                </v:shape>
              </w:pict>
            </w:r>
            <w:r>
              <w:pict>
                <v:shape id="_x0000_s1037" style="width:11.9pt;height:4.2pt;margin-top:90.23pt;margin-left:-31.27pt;mso-position-horizontal-relative:right-margin-area;mso-position-vertical-relative:top-margin-area;position:absolute;z-index:251666432" coordorigin="0,0" coordsize="237,83" path="m2,2l9,40l16,38l24,43l31,38l52,26l60,21l67,55l74,67l81,71l103,79m134,74l155,69l163,81m170,76l177,28l184,19l213,45l220,50l228,69l235,79e" filled="f" strokecolor="navy" strokeweight="0.24pt">
                  <v:stroke endcap="round"/>
                </v:shape>
              </w:pict>
            </w:r>
            <w:r>
              <w:pict>
                <v:shape id="_x0000_s1038" style="width:9.5pt;height:2.05pt;margin-top:93.83pt;margin-left:-26.23pt;mso-position-horizontal-relative:right-margin-area;mso-position-vertical-relative:top-margin-area;position:absolute;z-index:251669504" coordorigin="0,0" coordsize="190,40" path="m2,7l9,4l19,26l26,7l33,2m62,9l69,4m134,7l158,33l165,28l172,38l180,28l187,33e" filled="f" strokecolor="navy" strokeweight="0.24pt">
                  <v:stroke endcap="round"/>
                </v:shape>
              </w:pict>
            </w:r>
            <w:r>
              <w:rPr>
                <w:spacing w:val="2"/>
                <w:sz w:val="11"/>
                <w:szCs w:val="11"/>
              </w:rPr>
              <w:t>49%</w:t>
            </w:r>
            <w:r>
              <w:rPr>
                <w:spacing w:val="1"/>
                <w:sz w:val="11"/>
                <w:szCs w:val="11"/>
              </w:rPr>
              <w:t xml:space="preserve">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2859" cy="9143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" cy="9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before="143" w:line="96" w:lineRule="exact"/>
              <w:ind w:firstLine="1714"/>
            </w:pPr>
            <w:r>
              <w:rPr>
                <w:position w:val="-1"/>
              </w:rPr>
              <w:drawing>
                <wp:inline distT="0" distB="0" distL="0" distR="0">
                  <wp:extent cx="13716" cy="61002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16" cy="610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line="194" w:lineRule="auto"/>
              <w:ind w:left="202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>35%</w:t>
            </w:r>
          </w:p>
          <w:p>
            <w:pPr>
              <w:pStyle w:val="TableText"/>
              <w:spacing w:before="235" w:line="203" w:lineRule="auto"/>
              <w:ind w:left="201"/>
              <w:rPr>
                <w:sz w:val="11"/>
                <w:szCs w:val="11"/>
              </w:rPr>
            </w:pPr>
            <w:r>
              <w:rPr>
                <w:spacing w:val="2"/>
                <w:sz w:val="11"/>
                <w:szCs w:val="11"/>
              </w:rPr>
              <w:t>21%</w:t>
            </w:r>
          </w:p>
          <w:p>
            <w:pPr>
              <w:pStyle w:val="TableText"/>
              <w:spacing w:before="235" w:line="203" w:lineRule="auto"/>
              <w:ind w:left="267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>7%</w:t>
            </w:r>
          </w:p>
          <w:p>
            <w:pPr>
              <w:pStyle w:val="TableText"/>
              <w:spacing w:before="204" w:line="373" w:lineRule="exact"/>
              <w:ind w:left="227"/>
              <w:rPr>
                <w:sz w:val="11"/>
                <w:szCs w:val="11"/>
              </w:rPr>
            </w:pPr>
            <w:r>
              <w:pict>
                <v:shape id="_x0000_s1039" type="#_x0000_t202" style="width:106.05pt;height:7.45pt;margin-top:9.24pt;margin-left:40.23pt;position:absolute;z-index:25167872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05" w:lineRule="auto"/>
                          <w:ind w:left="20"/>
                          <w:rPr>
                            <w:sz w:val="11"/>
                            <w:szCs w:val="11"/>
                          </w:rPr>
                        </w:pPr>
                        <w:r>
                          <w:rPr>
                            <w:spacing w:val="1"/>
                            <w:sz w:val="11"/>
                            <w:szCs w:val="11"/>
                          </w:rPr>
                          <w:t>03/23     05/23</w:t>
                        </w:r>
                        <w:r>
                          <w:rPr>
                            <w:spacing w:val="4"/>
                            <w:sz w:val="11"/>
                            <w:szCs w:val="11"/>
                          </w:rPr>
                          <w:t xml:space="preserve">     </w:t>
                        </w:r>
                        <w:r>
                          <w:rPr>
                            <w:spacing w:val="1"/>
                            <w:sz w:val="11"/>
                            <w:szCs w:val="11"/>
                          </w:rPr>
                          <w:t>07/23</w:t>
                        </w:r>
                        <w:r>
                          <w:rPr>
                            <w:spacing w:val="4"/>
                            <w:sz w:val="11"/>
                            <w:szCs w:val="11"/>
                          </w:rPr>
                          <w:t xml:space="preserve">     </w:t>
                        </w:r>
                        <w:r>
                          <w:rPr>
                            <w:spacing w:val="1"/>
                            <w:sz w:val="11"/>
                            <w:szCs w:val="11"/>
                          </w:rPr>
                          <w:t>09/23</w:t>
                        </w:r>
                        <w:r>
                          <w:rPr>
                            <w:spacing w:val="4"/>
                            <w:sz w:val="11"/>
                            <w:szCs w:val="11"/>
                          </w:rPr>
                          <w:t xml:space="preserve">     </w:t>
                        </w:r>
                        <w:r>
                          <w:rPr>
                            <w:spacing w:val="1"/>
                            <w:sz w:val="11"/>
                            <w:szCs w:val="11"/>
                          </w:rPr>
                          <w:t>11/23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4"/>
                <w:position w:val="17"/>
                <w:sz w:val="11"/>
                <w:szCs w:val="11"/>
              </w:rPr>
              <w:t>-</w:t>
            </w:r>
            <w:r>
              <w:rPr>
                <w:spacing w:val="-4"/>
                <w:position w:val="18"/>
                <w:sz w:val="11"/>
                <w:szCs w:val="11"/>
              </w:rPr>
              <w:t>7%0</w:t>
            </w:r>
            <w:r>
              <w:rPr>
                <w:spacing w:val="-4"/>
                <w:position w:val="20"/>
                <w:sz w:val="11"/>
                <w:szCs w:val="11"/>
              </w:rPr>
              <w:t>1/23</w:t>
            </w:r>
          </w:p>
          <w:p>
            <w:pPr>
              <w:pStyle w:val="TableText"/>
              <w:spacing w:line="203" w:lineRule="auto"/>
              <w:ind w:left="163"/>
              <w:rPr>
                <w:sz w:val="11"/>
                <w:szCs w:val="11"/>
              </w:rPr>
            </w:pPr>
            <w:r>
              <w:rPr>
                <w:spacing w:val="1"/>
                <w:sz w:val="11"/>
                <w:szCs w:val="11"/>
              </w:rPr>
              <w:t>-21%</w:t>
            </w:r>
            <w:r>
              <w:rPr>
                <w:spacing w:val="2"/>
                <w:sz w:val="11"/>
                <w:szCs w:val="11"/>
              </w:rPr>
              <w:t xml:space="preserve">  </w:t>
            </w:r>
            <w:r>
              <w:rPr>
                <w:position w:val="2"/>
                <w:sz w:val="11"/>
                <w:szCs w:val="11"/>
              </w:rPr>
              <w:drawing>
                <wp:inline distT="0" distB="0" distL="0" distR="0">
                  <wp:extent cx="22859" cy="9143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9" cy="9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527"/>
        </w:trPr>
        <w:tc>
          <w:tcPr>
            <w:tcW w:w="3516" w:type="dxa"/>
            <w:vAlign w:val="top"/>
          </w:tcPr>
          <w:p>
            <w:pPr>
              <w:tabs>
                <w:tab w:val="left" w:pos="1313"/>
              </w:tabs>
              <w:spacing w:before="70" w:line="234" w:lineRule="auto"/>
              <w:ind w:left="92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KaiTi" w:eastAsia="KaiTi" w:hAnsi="KaiTi" w:cs="KaiTi"/>
                <w:strike/>
                <w:sz w:val="13"/>
                <w:szCs w:val="13"/>
              </w:rPr>
              <w:tab/>
            </w:r>
            <w:r>
              <w:rPr>
                <w:rFonts w:ascii="KaiTi" w:eastAsia="KaiTi" w:hAnsi="KaiTi" w:cs="KaiTi"/>
                <w:spacing w:val="-16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通信</w:t>
            </w:r>
            <w:r>
              <w:rPr>
                <w:rFonts w:ascii="KaiTi" w:eastAsia="KaiTi" w:hAnsi="KaiTi" w:cs="KaiTi"/>
                <w:spacing w:val="10"/>
                <w:sz w:val="13"/>
                <w:szCs w:val="13"/>
              </w:rPr>
              <w:t xml:space="preserve">  </w:t>
            </w:r>
            <w:r>
              <w:rPr>
                <w:rFonts w:ascii="KaiTi" w:eastAsia="KaiTi" w:hAnsi="KaiTi" w:cs="KaiTi"/>
                <w:strike/>
                <w:spacing w:val="12"/>
                <w:sz w:val="13"/>
                <w:szCs w:val="13"/>
              </w:rPr>
              <w:t xml:space="preserve">     </w:t>
            </w:r>
            <w:r>
              <w:rPr>
                <w:rFonts w:ascii="KaiTi" w:eastAsia="KaiTi" w:hAnsi="KaiTi" w:cs="KaiTi"/>
                <w:spacing w:val="-4"/>
                <w:sz w:val="13"/>
                <w:szCs w:val="13"/>
              </w:rPr>
              <w:t xml:space="preserve"> </w:t>
            </w:r>
            <w:r>
              <w:rPr>
                <w:rFonts w:ascii="KaiTi" w:eastAsia="KaiTi" w:hAnsi="KaiTi" w:cs="KaiTi"/>
                <w:spacing w:val="3"/>
                <w:sz w:val="13"/>
                <w:szCs w:val="13"/>
              </w:rPr>
              <w:t>沪深</w:t>
            </w: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300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6210"/>
        </w:trPr>
        <w:tc>
          <w:tcPr>
            <w:tcW w:w="3516" w:type="dxa"/>
            <w:tcBorders>
              <w:bottom w:val="single" w:sz="8" w:space="0" w:color="FFFFFF"/>
            </w:tcBorders>
            <w:vAlign w:val="top"/>
          </w:tcPr>
          <w:p>
            <w:pPr>
              <w:pStyle w:val="TableText"/>
              <w:spacing w:line="257" w:lineRule="auto"/>
              <w:rPr>
                <w:sz w:val="21"/>
              </w:rPr>
            </w:pP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rightMargin">
                    <wp:posOffset>-2040000</wp:posOffset>
                  </wp:positionH>
                  <wp:positionV relativeFrom="topMargin">
                    <wp:posOffset>2749563</wp:posOffset>
                  </wp:positionV>
                  <wp:extent cx="219455" cy="195072"/>
                  <wp:effectExtent l="0" t="0" r="0" b="0"/>
                  <wp:wrapNone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95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before="58" w:line="216" w:lineRule="auto"/>
              <w:ind w:left="12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4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-14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14"/>
                <w:sz w:val="18"/>
                <w:szCs w:val="18"/>
              </w:rPr>
              <w:t>韩东</w:t>
            </w:r>
          </w:p>
          <w:p>
            <w:pPr>
              <w:pStyle w:val="TableText"/>
              <w:spacing w:before="53"/>
              <w:ind w:left="303"/>
            </w:pPr>
            <w:r>
              <w:rPr>
                <w:color w:val="1F497D"/>
                <w:position w:val="-9"/>
              </w:rPr>
              <w:drawing>
                <wp:inline distT="0" distB="0" distL="0" distR="0">
                  <wp:extent cx="219455" cy="195072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95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</w:rPr>
              <w:t xml:space="preserve">          </w:t>
            </w:r>
            <w:r>
              <w:rPr>
                <w:color w:val="1F497D"/>
                <w:spacing w:val="-4"/>
              </w:rPr>
              <w:t>SAC</w:t>
            </w:r>
            <w:r>
              <w:rPr>
                <w:color w:val="1F497D"/>
                <w:spacing w:val="36"/>
                <w:w w:val="101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S0260523050005</w:t>
            </w:r>
          </w:p>
          <w:p>
            <w:pPr>
              <w:pStyle w:val="TableText"/>
              <w:spacing w:before="28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455" cy="181355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81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021-38003776</w:t>
            </w:r>
          </w:p>
          <w:p>
            <w:pPr>
              <w:pStyle w:val="TableText"/>
              <w:spacing w:before="47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455" cy="172211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72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gfhandong@gf.com.cn</w:t>
            </w:r>
          </w:p>
          <w:p>
            <w:pPr>
              <w:spacing w:before="99" w:line="205" w:lineRule="auto"/>
              <w:ind w:left="12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</w:rPr>
              <w:t>李</w:t>
            </w:r>
            <w:r>
              <w:rPr>
                <w:rFonts w:ascii="Microsoft YaHei" w:eastAsia="Microsoft YaHei" w:hAnsi="Microsoft YaHei" w:cs="Microsoft YaHei"/>
                <w:color w:val="1F497D"/>
                <w:spacing w:val="-13"/>
                <w:sz w:val="18"/>
                <w:szCs w:val="18"/>
              </w:rPr>
              <w:t>璟</w:t>
            </w:r>
            <w:r>
              <w:rPr>
                <w:rFonts w:ascii="KaiTi" w:eastAsia="KaiTi" w:hAnsi="KaiTi" w:cs="KaiTi"/>
                <w:color w:val="1F497D"/>
                <w:spacing w:val="-13"/>
                <w:sz w:val="18"/>
                <w:szCs w:val="18"/>
              </w:rPr>
              <w:t>菲</w:t>
            </w:r>
          </w:p>
          <w:p>
            <w:pPr>
              <w:pStyle w:val="TableText"/>
              <w:ind w:left="303"/>
            </w:pPr>
            <w:r>
              <w:rPr>
                <w:color w:val="1F497D"/>
                <w:position w:val="-9"/>
              </w:rPr>
              <w:drawing>
                <wp:inline distT="0" distB="0" distL="0" distR="0">
                  <wp:extent cx="219455" cy="195071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950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</w:rPr>
              <w:t xml:space="preserve">          </w:t>
            </w:r>
            <w:r>
              <w:rPr>
                <w:color w:val="1F497D"/>
                <w:spacing w:val="-4"/>
              </w:rPr>
              <w:t>SAC</w:t>
            </w:r>
            <w:r>
              <w:rPr>
                <w:color w:val="1F497D"/>
                <w:spacing w:val="36"/>
                <w:w w:val="101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S0260523030005</w:t>
            </w:r>
          </w:p>
          <w:p>
            <w:pPr>
              <w:pStyle w:val="TableText"/>
              <w:spacing w:before="38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455" cy="170688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70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lijingfei@gf.com.cn</w:t>
            </w:r>
          </w:p>
          <w:p>
            <w:pPr>
              <w:spacing w:before="101" w:line="217" w:lineRule="auto"/>
              <w:ind w:left="12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5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20"/>
                <w:sz w:val="18"/>
                <w:szCs w:val="18"/>
              </w:rPr>
              <w:t xml:space="preserve">   </w:t>
            </w:r>
            <w:r>
              <w:rPr>
                <w:rFonts w:ascii="KaiTi" w:eastAsia="KaiTi" w:hAnsi="KaiTi" w:cs="KaiTi"/>
                <w:color w:val="1F497D"/>
                <w:spacing w:val="-15"/>
                <w:sz w:val="18"/>
                <w:szCs w:val="18"/>
              </w:rPr>
              <w:t>戎志强</w:t>
            </w:r>
          </w:p>
          <w:p>
            <w:pPr>
              <w:pStyle w:val="TableText"/>
              <w:spacing w:before="53"/>
              <w:ind w:left="303"/>
            </w:pPr>
            <w:r>
              <w:rPr>
                <w:color w:val="1F497D"/>
                <w:position w:val="-9"/>
              </w:rPr>
              <w:drawing>
                <wp:inline distT="0" distB="0" distL="0" distR="0">
                  <wp:extent cx="219455" cy="193547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93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2"/>
              </w:rPr>
              <w:t xml:space="preserve">          </w:t>
            </w:r>
            <w:r>
              <w:rPr>
                <w:color w:val="1F497D"/>
                <w:spacing w:val="-4"/>
              </w:rPr>
              <w:t>SAC</w:t>
            </w:r>
            <w:r>
              <w:rPr>
                <w:color w:val="1F497D"/>
                <w:spacing w:val="36"/>
                <w:w w:val="101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S0260523090001</w:t>
            </w:r>
          </w:p>
          <w:p>
            <w:pPr>
              <w:pStyle w:val="TableText"/>
              <w:spacing w:before="31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455" cy="181355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81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021-38003535</w:t>
            </w:r>
          </w:p>
          <w:p>
            <w:pPr>
              <w:pStyle w:val="TableText"/>
              <w:spacing w:before="48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455" cy="172211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72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rongzhiqiang@gf.com.cn</w:t>
            </w:r>
          </w:p>
          <w:p>
            <w:pPr>
              <w:spacing w:before="99" w:line="217" w:lineRule="auto"/>
              <w:ind w:left="128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4"/>
                <w:sz w:val="18"/>
                <w:szCs w:val="18"/>
                <w14:textOutline w14:w="3265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分析师：</w:t>
            </w:r>
            <w:r>
              <w:rPr>
                <w:rFonts w:ascii="KaiTi" w:eastAsia="KaiTi" w:hAnsi="KaiTi" w:cs="KaiTi"/>
                <w:color w:val="1F497D"/>
                <w:spacing w:val="-14"/>
                <w:sz w:val="18"/>
                <w:szCs w:val="18"/>
              </w:rPr>
              <w:t xml:space="preserve">    </w:t>
            </w:r>
            <w:r>
              <w:rPr>
                <w:rFonts w:ascii="KaiTi" w:eastAsia="KaiTi" w:hAnsi="KaiTi" w:cs="KaiTi"/>
                <w:color w:val="1F497D"/>
                <w:spacing w:val="-14"/>
                <w:sz w:val="18"/>
                <w:szCs w:val="18"/>
              </w:rPr>
              <w:t>王亮</w:t>
            </w:r>
          </w:p>
          <w:p>
            <w:pPr>
              <w:pStyle w:val="TableText"/>
              <w:spacing w:before="129" w:line="219" w:lineRule="auto"/>
              <w:ind w:left="1079"/>
            </w:pPr>
            <w:r>
              <w:rPr>
                <w:color w:val="1F497D"/>
                <w:spacing w:val="-4"/>
              </w:rPr>
              <w:t>SAC</w:t>
            </w:r>
            <w:r>
              <w:rPr>
                <w:color w:val="1F497D"/>
                <w:spacing w:val="42"/>
                <w:w w:val="101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-4"/>
              </w:rPr>
              <w:t>执证号：</w:t>
            </w:r>
            <w:r>
              <w:rPr>
                <w:rFonts w:ascii="KaiTi" w:eastAsia="KaiTi" w:hAnsi="KaiTi" w:cs="KaiTi"/>
                <w:color w:val="1F497D"/>
                <w:spacing w:val="-4"/>
              </w:rPr>
              <w:t xml:space="preserve"> </w:t>
            </w:r>
            <w:r>
              <w:rPr>
                <w:color w:val="1F497D"/>
                <w:spacing w:val="-4"/>
              </w:rPr>
              <w:t>S0260519060001</w:t>
            </w:r>
          </w:p>
          <w:p>
            <w:pPr>
              <w:pStyle w:val="TableText"/>
              <w:spacing w:before="169" w:line="197" w:lineRule="auto"/>
              <w:ind w:left="1079"/>
            </w:pPr>
            <w:r>
              <w:rPr>
                <w:color w:val="1F497D"/>
                <w:spacing w:val="-2"/>
              </w:rPr>
              <w:t>SFC CE</w:t>
            </w:r>
            <w:r>
              <w:rPr>
                <w:color w:val="1F497D"/>
                <w:spacing w:val="13"/>
                <w:w w:val="101"/>
              </w:rPr>
              <w:t xml:space="preserve"> </w:t>
            </w:r>
            <w:r>
              <w:rPr>
                <w:color w:val="1F497D"/>
                <w:spacing w:val="-2"/>
              </w:rPr>
              <w:t>No.</w:t>
            </w:r>
            <w:r>
              <w:rPr>
                <w:color w:val="1F497D"/>
                <w:spacing w:val="11"/>
              </w:rPr>
              <w:t xml:space="preserve"> </w:t>
            </w:r>
            <w:r>
              <w:rPr>
                <w:color w:val="1F497D"/>
                <w:spacing w:val="-2"/>
              </w:rPr>
              <w:t>BFS478</w:t>
            </w:r>
          </w:p>
          <w:p>
            <w:pPr>
              <w:pStyle w:val="TableText"/>
              <w:spacing w:before="96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455" cy="18135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81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4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021-38003658</w:t>
            </w:r>
          </w:p>
          <w:p>
            <w:pPr>
              <w:pStyle w:val="TableText"/>
              <w:spacing w:before="48"/>
              <w:ind w:left="303"/>
              <w:rPr>
                <w:sz w:val="18"/>
                <w:szCs w:val="18"/>
              </w:rPr>
            </w:pPr>
            <w:r>
              <w:rPr>
                <w:color w:val="1F497D"/>
                <w:position w:val="-7"/>
                <w:sz w:val="18"/>
                <w:szCs w:val="18"/>
              </w:rPr>
              <w:drawing>
                <wp:inline distT="0" distB="0" distL="0" distR="0">
                  <wp:extent cx="219455" cy="172211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55" cy="1722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1F497D"/>
                <w:spacing w:val="5"/>
                <w:sz w:val="18"/>
                <w:szCs w:val="18"/>
              </w:rPr>
              <w:t xml:space="preserve">        </w:t>
            </w:r>
            <w:r>
              <w:rPr>
                <w:color w:val="1F497D"/>
                <w:spacing w:val="-1"/>
                <w:sz w:val="18"/>
                <w:szCs w:val="18"/>
              </w:rPr>
              <w:t>gfwangliang@gf.com.cn</w:t>
            </w:r>
          </w:p>
          <w:p>
            <w:pPr>
              <w:pStyle w:val="TableText"/>
              <w:spacing w:before="77" w:line="232" w:lineRule="auto"/>
              <w:ind w:left="117" w:right="213" w:hanging="3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请注意，韩东</w:t>
            </w:r>
            <w:r>
              <w:rPr>
                <w:color w:val="1F497D"/>
                <w:spacing w:val="9"/>
                <w:sz w:val="12"/>
                <w:szCs w:val="12"/>
              </w:rPr>
              <w:t>,</w:t>
            </w: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李</w:t>
            </w:r>
            <w:r>
              <w:rPr>
                <w:rFonts w:ascii="Microsoft YaHei" w:eastAsia="Microsoft YaHei" w:hAnsi="Microsoft YaHei" w:cs="Microsoft YaHei"/>
                <w:color w:val="1F497D"/>
                <w:spacing w:val="9"/>
                <w:sz w:val="12"/>
                <w:szCs w:val="12"/>
              </w:rPr>
              <w:t>璟</w:t>
            </w: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菲</w:t>
            </w:r>
            <w:r>
              <w:rPr>
                <w:color w:val="1F497D"/>
                <w:spacing w:val="9"/>
                <w:sz w:val="12"/>
                <w:szCs w:val="12"/>
              </w:rPr>
              <w:t>,</w:t>
            </w:r>
            <w:r>
              <w:rPr>
                <w:rFonts w:ascii="KaiTi" w:eastAsia="KaiTi" w:hAnsi="KaiTi" w:cs="KaiTi"/>
                <w:color w:val="1F497D"/>
                <w:spacing w:val="9"/>
                <w:sz w:val="12"/>
                <w:szCs w:val="12"/>
              </w:rPr>
              <w:t>戎志强并非香港证券及期货事务监</w:t>
            </w:r>
            <w:r>
              <w:rPr>
                <w:rFonts w:ascii="KaiTi" w:eastAsia="KaiTi" w:hAnsi="KaiTi" w:cs="KaiTi"/>
                <w:color w:val="1F497D"/>
                <w:spacing w:val="6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1F497D"/>
                <w:spacing w:val="8"/>
                <w:sz w:val="12"/>
                <w:szCs w:val="12"/>
              </w:rPr>
              <w:t>察委员会的注册持牌人，不可在香港从事受监管活动。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321"/>
        </w:trPr>
        <w:tc>
          <w:tcPr>
            <w:tcW w:w="3516" w:type="dxa"/>
            <w:tcBorders>
              <w:top w:val="single" w:sz="2" w:space="0" w:color="1F497D"/>
              <w:bottom w:val="single" w:sz="2" w:space="0" w:color="1F497D"/>
            </w:tcBorders>
            <w:vAlign w:val="top"/>
          </w:tcPr>
          <w:p>
            <w:pPr>
              <w:spacing w:before="50" w:line="226" w:lineRule="auto"/>
              <w:ind w:left="11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1F497D"/>
                <w:spacing w:val="-9"/>
                <w:sz w:val="21"/>
                <w:szCs w:val="21"/>
                <w14:textOutline w14:w="3831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相关研究：</w:t>
            </w:r>
          </w:p>
        </w:tc>
      </w:tr>
      <w:tr>
        <w:tblPrEx>
          <w:tblW w:w="3516" w:type="dxa"/>
          <w:tblInd w:w="0" w:type="dxa"/>
          <w:tblLayout w:type="fixed"/>
        </w:tblPrEx>
        <w:trPr>
          <w:trHeight w:val="1883"/>
        </w:trPr>
        <w:tc>
          <w:tcPr>
            <w:tcW w:w="3516" w:type="dxa"/>
            <w:tcBorders>
              <w:top w:val="single" w:sz="2" w:space="0" w:color="1F497D"/>
            </w:tcBorders>
            <w:vAlign w:val="top"/>
          </w:tcPr>
          <w:p>
            <w:pPr>
              <w:pStyle w:val="TableText"/>
              <w:spacing w:before="74" w:line="216" w:lineRule="auto"/>
              <w:ind w:left="118"/>
              <w:rPr>
                <w:rFonts w:ascii="KaiTi" w:eastAsia="KaiTi" w:hAnsi="KaiTi" w:cs="KaiTi"/>
                <w:sz w:val="18"/>
                <w:szCs w:val="18"/>
              </w:rPr>
            </w:pPr>
            <w:r>
              <w:pict>
                <v:shape id="_x0000_s1040" type="#_x0000_t202" style="width:40.35pt;height:9.05pt;margin-top:4.52pt;margin-left:131.13pt;position:absolute;z-index:25167769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5" w:lineRule="auto"/>
                          <w:ind w:left="20"/>
                        </w:pPr>
                        <w:r>
                          <w:rPr>
                            <w:color w:val="1F497D"/>
                          </w:rPr>
                          <w:t>2024-01-15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aiTi" w:eastAsia="KaiTi" w:hAnsi="KaiTi" w:cs="KaiTi"/>
                <w:color w:val="1F497D"/>
                <w:spacing w:val="-1"/>
                <w:sz w:val="18"/>
                <w:szCs w:val="18"/>
              </w:rPr>
              <w:t>通信行业</w:t>
            </w:r>
            <w:r>
              <w:rPr>
                <w:color w:val="1F497D"/>
                <w:spacing w:val="-1"/>
                <w:sz w:val="18"/>
                <w:szCs w:val="18"/>
              </w:rPr>
              <w:t xml:space="preserve">:CES </w:t>
            </w:r>
            <w:r>
              <w:rPr>
                <w:rFonts w:ascii="KaiTi" w:eastAsia="KaiTi" w:hAnsi="KaiTi" w:cs="KaiTi"/>
                <w:color w:val="1F497D"/>
                <w:spacing w:val="-1"/>
                <w:sz w:val="18"/>
                <w:szCs w:val="18"/>
              </w:rPr>
              <w:t>展拉开</w:t>
            </w:r>
          </w:p>
          <w:p>
            <w:pPr>
              <w:pStyle w:val="TableText"/>
              <w:spacing w:before="113" w:line="326" w:lineRule="exact"/>
              <w:ind w:left="131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position w:val="11"/>
                <w:sz w:val="18"/>
                <w:szCs w:val="18"/>
              </w:rPr>
              <w:t>“</w:t>
            </w:r>
            <w:r>
              <w:rPr>
                <w:color w:val="1F497D"/>
                <w:spacing w:val="-2"/>
                <w:position w:val="11"/>
                <w:sz w:val="18"/>
                <w:szCs w:val="18"/>
              </w:rPr>
              <w:t>AI+</w:t>
            </w:r>
            <w:r>
              <w:rPr>
                <w:rFonts w:ascii="KaiTi" w:eastAsia="KaiTi" w:hAnsi="KaiTi" w:cs="KaiTi"/>
                <w:color w:val="1F497D"/>
                <w:spacing w:val="-2"/>
                <w:position w:val="11"/>
                <w:sz w:val="18"/>
                <w:szCs w:val="18"/>
              </w:rPr>
              <w:t>”时代序幕，建议持续</w:t>
            </w:r>
          </w:p>
          <w:p>
            <w:pPr>
              <w:spacing w:line="215" w:lineRule="auto"/>
              <w:ind w:left="129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8"/>
                <w:szCs w:val="18"/>
              </w:rPr>
              <w:t>关注算力产业链</w:t>
            </w:r>
          </w:p>
          <w:p>
            <w:pPr>
              <w:pStyle w:val="TableText"/>
              <w:spacing w:before="116" w:line="322" w:lineRule="exact"/>
              <w:ind w:left="118"/>
              <w:rPr>
                <w:rFonts w:ascii="KaiTi" w:eastAsia="KaiTi" w:hAnsi="KaiTi" w:cs="KaiTi"/>
                <w:sz w:val="18"/>
                <w:szCs w:val="18"/>
              </w:rPr>
            </w:pPr>
            <w:r>
              <w:pict>
                <v:shape id="_x0000_s1041" type="#_x0000_t202" style="width:40.35pt;height:9.05pt;margin-top:6.64pt;margin-left:131.13pt;position:absolute;z-index:25167974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95" w:lineRule="auto"/>
                          <w:ind w:left="20"/>
                        </w:pPr>
                        <w:r>
                          <w:rPr>
                            <w:color w:val="1F497D"/>
                            <w:spacing w:val="-1"/>
                          </w:rPr>
                          <w:t>2024-01-07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KaiTi" w:eastAsia="KaiTi" w:hAnsi="KaiTi" w:cs="KaiTi"/>
                <w:color w:val="1F497D"/>
                <w:spacing w:val="-1"/>
                <w:position w:val="10"/>
                <w:sz w:val="18"/>
                <w:szCs w:val="18"/>
              </w:rPr>
              <w:t>通信行业</w:t>
            </w:r>
            <w:r>
              <w:rPr>
                <w:color w:val="1F497D"/>
                <w:spacing w:val="-1"/>
                <w:position w:val="10"/>
                <w:sz w:val="18"/>
                <w:szCs w:val="18"/>
              </w:rPr>
              <w:t>:</w:t>
            </w:r>
            <w:r>
              <w:rPr>
                <w:rFonts w:ascii="KaiTi" w:eastAsia="KaiTi" w:hAnsi="KaiTi" w:cs="KaiTi"/>
                <w:color w:val="1F497D"/>
                <w:spacing w:val="-1"/>
                <w:position w:val="10"/>
                <w:sz w:val="18"/>
                <w:szCs w:val="18"/>
              </w:rPr>
              <w:t>“数据要素×”行</w:t>
            </w:r>
          </w:p>
          <w:p>
            <w:pPr>
              <w:spacing w:line="209" w:lineRule="auto"/>
              <w:ind w:left="1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8"/>
                <w:szCs w:val="18"/>
              </w:rPr>
              <w:t>动正式开启，持续关注数据</w:t>
            </w:r>
          </w:p>
          <w:p>
            <w:pPr>
              <w:spacing w:before="118" w:line="182" w:lineRule="auto"/>
              <w:ind w:left="11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1F497D"/>
                <w:sz w:val="18"/>
                <w:szCs w:val="18"/>
              </w:rPr>
              <w:t>要素基建及应用链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2"/>
          <w:footerReference w:type="default" r:id="rId23"/>
          <w:type w:val="nextPage"/>
          <w:pgSz w:w="11907" w:h="16839"/>
          <w:pgMar w:top="1713" w:right="638" w:bottom="1291" w:left="624" w:header="794" w:footer="745" w:gutter="0"/>
          <w:pgNumType w:start="3"/>
          <w:cols w:num="2" w:space="708" w:equalWidth="0">
            <w:col w:w="7027" w:space="100"/>
            <w:col w:w="3517" w:space="0"/>
          </w:cols>
          <w:titlePg w:val="0"/>
        </w:sectPr>
      </w:pP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9" w:line="218" w:lineRule="auto"/>
        <w:ind w:left="62"/>
      </w:pPr>
      <w:r>
        <w:rPr>
          <w:spacing w:val="-1"/>
          <w14:textOutline w14:w="3831">
            <w14:solidFill>
              <w14:srgbClr w14:val="000000"/>
            </w14:solidFill>
            <w14:prstDash w14:val="solid"/>
            <w14:round/>
          </w14:textOutline>
        </w:rPr>
        <w:t>重点公司估值和财务分析表</w:t>
      </w:r>
    </w:p>
    <w:p>
      <w:pPr>
        <w:spacing w:line="19" w:lineRule="exact"/>
      </w:pPr>
    </w:p>
    <w:tbl>
      <w:tblPr>
        <w:tblStyle w:val="TableNormal1"/>
        <w:tblW w:w="10494" w:type="dxa"/>
        <w:tblInd w:w="4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11"/>
        <w:gridCol w:w="931"/>
        <w:gridCol w:w="529"/>
        <w:gridCol w:w="662"/>
        <w:gridCol w:w="909"/>
        <w:gridCol w:w="443"/>
        <w:gridCol w:w="829"/>
        <w:gridCol w:w="694"/>
        <w:gridCol w:w="709"/>
        <w:gridCol w:w="709"/>
        <w:gridCol w:w="708"/>
        <w:gridCol w:w="710"/>
        <w:gridCol w:w="674"/>
        <w:gridCol w:w="1176"/>
      </w:tblGrid>
      <w:tr>
        <w:tblPrEx>
          <w:tblW w:w="10494" w:type="dxa"/>
          <w:tblInd w:w="4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2"/>
        </w:trPr>
        <w:tc>
          <w:tcPr>
            <w:tcW w:w="81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11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股票简称</w:t>
            </w:r>
          </w:p>
        </w:tc>
        <w:tc>
          <w:tcPr>
            <w:tcW w:w="93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14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股票代码</w:t>
            </w:r>
          </w:p>
        </w:tc>
        <w:tc>
          <w:tcPr>
            <w:tcW w:w="52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8" w:lineRule="auto"/>
              <w:ind w:left="8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货币</w:t>
            </w:r>
          </w:p>
        </w:tc>
        <w:tc>
          <w:tcPr>
            <w:tcW w:w="662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19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position w:val="1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最新</w:t>
            </w:r>
          </w:p>
          <w:p>
            <w:pPr>
              <w:spacing w:line="224" w:lineRule="auto"/>
              <w:ind w:left="12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收盘价</w:t>
            </w:r>
          </w:p>
        </w:tc>
        <w:tc>
          <w:tcPr>
            <w:tcW w:w="90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215" w:lineRule="auto"/>
              <w:ind w:left="31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3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最近</w:t>
            </w:r>
          </w:p>
          <w:p>
            <w:pPr>
              <w:spacing w:before="139" w:line="218" w:lineRule="auto"/>
              <w:ind w:left="14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报告日期</w:t>
            </w:r>
          </w:p>
        </w:tc>
        <w:tc>
          <w:tcPr>
            <w:tcW w:w="443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45" w:line="216" w:lineRule="auto"/>
              <w:ind w:left="4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1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评级</w:t>
            </w:r>
          </w:p>
        </w:tc>
        <w:tc>
          <w:tcPr>
            <w:tcW w:w="82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82" w:line="326" w:lineRule="exact"/>
              <w:ind w:left="7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position w:val="1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合理价值</w:t>
            </w:r>
          </w:p>
          <w:p>
            <w:pPr>
              <w:pStyle w:val="TableText"/>
              <w:spacing w:line="239" w:lineRule="auto"/>
              <w:ind w:left="5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（元</w:t>
            </w:r>
            <w:r>
              <w:rPr>
                <w:b/>
                <w:bCs/>
                <w:color w:val="1F497D"/>
                <w:sz w:val="16"/>
                <w:szCs w:val="16"/>
              </w:rPr>
              <w:t>/</w:t>
            </w:r>
            <w:r>
              <w:rPr>
                <w:rFonts w:ascii="KaiTi" w:eastAsia="KaiTi" w:hAnsi="KaiTi" w:cs="KaiTi"/>
                <w:color w:val="1F497D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股）</w:t>
            </w:r>
          </w:p>
        </w:tc>
        <w:tc>
          <w:tcPr>
            <w:tcW w:w="1403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82" w:line="213" w:lineRule="auto"/>
              <w:ind w:left="416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EPS(</w:t>
            </w:r>
            <w:r>
              <w:rPr>
                <w:rFonts w:ascii="KaiTi" w:eastAsia="KaiTi" w:hAnsi="KaiTi" w:cs="KaiTi"/>
                <w:color w:val="1F497D"/>
                <w:spacing w:val="-2"/>
                <w:sz w:val="16"/>
                <w:szCs w:val="16"/>
                <w14:textOutline w14:w="2917">
                  <w14:solidFill>
                    <w14:srgbClr w14:val="1F497D"/>
                  </w14:solidFill>
                  <w14:prstDash w14:val="solid"/>
                  <w14:round/>
                </w14:textOutline>
              </w:rPr>
              <w:t>元</w:t>
            </w: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)</w:t>
            </w:r>
          </w:p>
        </w:tc>
        <w:tc>
          <w:tcPr>
            <w:tcW w:w="1417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3" w:line="197" w:lineRule="auto"/>
              <w:ind w:left="52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PE(x)</w:t>
            </w:r>
          </w:p>
        </w:tc>
        <w:tc>
          <w:tcPr>
            <w:tcW w:w="1384" w:type="dxa"/>
            <w:gridSpan w:val="2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3" w:line="197" w:lineRule="auto"/>
              <w:ind w:left="20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EV/EBITDA(x)</w:t>
            </w:r>
          </w:p>
        </w:tc>
        <w:tc>
          <w:tcPr>
            <w:tcW w:w="1176" w:type="dxa"/>
            <w:tcBorders>
              <w:top w:val="single" w:sz="2" w:space="0" w:color="000000"/>
            </w:tcBorders>
            <w:vAlign w:val="top"/>
          </w:tcPr>
          <w:p>
            <w:pPr>
              <w:pStyle w:val="TableText"/>
              <w:spacing w:before="103" w:line="197" w:lineRule="auto"/>
              <w:ind w:left="31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2"/>
                <w:sz w:val="16"/>
                <w:szCs w:val="16"/>
              </w:rPr>
              <w:t>ROE(%)</w:t>
            </w:r>
          </w:p>
        </w:tc>
      </w:tr>
      <w:tr>
        <w:tblPrEx>
          <w:tblW w:w="10494" w:type="dxa"/>
          <w:tblInd w:w="48" w:type="dxa"/>
          <w:tblLayout w:type="fixed"/>
        </w:tblPrEx>
        <w:trPr>
          <w:trHeight w:val="319"/>
        </w:trPr>
        <w:tc>
          <w:tcPr>
            <w:tcW w:w="81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31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52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62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90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443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829" w:type="dxa"/>
            <w:vMerge/>
            <w:tcBorders>
              <w:top w:val="nil"/>
              <w:bottom w:val="single" w:sz="6" w:space="0" w:color="000000"/>
            </w:tcBorders>
            <w:vAlign w:val="top"/>
          </w:tcPr>
          <w:p>
            <w:pPr>
              <w:pStyle w:val="TableText"/>
              <w:rPr>
                <w:sz w:val="21"/>
              </w:rPr>
            </w:pPr>
          </w:p>
        </w:tc>
        <w:tc>
          <w:tcPr>
            <w:tcW w:w="69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15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29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09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1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708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710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0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674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131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1176" w:type="dxa"/>
            <w:tcBorders>
              <w:bottom w:val="single" w:sz="6" w:space="0" w:color="000000"/>
            </w:tcBorders>
            <w:vAlign w:val="top"/>
          </w:tcPr>
          <w:p>
            <w:pPr>
              <w:pStyle w:val="TableText"/>
              <w:spacing w:before="89" w:line="195" w:lineRule="auto"/>
              <w:ind w:left="93"/>
              <w:rPr>
                <w:sz w:val="16"/>
                <w:szCs w:val="16"/>
              </w:rPr>
            </w:pP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2023E</w:t>
            </w:r>
            <w:r>
              <w:rPr>
                <w:b/>
                <w:bCs/>
                <w:color w:val="1F497D"/>
                <w:spacing w:val="11"/>
                <w:w w:val="101"/>
                <w:sz w:val="16"/>
                <w:szCs w:val="16"/>
              </w:rPr>
              <w:t xml:space="preserve">  </w:t>
            </w:r>
            <w:r>
              <w:rPr>
                <w:b/>
                <w:bCs/>
                <w:color w:val="1F497D"/>
                <w:spacing w:val="-1"/>
                <w:sz w:val="16"/>
                <w:szCs w:val="16"/>
              </w:rPr>
              <w:t>2024E</w:t>
            </w:r>
          </w:p>
        </w:tc>
      </w:tr>
      <w:tr>
        <w:tblPrEx>
          <w:tblW w:w="10494" w:type="dxa"/>
          <w:tblInd w:w="48" w:type="dxa"/>
          <w:tblLayout w:type="fixed"/>
        </w:tblPrEx>
        <w:trPr>
          <w:trHeight w:val="320"/>
        </w:trPr>
        <w:tc>
          <w:tcPr>
            <w:tcW w:w="811" w:type="dxa"/>
            <w:tcBorders>
              <w:top w:val="single" w:sz="6" w:space="0" w:color="000000"/>
            </w:tcBorders>
            <w:vAlign w:val="top"/>
          </w:tcPr>
          <w:p>
            <w:pPr>
              <w:spacing w:before="78" w:line="218" w:lineRule="auto"/>
              <w:ind w:left="12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中国电信</w:t>
            </w:r>
          </w:p>
        </w:tc>
        <w:tc>
          <w:tcPr>
            <w:tcW w:w="931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6" w:line="197" w:lineRule="auto"/>
              <w:ind w:left="6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601728.SH</w:t>
            </w:r>
          </w:p>
        </w:tc>
        <w:tc>
          <w:tcPr>
            <w:tcW w:w="52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6" w:line="197" w:lineRule="auto"/>
              <w:ind w:left="78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62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20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5.29</w:t>
            </w:r>
          </w:p>
        </w:tc>
        <w:tc>
          <w:tcPr>
            <w:tcW w:w="9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6" w:line="197" w:lineRule="auto"/>
              <w:ind w:left="7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2023/10/23</w:t>
            </w:r>
          </w:p>
        </w:tc>
        <w:tc>
          <w:tcPr>
            <w:tcW w:w="443" w:type="dxa"/>
            <w:tcBorders>
              <w:top w:val="single" w:sz="6" w:space="0" w:color="000000"/>
            </w:tcBorders>
            <w:vAlign w:val="top"/>
          </w:tcPr>
          <w:p>
            <w:pPr>
              <w:spacing w:before="78" w:line="226" w:lineRule="auto"/>
              <w:ind w:left="6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25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8.23</w:t>
            </w:r>
          </w:p>
        </w:tc>
        <w:tc>
          <w:tcPr>
            <w:tcW w:w="69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19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0.33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0.37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17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16.03</w:t>
            </w:r>
          </w:p>
        </w:tc>
        <w:tc>
          <w:tcPr>
            <w:tcW w:w="708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14.30</w:t>
            </w:r>
          </w:p>
        </w:tc>
        <w:tc>
          <w:tcPr>
            <w:tcW w:w="710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3.73</w:t>
            </w:r>
          </w:p>
        </w:tc>
        <w:tc>
          <w:tcPr>
            <w:tcW w:w="674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3.69</w:t>
            </w:r>
          </w:p>
        </w:tc>
        <w:tc>
          <w:tcPr>
            <w:tcW w:w="1176" w:type="dxa"/>
            <w:tcBorders>
              <w:top w:val="single" w:sz="6" w:space="0" w:color="000000"/>
            </w:tcBorders>
            <w:vAlign w:val="top"/>
          </w:tcPr>
          <w:p>
            <w:pPr>
              <w:pStyle w:val="TableText"/>
              <w:spacing w:before="98" w:line="195" w:lineRule="auto"/>
              <w:ind w:left="17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6.90</w:t>
            </w:r>
            <w:r>
              <w:rPr>
                <w:color w:val="1F497D"/>
                <w:spacing w:val="8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2"/>
                <w:sz w:val="16"/>
                <w:szCs w:val="16"/>
              </w:rPr>
              <w:t>7.40</w:t>
            </w:r>
          </w:p>
        </w:tc>
      </w:tr>
      <w:tr>
        <w:tblPrEx>
          <w:tblW w:w="10494" w:type="dxa"/>
          <w:tblInd w:w="48" w:type="dxa"/>
          <w:tblLayout w:type="fixed"/>
        </w:tblPrEx>
        <w:trPr>
          <w:trHeight w:val="326"/>
        </w:trPr>
        <w:tc>
          <w:tcPr>
            <w:tcW w:w="811" w:type="dxa"/>
            <w:vAlign w:val="top"/>
          </w:tcPr>
          <w:p>
            <w:pPr>
              <w:spacing w:before="85" w:line="218" w:lineRule="auto"/>
              <w:ind w:left="12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中国电信</w:t>
            </w:r>
          </w:p>
        </w:tc>
        <w:tc>
          <w:tcPr>
            <w:tcW w:w="931" w:type="dxa"/>
            <w:vAlign w:val="top"/>
          </w:tcPr>
          <w:p>
            <w:pPr>
              <w:pStyle w:val="TableText"/>
              <w:spacing w:before="104" w:line="195" w:lineRule="auto"/>
              <w:ind w:left="11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00728.HK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before="105" w:line="194" w:lineRule="auto"/>
              <w:ind w:left="83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HKD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04" w:line="195" w:lineRule="auto"/>
              <w:ind w:left="200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3.82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03" w:line="197" w:lineRule="auto"/>
              <w:ind w:left="7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2023/10/23</w:t>
            </w:r>
          </w:p>
        </w:tc>
        <w:tc>
          <w:tcPr>
            <w:tcW w:w="443" w:type="dxa"/>
            <w:vAlign w:val="top"/>
          </w:tcPr>
          <w:p>
            <w:pPr>
              <w:spacing w:before="85" w:line="226" w:lineRule="auto"/>
              <w:ind w:left="6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04" w:line="195" w:lineRule="auto"/>
              <w:ind w:left="251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5.43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04" w:line="195" w:lineRule="auto"/>
              <w:ind w:left="19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0.35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4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0.40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4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9.77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04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8.55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04" w:line="195" w:lineRule="auto"/>
              <w:ind w:left="20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4.08</w:t>
            </w:r>
          </w:p>
        </w:tc>
        <w:tc>
          <w:tcPr>
            <w:tcW w:w="674" w:type="dxa"/>
            <w:vAlign w:val="top"/>
          </w:tcPr>
          <w:p>
            <w:pPr>
              <w:pStyle w:val="TableText"/>
              <w:spacing w:before="104" w:line="195" w:lineRule="auto"/>
              <w:ind w:left="204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4.04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4" w:line="195" w:lineRule="auto"/>
              <w:ind w:left="17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6.90</w:t>
            </w:r>
            <w:r>
              <w:rPr>
                <w:color w:val="1F497D"/>
                <w:spacing w:val="8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2"/>
                <w:sz w:val="16"/>
                <w:szCs w:val="16"/>
              </w:rPr>
              <w:t>7.40</w:t>
            </w:r>
          </w:p>
        </w:tc>
      </w:tr>
      <w:tr>
        <w:tblPrEx>
          <w:tblW w:w="10494" w:type="dxa"/>
          <w:tblInd w:w="48" w:type="dxa"/>
          <w:tblLayout w:type="fixed"/>
        </w:tblPrEx>
        <w:trPr>
          <w:trHeight w:val="326"/>
        </w:trPr>
        <w:tc>
          <w:tcPr>
            <w:tcW w:w="811" w:type="dxa"/>
            <w:vAlign w:val="top"/>
          </w:tcPr>
          <w:p>
            <w:pPr>
              <w:spacing w:before="85" w:line="218" w:lineRule="auto"/>
              <w:ind w:left="12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中国移动</w:t>
            </w:r>
          </w:p>
        </w:tc>
        <w:tc>
          <w:tcPr>
            <w:tcW w:w="931" w:type="dxa"/>
            <w:vAlign w:val="top"/>
          </w:tcPr>
          <w:p>
            <w:pPr>
              <w:pStyle w:val="TableText"/>
              <w:spacing w:before="103" w:line="197" w:lineRule="auto"/>
              <w:ind w:left="6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600941.SH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before="103" w:line="197" w:lineRule="auto"/>
              <w:ind w:left="78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05" w:line="195" w:lineRule="auto"/>
              <w:ind w:left="15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98.16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03" w:line="197" w:lineRule="auto"/>
              <w:ind w:left="7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2023/10/23</w:t>
            </w:r>
          </w:p>
        </w:tc>
        <w:tc>
          <w:tcPr>
            <w:tcW w:w="443" w:type="dxa"/>
            <w:vAlign w:val="top"/>
          </w:tcPr>
          <w:p>
            <w:pPr>
              <w:spacing w:before="85" w:line="226" w:lineRule="auto"/>
              <w:ind w:left="6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05" w:line="195" w:lineRule="auto"/>
              <w:ind w:left="173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122.16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05" w:line="195" w:lineRule="auto"/>
              <w:ind w:left="19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6.30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5" w:line="195" w:lineRule="auto"/>
              <w:ind w:left="206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6.76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5" w:line="195" w:lineRule="auto"/>
              <w:ind w:left="17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15.58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05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14.52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05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5.87</w:t>
            </w:r>
          </w:p>
        </w:tc>
        <w:tc>
          <w:tcPr>
            <w:tcW w:w="674" w:type="dxa"/>
            <w:vAlign w:val="top"/>
          </w:tcPr>
          <w:p>
            <w:pPr>
              <w:pStyle w:val="TableText"/>
              <w:spacing w:before="105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5.83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5" w:line="195" w:lineRule="auto"/>
              <w:ind w:left="13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10.30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color w:val="1F497D"/>
                <w:spacing w:val="-4"/>
                <w:sz w:val="16"/>
                <w:szCs w:val="16"/>
              </w:rPr>
              <w:t>10.70</w:t>
            </w:r>
          </w:p>
        </w:tc>
      </w:tr>
      <w:tr>
        <w:tblPrEx>
          <w:tblW w:w="10494" w:type="dxa"/>
          <w:tblInd w:w="48" w:type="dxa"/>
          <w:tblLayout w:type="fixed"/>
        </w:tblPrEx>
        <w:trPr>
          <w:trHeight w:val="326"/>
        </w:trPr>
        <w:tc>
          <w:tcPr>
            <w:tcW w:w="811" w:type="dxa"/>
            <w:vAlign w:val="top"/>
          </w:tcPr>
          <w:p>
            <w:pPr>
              <w:spacing w:before="85" w:line="218" w:lineRule="auto"/>
              <w:ind w:left="12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中国移动</w:t>
            </w:r>
          </w:p>
        </w:tc>
        <w:tc>
          <w:tcPr>
            <w:tcW w:w="931" w:type="dxa"/>
            <w:vAlign w:val="top"/>
          </w:tcPr>
          <w:p>
            <w:pPr>
              <w:pStyle w:val="TableText"/>
              <w:spacing w:before="105" w:line="195" w:lineRule="auto"/>
              <w:ind w:left="113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00941.HK</w:t>
            </w:r>
          </w:p>
        </w:tc>
        <w:tc>
          <w:tcPr>
            <w:tcW w:w="529" w:type="dxa"/>
            <w:vAlign w:val="top"/>
          </w:tcPr>
          <w:p>
            <w:pPr>
              <w:pStyle w:val="TableText"/>
              <w:spacing w:before="106" w:line="194" w:lineRule="auto"/>
              <w:ind w:left="83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HKD</w:t>
            </w:r>
          </w:p>
        </w:tc>
        <w:tc>
          <w:tcPr>
            <w:tcW w:w="662" w:type="dxa"/>
            <w:vAlign w:val="top"/>
          </w:tcPr>
          <w:p>
            <w:pPr>
              <w:pStyle w:val="TableText"/>
              <w:spacing w:before="105" w:line="195" w:lineRule="auto"/>
              <w:ind w:left="15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64.95</w:t>
            </w:r>
          </w:p>
        </w:tc>
        <w:tc>
          <w:tcPr>
            <w:tcW w:w="909" w:type="dxa"/>
            <w:vAlign w:val="top"/>
          </w:tcPr>
          <w:p>
            <w:pPr>
              <w:pStyle w:val="TableText"/>
              <w:spacing w:before="104" w:line="197" w:lineRule="auto"/>
              <w:ind w:left="7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2023/10/23</w:t>
            </w:r>
          </w:p>
        </w:tc>
        <w:tc>
          <w:tcPr>
            <w:tcW w:w="443" w:type="dxa"/>
            <w:vAlign w:val="top"/>
          </w:tcPr>
          <w:p>
            <w:pPr>
              <w:spacing w:before="85" w:line="226" w:lineRule="auto"/>
              <w:ind w:left="6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vAlign w:val="top"/>
          </w:tcPr>
          <w:p>
            <w:pPr>
              <w:pStyle w:val="TableText"/>
              <w:spacing w:before="105" w:line="195" w:lineRule="auto"/>
              <w:ind w:left="205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82.42</w:t>
            </w:r>
          </w:p>
        </w:tc>
        <w:tc>
          <w:tcPr>
            <w:tcW w:w="694" w:type="dxa"/>
            <w:vAlign w:val="top"/>
          </w:tcPr>
          <w:p>
            <w:pPr>
              <w:pStyle w:val="TableText"/>
              <w:spacing w:before="105" w:line="195" w:lineRule="auto"/>
              <w:ind w:left="19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6.73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5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7.23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05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9.34</w:t>
            </w:r>
          </w:p>
        </w:tc>
        <w:tc>
          <w:tcPr>
            <w:tcW w:w="708" w:type="dxa"/>
            <w:vAlign w:val="top"/>
          </w:tcPr>
          <w:p>
            <w:pPr>
              <w:pStyle w:val="TableText"/>
              <w:spacing w:before="105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8.69</w:t>
            </w:r>
          </w:p>
        </w:tc>
        <w:tc>
          <w:tcPr>
            <w:tcW w:w="710" w:type="dxa"/>
            <w:vAlign w:val="top"/>
          </w:tcPr>
          <w:p>
            <w:pPr>
              <w:pStyle w:val="TableText"/>
              <w:spacing w:before="105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5.93</w:t>
            </w:r>
          </w:p>
        </w:tc>
        <w:tc>
          <w:tcPr>
            <w:tcW w:w="674" w:type="dxa"/>
            <w:vAlign w:val="top"/>
          </w:tcPr>
          <w:p>
            <w:pPr>
              <w:pStyle w:val="TableText"/>
              <w:spacing w:before="105" w:line="195" w:lineRule="auto"/>
              <w:ind w:left="208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5.90</w:t>
            </w:r>
          </w:p>
        </w:tc>
        <w:tc>
          <w:tcPr>
            <w:tcW w:w="1176" w:type="dxa"/>
            <w:vAlign w:val="top"/>
          </w:tcPr>
          <w:p>
            <w:pPr>
              <w:pStyle w:val="TableText"/>
              <w:spacing w:before="105" w:line="195" w:lineRule="auto"/>
              <w:ind w:left="138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10.30</w:t>
            </w:r>
            <w:r>
              <w:rPr>
                <w:color w:val="1F497D"/>
                <w:spacing w:val="3"/>
                <w:sz w:val="16"/>
                <w:szCs w:val="16"/>
              </w:rPr>
              <w:t xml:space="preserve">    </w:t>
            </w:r>
            <w:r>
              <w:rPr>
                <w:color w:val="1F497D"/>
                <w:spacing w:val="-4"/>
                <w:sz w:val="16"/>
                <w:szCs w:val="16"/>
              </w:rPr>
              <w:t>10.70</w:t>
            </w:r>
          </w:p>
        </w:tc>
      </w:tr>
      <w:tr>
        <w:tblPrEx>
          <w:tblW w:w="10494" w:type="dxa"/>
          <w:tblInd w:w="48" w:type="dxa"/>
          <w:tblLayout w:type="fixed"/>
        </w:tblPrEx>
        <w:trPr>
          <w:trHeight w:val="332"/>
        </w:trPr>
        <w:tc>
          <w:tcPr>
            <w:tcW w:w="811" w:type="dxa"/>
            <w:tcBorders>
              <w:bottom w:val="single" w:sz="2" w:space="0" w:color="000000"/>
            </w:tcBorders>
            <w:vAlign w:val="top"/>
          </w:tcPr>
          <w:p>
            <w:pPr>
              <w:spacing w:before="86" w:line="218" w:lineRule="auto"/>
              <w:ind w:left="12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中国联通</w:t>
            </w:r>
          </w:p>
        </w:tc>
        <w:tc>
          <w:tcPr>
            <w:tcW w:w="931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7" w:lineRule="auto"/>
              <w:ind w:left="69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600050.SH</w:t>
            </w:r>
          </w:p>
        </w:tc>
        <w:tc>
          <w:tcPr>
            <w:tcW w:w="52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7" w:lineRule="auto"/>
              <w:ind w:left="78"/>
              <w:rPr>
                <w:sz w:val="16"/>
                <w:szCs w:val="16"/>
              </w:rPr>
            </w:pPr>
            <w:r>
              <w:rPr>
                <w:color w:val="1F497D"/>
                <w:spacing w:val="-3"/>
                <w:sz w:val="16"/>
                <w:szCs w:val="16"/>
              </w:rPr>
              <w:t>CNY</w:t>
            </w:r>
          </w:p>
        </w:tc>
        <w:tc>
          <w:tcPr>
            <w:tcW w:w="662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196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4.04</w:t>
            </w:r>
          </w:p>
        </w:tc>
        <w:tc>
          <w:tcPr>
            <w:tcW w:w="9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4" w:line="197" w:lineRule="auto"/>
              <w:ind w:left="72"/>
              <w:rPr>
                <w:sz w:val="16"/>
                <w:szCs w:val="16"/>
              </w:rPr>
            </w:pPr>
            <w:r>
              <w:rPr>
                <w:color w:val="1F497D"/>
                <w:spacing w:val="-1"/>
                <w:sz w:val="16"/>
                <w:szCs w:val="16"/>
              </w:rPr>
              <w:t>2023/10/25</w:t>
            </w:r>
          </w:p>
        </w:tc>
        <w:tc>
          <w:tcPr>
            <w:tcW w:w="443" w:type="dxa"/>
            <w:tcBorders>
              <w:bottom w:val="single" w:sz="2" w:space="0" w:color="000000"/>
            </w:tcBorders>
            <w:vAlign w:val="top"/>
          </w:tcPr>
          <w:p>
            <w:pPr>
              <w:spacing w:before="86" w:line="226" w:lineRule="auto"/>
              <w:ind w:left="6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color w:val="1F497D"/>
                <w:spacing w:val="-4"/>
                <w:sz w:val="16"/>
                <w:szCs w:val="16"/>
              </w:rPr>
              <w:t>买入</w:t>
            </w:r>
          </w:p>
        </w:tc>
        <w:tc>
          <w:tcPr>
            <w:tcW w:w="82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25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7.50</w:t>
            </w:r>
          </w:p>
        </w:tc>
        <w:tc>
          <w:tcPr>
            <w:tcW w:w="69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192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0.25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207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0.28</w:t>
            </w:r>
          </w:p>
        </w:tc>
        <w:tc>
          <w:tcPr>
            <w:tcW w:w="709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176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16.16</w:t>
            </w:r>
          </w:p>
        </w:tc>
        <w:tc>
          <w:tcPr>
            <w:tcW w:w="708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175"/>
              <w:rPr>
                <w:sz w:val="16"/>
                <w:szCs w:val="16"/>
              </w:rPr>
            </w:pPr>
            <w:r>
              <w:rPr>
                <w:color w:val="1F497D"/>
                <w:spacing w:val="-4"/>
                <w:sz w:val="16"/>
                <w:szCs w:val="16"/>
              </w:rPr>
              <w:t>14.43</w:t>
            </w:r>
          </w:p>
        </w:tc>
        <w:tc>
          <w:tcPr>
            <w:tcW w:w="710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218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1.66</w:t>
            </w:r>
          </w:p>
        </w:tc>
        <w:tc>
          <w:tcPr>
            <w:tcW w:w="674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219"/>
              <w:rPr>
                <w:sz w:val="16"/>
                <w:szCs w:val="16"/>
              </w:rPr>
            </w:pPr>
            <w:r>
              <w:rPr>
                <w:color w:val="1F497D"/>
                <w:spacing w:val="-5"/>
                <w:sz w:val="16"/>
                <w:szCs w:val="16"/>
              </w:rPr>
              <w:t>1.63</w:t>
            </w:r>
          </w:p>
        </w:tc>
        <w:tc>
          <w:tcPr>
            <w:tcW w:w="1176" w:type="dxa"/>
            <w:tcBorders>
              <w:bottom w:val="single" w:sz="2" w:space="0" w:color="000000"/>
            </w:tcBorders>
            <w:vAlign w:val="top"/>
          </w:tcPr>
          <w:p>
            <w:pPr>
              <w:pStyle w:val="TableText"/>
              <w:spacing w:before="106" w:line="195" w:lineRule="auto"/>
              <w:ind w:left="173"/>
              <w:rPr>
                <w:sz w:val="16"/>
                <w:szCs w:val="16"/>
              </w:rPr>
            </w:pPr>
            <w:r>
              <w:rPr>
                <w:color w:val="1F497D"/>
                <w:spacing w:val="-2"/>
                <w:sz w:val="16"/>
                <w:szCs w:val="16"/>
              </w:rPr>
              <w:t>5.10</w:t>
            </w:r>
            <w:r>
              <w:rPr>
                <w:color w:val="1F497D"/>
                <w:spacing w:val="8"/>
                <w:sz w:val="16"/>
                <w:szCs w:val="16"/>
              </w:rPr>
              <w:t xml:space="preserve">     </w:t>
            </w:r>
            <w:r>
              <w:rPr>
                <w:color w:val="1F497D"/>
                <w:spacing w:val="-2"/>
                <w:sz w:val="16"/>
                <w:szCs w:val="16"/>
              </w:rPr>
              <w:t>5.40</w:t>
            </w:r>
          </w:p>
        </w:tc>
      </w:tr>
    </w:tbl>
    <w:p>
      <w:pPr>
        <w:pStyle w:val="BodyText"/>
        <w:spacing w:before="73" w:line="216" w:lineRule="auto"/>
        <w:ind w:left="2"/>
        <w:rPr>
          <w:sz w:val="18"/>
          <w:szCs w:val="18"/>
        </w:rPr>
      </w:pPr>
      <w:r>
        <w:rPr>
          <w:color w:val="1F497D"/>
          <w:spacing w:val="-7"/>
          <w:sz w:val="18"/>
          <w:szCs w:val="18"/>
        </w:rPr>
        <w:t>数据来源：</w:t>
      </w:r>
      <w:r>
        <w:rPr>
          <w:color w:val="1F497D"/>
          <w:spacing w:val="32"/>
          <w:sz w:val="18"/>
          <w:szCs w:val="18"/>
        </w:rPr>
        <w:t xml:space="preserve"> </w:t>
      </w:r>
      <w:r>
        <w:rPr>
          <w:rFonts w:ascii="Arial" w:eastAsia="Arial" w:hAnsi="Arial" w:cs="Arial"/>
          <w:color w:val="1F497D"/>
          <w:spacing w:val="-7"/>
          <w:sz w:val="18"/>
          <w:szCs w:val="18"/>
        </w:rPr>
        <w:t>Wind</w:t>
      </w:r>
      <w:r>
        <w:rPr>
          <w:color w:val="1F497D"/>
          <w:spacing w:val="-7"/>
          <w:sz w:val="18"/>
          <w:szCs w:val="18"/>
        </w:rPr>
        <w:t>、广发证券发展研究中心</w:t>
      </w:r>
    </w:p>
    <w:p>
      <w:pPr>
        <w:pStyle w:val="BodyText"/>
        <w:spacing w:before="113" w:line="214" w:lineRule="auto"/>
        <w:rPr>
          <w:sz w:val="18"/>
          <w:szCs w:val="18"/>
        </w:rPr>
      </w:pPr>
      <w:r>
        <w:rPr>
          <w:color w:val="1F497D"/>
          <w:spacing w:val="-1"/>
          <w:sz w:val="18"/>
          <w:szCs w:val="18"/>
        </w:rPr>
        <w:t>备注：表中估值指标按照最新收盘价计算</w:t>
      </w:r>
    </w:p>
    <w:p>
      <w:pPr>
        <w:spacing w:line="214" w:lineRule="auto"/>
        <w:rPr>
          <w:sz w:val="18"/>
          <w:szCs w:val="18"/>
        </w:rPr>
        <w:sectPr>
          <w:headerReference w:type="default" r:id="rId24"/>
          <w:footerReference w:type="default" r:id="rId25"/>
          <w:pgSz w:w="11907" w:h="16839"/>
          <w:pgMar w:top="1382" w:right="649" w:bottom="1291" w:left="587" w:header="794" w:footer="745" w:gutter="0"/>
          <w:pgNumType w:start="4"/>
          <w:cols w:space="708"/>
        </w:sectPr>
      </w:pP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1425488613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98"/>
            <w:rPr>
              <w:sz w:val="31"/>
              <w:szCs w:val="31"/>
            </w:rPr>
          </w:pPr>
          <w:r>
            <w:rPr>
              <w:color w:val="0F243E"/>
              <w:spacing w:val="-6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目录索引</w:t>
          </w:r>
        </w:p>
        <w:p>
          <w:pPr>
            <w:pStyle w:val="BodyText"/>
            <w:tabs>
              <w:tab w:val="right" w:leader="dot" w:pos="10633"/>
            </w:tabs>
            <w:spacing w:before="172" w:line="222" w:lineRule="auto"/>
            <w:ind w:left="2423"/>
            <w:rPr>
              <w:rFonts w:ascii="Arial" w:eastAsia="Arial" w:hAnsi="Arial" w:cs="Arial"/>
            </w:rPr>
          </w:pPr>
          <w:r>
            <w:rPr>
              <w:spacing w:val="-2"/>
            </w:rPr>
            <w:t>一、核心观点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3" w:line="220" w:lineRule="auto"/>
            <w:ind w:left="2418"/>
            <w:rPr>
              <w:rFonts w:ascii="Arial" w:eastAsia="Arial" w:hAnsi="Arial" w:cs="Arial"/>
            </w:rPr>
          </w:pPr>
          <w:r>
            <w:rPr>
              <w:spacing w:val="-1"/>
            </w:rPr>
            <w:t>二、上周行情回顾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6" w:line="218" w:lineRule="auto"/>
            <w:ind w:left="2421"/>
            <w:rPr>
              <w:rFonts w:ascii="Arial" w:eastAsia="Arial" w:hAnsi="Arial" w:cs="Arial"/>
            </w:rPr>
          </w:pPr>
          <w:r>
            <w:rPr>
              <w:spacing w:val="-1"/>
            </w:rPr>
            <w:t>三、行业数据更新</w:t>
          </w:r>
          <w:r>
            <w:rPr>
              <w:spacing w:val="-8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3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7" w:line="220" w:lineRule="auto"/>
            <w:ind w:left="2429"/>
            <w:rPr>
              <w:rFonts w:ascii="Arial" w:eastAsia="Arial" w:hAnsi="Arial" w:cs="Arial"/>
            </w:rPr>
          </w:pPr>
          <w:r>
            <w:rPr>
              <w:spacing w:val="-2"/>
            </w:rPr>
            <w:t>四、上周要闻回顾</w:t>
          </w:r>
          <w:r>
            <w:rPr>
              <w:spacing w:val="-8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4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7" w:line="223" w:lineRule="auto"/>
            <w:ind w:left="2416"/>
            <w:rPr>
              <w:rFonts w:ascii="Arial" w:eastAsia="Arial" w:hAnsi="Arial" w:cs="Arial"/>
            </w:rPr>
          </w:pPr>
          <w:r>
            <w:rPr>
              <w:spacing w:val="-1"/>
            </w:rPr>
            <w:t>五、风险提示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5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</w:sdtContent>
    </w:sdt>
    <w:p>
      <w:pPr>
        <w:spacing w:line="223" w:lineRule="auto"/>
        <w:rPr>
          <w:rFonts w:ascii="Arial" w:eastAsia="Arial" w:hAnsi="Arial" w:cs="Arial"/>
        </w:rPr>
        <w:sectPr>
          <w:headerReference w:type="default" r:id="rId26"/>
          <w:footerReference w:type="default" r:id="rId27"/>
          <w:pgSz w:w="11907" w:h="16839"/>
          <w:pgMar w:top="1382" w:right="646" w:bottom="1291" w:left="624" w:header="794" w:footer="746" w:gutter="0"/>
          <w:pgNumType w:start="5"/>
          <w:cols w:space="708"/>
        </w:sectPr>
      </w:pPr>
    </w:p>
    <w:p>
      <w:pPr>
        <w:spacing w:line="353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1"/>
          <w:szCs w:val="31"/>
        </w:rPr>
        <w:id w:val="71203980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spacing w:before="101" w:line="221" w:lineRule="auto"/>
            <w:ind w:left="6272"/>
            <w:rPr>
              <w:sz w:val="31"/>
              <w:szCs w:val="31"/>
            </w:rPr>
          </w:pPr>
          <w:r>
            <w:rPr>
              <w:color w:val="0F243E"/>
              <w:spacing w:val="-1"/>
              <w:sz w:val="31"/>
              <w:szCs w:val="31"/>
              <w14:textOutline w14:w="5791">
                <w14:solidFill>
                  <w14:srgbClr w14:val="0F243E"/>
                </w14:solidFill>
                <w14:prstDash w14:val="solid"/>
                <w14:round/>
              </w14:textOutline>
            </w:rPr>
            <w:t>图表索引</w:t>
          </w:r>
        </w:p>
        <w:p>
          <w:pPr>
            <w:pStyle w:val="BodyText"/>
            <w:tabs>
              <w:tab w:val="right" w:leader="dot" w:pos="10633"/>
            </w:tabs>
            <w:spacing w:before="172" w:line="216" w:lineRule="auto"/>
            <w:ind w:left="3123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28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</w:t>
          </w:r>
          <w:r>
            <w:rPr>
              <w:spacing w:val="-3"/>
            </w:rPr>
            <w:t>：各省政府报告数字经济发展重心</w:t>
          </w:r>
          <w:r>
            <w:rPr>
              <w:spacing w:val="-79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" w:history="1">
            <w:r>
              <w:rPr>
                <w:rFonts w:ascii="Arial" w:eastAsia="Arial" w:hAnsi="Arial" w:cs="Arial"/>
                <w:spacing w:val="-9"/>
              </w:rPr>
              <w:t>5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80" w:line="233" w:lineRule="auto"/>
            <w:ind w:left="3123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2</w:t>
          </w:r>
          <w:r>
            <w:rPr>
              <w:spacing w:val="-6"/>
            </w:rPr>
            <w:t>：</w:t>
          </w:r>
          <w:r>
            <w:rPr>
              <w:spacing w:val="-59"/>
            </w:rPr>
            <w:t xml:space="preserve"> </w:t>
          </w:r>
          <w:r>
            <w:rPr>
              <w:spacing w:val="-6"/>
            </w:rPr>
            <w:t>申万一级行业涨幅（</w:t>
          </w:r>
          <w:r>
            <w:rPr>
              <w:rFonts w:ascii="Arial" w:eastAsia="Arial" w:hAnsi="Arial" w:cs="Arial"/>
              <w:spacing w:val="-6"/>
            </w:rPr>
            <w:t>%</w:t>
          </w:r>
          <w:r>
            <w:rPr>
              <w:spacing w:val="-6"/>
            </w:rPr>
            <w:t>）</w:t>
          </w:r>
          <w:r>
            <w:rPr>
              <w:spacing w:val="-58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2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61" w:line="219" w:lineRule="auto"/>
            <w:ind w:left="3123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41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3</w:t>
          </w:r>
          <w:r>
            <w:rPr>
              <w:spacing w:val="-4"/>
            </w:rPr>
            <w:t>：通信板块月涨幅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6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6" w:line="218" w:lineRule="auto"/>
            <w:ind w:left="3123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40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4</w:t>
          </w:r>
          <w:r>
            <w:rPr>
              <w:spacing w:val="-3"/>
            </w:rPr>
            <w:t>：通信板块今年以来涨幅</w:t>
          </w:r>
          <w:r>
            <w:rPr>
              <w:spacing w:val="-46"/>
            </w:rPr>
            <w:t xml:space="preserve"> </w:t>
          </w:r>
          <w:r>
            <w:tab/>
          </w:r>
          <w:r>
            <w:rPr>
              <w:spacing w:val="-74"/>
            </w:rPr>
            <w:t xml:space="preserve"> </w:t>
          </w:r>
          <w:hyperlink w:anchor="bookmark7" w:history="1">
            <w:r>
              <w:rPr>
                <w:rFonts w:ascii="Arial" w:eastAsia="Arial" w:hAnsi="Arial" w:cs="Arial"/>
                <w:spacing w:val="-10"/>
              </w:rPr>
              <w:t>7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9" w:line="218" w:lineRule="auto"/>
            <w:ind w:left="3123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5</w:t>
          </w:r>
          <w:r>
            <w:rPr>
              <w:spacing w:val="-3"/>
            </w:rPr>
            <w:t>：通信指数与沪深</w:t>
          </w:r>
          <w:r>
            <w:rPr>
              <w:spacing w:val="-44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 xml:space="preserve">300 </w:t>
          </w:r>
          <w:r>
            <w:rPr>
              <w:spacing w:val="-3"/>
            </w:rPr>
            <w:t>近五年走势对比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8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75" w:line="221" w:lineRule="auto"/>
            <w:ind w:left="3123"/>
            <w:rPr>
              <w:rFonts w:ascii="Arial" w:eastAsia="Arial" w:hAnsi="Arial" w:cs="Arial"/>
            </w:rPr>
          </w:pPr>
          <w:r>
            <w:rPr>
              <w:spacing w:val="-6"/>
            </w:rPr>
            <w:t>图</w:t>
          </w:r>
          <w:r>
            <w:rPr>
              <w:spacing w:val="-39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>6</w:t>
          </w:r>
          <w:r>
            <w:rPr>
              <w:spacing w:val="-6"/>
            </w:rPr>
            <w:t>：</w:t>
          </w:r>
          <w:r>
            <w:rPr>
              <w:spacing w:val="-58"/>
            </w:rPr>
            <w:t xml:space="preserve"> </w:t>
          </w:r>
          <w:r>
            <w:rPr>
              <w:spacing w:val="-6"/>
            </w:rPr>
            <w:t>申万一级行业</w:t>
          </w:r>
          <w:r>
            <w:rPr>
              <w:spacing w:val="-37"/>
            </w:rPr>
            <w:t xml:space="preserve"> </w:t>
          </w:r>
          <w:r>
            <w:rPr>
              <w:rFonts w:ascii="Arial" w:eastAsia="Arial" w:hAnsi="Arial" w:cs="Arial"/>
              <w:spacing w:val="-6"/>
            </w:rPr>
            <w:t xml:space="preserve">PE-TTM </w:t>
          </w:r>
          <w:r>
            <w:rPr>
              <w:rFonts w:ascii="Arial" w:eastAsia="Arial" w:hAnsi="Arial" w:cs="Arial"/>
            </w:rPr>
            <w:tab/>
          </w:r>
          <w:r>
            <w:rPr>
              <w:rFonts w:ascii="Arial" w:eastAsia="Arial" w:hAnsi="Arial" w:cs="Arial"/>
              <w:spacing w:val="-29"/>
            </w:rPr>
            <w:t xml:space="preserve"> </w:t>
          </w:r>
          <w:hyperlink w:anchor="bookmark9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5" w:line="218" w:lineRule="auto"/>
            <w:ind w:left="3123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7</w:t>
          </w:r>
          <w:r>
            <w:rPr>
              <w:spacing w:val="-2"/>
            </w:rPr>
            <w:t>：工信部</w:t>
          </w:r>
          <w:r>
            <w:rPr>
              <w:spacing w:val="-46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2017-2022 </w:t>
          </w:r>
          <w:r>
            <w:rPr>
              <w:spacing w:val="-2"/>
            </w:rPr>
            <w:t>年</w:t>
          </w:r>
          <w:r>
            <w:rPr>
              <w:spacing w:val="-49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4G/5G </w:t>
          </w:r>
          <w:r>
            <w:rPr>
              <w:spacing w:val="-2"/>
            </w:rPr>
            <w:t>基站</w:t>
          </w:r>
          <w:r>
            <w:rPr>
              <w:spacing w:val="-3"/>
            </w:rPr>
            <w:t>建设量</w:t>
          </w:r>
          <w:r>
            <w:rPr>
              <w:spacing w:val="-5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0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9" w:line="217" w:lineRule="auto"/>
            <w:ind w:left="3123"/>
            <w:rPr>
              <w:rFonts w:ascii="Arial" w:eastAsia="Arial" w:hAnsi="Arial" w:cs="Arial"/>
            </w:rPr>
          </w:pPr>
          <w:r>
            <w:rPr>
              <w:spacing w:val="-7"/>
            </w:rPr>
            <w:t>图</w:t>
          </w:r>
          <w:r>
            <w:rPr>
              <w:spacing w:val="-42"/>
            </w:rPr>
            <w:t xml:space="preserve"> </w:t>
          </w:r>
          <w:r>
            <w:rPr>
              <w:rFonts w:ascii="Arial" w:eastAsia="Arial" w:hAnsi="Arial" w:cs="Arial"/>
              <w:spacing w:val="-7"/>
            </w:rPr>
            <w:t>8</w:t>
          </w:r>
          <w:r>
            <w:rPr>
              <w:spacing w:val="-7"/>
            </w:rPr>
            <w:t>：</w:t>
          </w:r>
          <w:r>
            <w:rPr>
              <w:spacing w:val="-61"/>
            </w:rPr>
            <w:t xml:space="preserve"> </w:t>
          </w:r>
          <w:r>
            <w:rPr>
              <w:spacing w:val="-7"/>
            </w:rPr>
            <w:t>国内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7"/>
            </w:rPr>
            <w:t xml:space="preserve">5G </w:t>
          </w:r>
          <w:r>
            <w:rPr>
              <w:spacing w:val="-7"/>
            </w:rPr>
            <w:t>手机进展情况</w:t>
          </w:r>
          <w:r>
            <w:rPr>
              <w:spacing w:val="-67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1" w:history="1">
            <w:r>
              <w:rPr>
                <w:rFonts w:ascii="Arial" w:eastAsia="Arial" w:hAnsi="Arial" w:cs="Arial"/>
                <w:spacing w:val="-11"/>
              </w:rPr>
              <w:t>10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9" w:line="218" w:lineRule="auto"/>
            <w:ind w:left="3123"/>
            <w:rPr>
              <w:rFonts w:ascii="Arial" w:eastAsia="Arial" w:hAnsi="Arial" w:cs="Arial"/>
            </w:rPr>
          </w:pPr>
          <w:r>
            <w:rPr>
              <w:spacing w:val="-2"/>
            </w:rPr>
            <w:t>图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9</w:t>
          </w:r>
          <w:r>
            <w:rPr>
              <w:spacing w:val="-2"/>
            </w:rPr>
            <w:t>：三大运营商</w:t>
          </w:r>
          <w:r>
            <w:rPr>
              <w:spacing w:val="-43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 xml:space="preserve">5G </w:t>
          </w:r>
          <w:r>
            <w:rPr>
              <w:spacing w:val="-2"/>
            </w:rPr>
            <w:t>用户当月新增户数</w:t>
          </w:r>
          <w:r>
            <w:rPr>
              <w:spacing w:val="-3"/>
            </w:rPr>
            <w:t>（百万）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12" w:history="1">
            <w:r>
              <w:rPr>
                <w:rFonts w:ascii="Arial" w:eastAsia="Arial" w:hAnsi="Arial" w:cs="Arial"/>
                <w:spacing w:val="-18"/>
              </w:rPr>
              <w:t>11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80" w:line="217" w:lineRule="auto"/>
            <w:ind w:left="3123"/>
            <w:rPr>
              <w:rFonts w:ascii="Arial" w:eastAsia="Arial" w:hAnsi="Arial" w:cs="Arial"/>
            </w:rPr>
          </w:pPr>
          <w:r>
            <w:rPr>
              <w:spacing w:val="-3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3"/>
            </w:rPr>
            <w:t>10</w:t>
          </w:r>
          <w:r>
            <w:rPr>
              <w:spacing w:val="-3"/>
            </w:rPr>
            <w:t>：蜂窝物联网终端用户数及增速</w:t>
          </w:r>
          <w:r>
            <w:rPr>
              <w:spacing w:val="-42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13" w:history="1">
            <w:r>
              <w:rPr>
                <w:rFonts w:ascii="Arial" w:eastAsia="Arial" w:hAnsi="Arial" w:cs="Arial"/>
                <w:spacing w:val="-18"/>
              </w:rPr>
              <w:t>11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9" w:line="218" w:lineRule="auto"/>
            <w:ind w:left="3123"/>
            <w:rPr>
              <w:rFonts w:ascii="Arial" w:eastAsia="Arial" w:hAnsi="Arial" w:cs="Arial"/>
            </w:rPr>
          </w:pPr>
          <w:r>
            <w:rPr>
              <w:spacing w:val="-5"/>
            </w:rPr>
            <w:t>图</w:t>
          </w:r>
          <w:r>
            <w:rPr>
              <w:spacing w:val="-19"/>
            </w:rPr>
            <w:t xml:space="preserve"> </w:t>
          </w:r>
          <w:r>
            <w:rPr>
              <w:rFonts w:ascii="Arial" w:eastAsia="Arial" w:hAnsi="Arial" w:cs="Arial"/>
              <w:spacing w:val="-5"/>
            </w:rPr>
            <w:t>11</w:t>
          </w:r>
          <w:r>
            <w:rPr>
              <w:spacing w:val="-5"/>
            </w:rPr>
            <w:t>：运营商新兴业务收入增速</w:t>
          </w:r>
          <w:r>
            <w:rPr>
              <w:spacing w:val="-69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4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7" w:line="218" w:lineRule="auto"/>
            <w:ind w:left="3123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20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12</w:t>
          </w:r>
          <w:r>
            <w:rPr>
              <w:spacing w:val="-4"/>
            </w:rPr>
            <w:t>：新兴业务分业务收入增速</w:t>
          </w:r>
          <w:r>
            <w:rPr>
              <w:spacing w:val="-83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5" w:history="1">
            <w:r>
              <w:rPr>
                <w:rFonts w:ascii="Arial" w:eastAsia="Arial" w:hAnsi="Arial" w:cs="Arial"/>
                <w:spacing w:val="-11"/>
              </w:rPr>
              <w:t>12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8" w:line="220" w:lineRule="auto"/>
            <w:ind w:left="3123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13</w:t>
          </w:r>
          <w:r>
            <w:rPr>
              <w:spacing w:val="-4"/>
            </w:rPr>
            <w:t>：移动互联网流量情况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6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  <w:p>
          <w:pPr>
            <w:pStyle w:val="BodyText"/>
            <w:tabs>
              <w:tab w:val="right" w:leader="dot" w:pos="10635"/>
            </w:tabs>
            <w:spacing w:before="77" w:line="215" w:lineRule="auto"/>
            <w:ind w:left="3123"/>
            <w:rPr>
              <w:rFonts w:ascii="Arial" w:eastAsia="Arial" w:hAnsi="Arial" w:cs="Arial"/>
            </w:rPr>
          </w:pPr>
          <w:r>
            <w:rPr>
              <w:spacing w:val="-4"/>
            </w:rPr>
            <w:t>图</w:t>
          </w:r>
          <w:r>
            <w:rPr>
              <w:spacing w:val="-18"/>
            </w:rPr>
            <w:t xml:space="preserve"> </w:t>
          </w:r>
          <w:r>
            <w:rPr>
              <w:rFonts w:ascii="Arial" w:eastAsia="Arial" w:hAnsi="Arial" w:cs="Arial"/>
              <w:spacing w:val="-4"/>
            </w:rPr>
            <w:t>14</w:t>
          </w:r>
          <w:r>
            <w:rPr>
              <w:spacing w:val="-4"/>
            </w:rPr>
            <w:t>：</w:t>
          </w:r>
          <w:r>
            <w:rPr>
              <w:rFonts w:ascii="Arial" w:eastAsia="Arial" w:hAnsi="Arial" w:cs="Arial"/>
              <w:spacing w:val="-4"/>
            </w:rPr>
            <w:t xml:space="preserve">Aspeed </w:t>
          </w:r>
          <w:r>
            <w:rPr>
              <w:spacing w:val="-4"/>
            </w:rPr>
            <w:t>月度收入统计</w:t>
          </w:r>
          <w:r>
            <w:rPr>
              <w:spacing w:val="-86"/>
            </w:rPr>
            <w:t xml:space="preserve"> </w:t>
          </w:r>
          <w:r>
            <w:tab/>
          </w:r>
          <w:r>
            <w:rPr>
              <w:spacing w:val="-61"/>
            </w:rPr>
            <w:t xml:space="preserve"> </w:t>
          </w:r>
          <w:hyperlink w:anchor="bookmark17" w:history="1">
            <w:r>
              <w:rPr>
                <w:rFonts w:ascii="Arial" w:eastAsia="Arial" w:hAnsi="Arial" w:cs="Arial"/>
                <w:spacing w:val="-12"/>
              </w:rPr>
              <w:t>1</w:t>
            </w:r>
            <w:r>
              <w:rPr>
                <w:rFonts w:ascii="Arial" w:eastAsia="Arial" w:hAnsi="Arial" w:cs="Arial"/>
                <w:spacing w:val="-10"/>
              </w:rPr>
              <w:t>3</w:t>
            </w:r>
          </w:hyperlink>
        </w:p>
      </w:sdtContent>
    </w:sdt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208595305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sz w:val="21"/>
          <w:szCs w:val="21"/>
        </w:rPr>
      </w:sdtEndPr>
      <w:sdtContent>
        <w:p>
          <w:pPr>
            <w:pStyle w:val="BodyText"/>
            <w:tabs>
              <w:tab w:val="right" w:leader="dot" w:pos="10633"/>
            </w:tabs>
            <w:spacing w:before="68" w:line="218" w:lineRule="auto"/>
            <w:ind w:left="3097"/>
            <w:rPr>
              <w:rFonts w:ascii="Arial" w:eastAsia="Arial" w:hAnsi="Arial" w:cs="Arial"/>
            </w:rPr>
          </w:pPr>
          <w:r>
            <w:rPr>
              <w:spacing w:val="-2"/>
            </w:rPr>
            <w:t>表</w:t>
          </w:r>
          <w:r>
            <w:rPr>
              <w:spacing w:val="-16"/>
            </w:rPr>
            <w:t xml:space="preserve"> </w:t>
          </w:r>
          <w:r>
            <w:rPr>
              <w:rFonts w:ascii="Arial" w:eastAsia="Arial" w:hAnsi="Arial" w:cs="Arial"/>
              <w:spacing w:val="-2"/>
            </w:rPr>
            <w:t>1</w:t>
          </w:r>
          <w:r>
            <w:rPr>
              <w:spacing w:val="-2"/>
            </w:rPr>
            <w:t>：通信行业个股涨跌幅和换手率前十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8" w:history="1">
            <w:r>
              <w:rPr>
                <w:rFonts w:ascii="Arial" w:eastAsia="Arial" w:hAnsi="Arial" w:cs="Arial"/>
                <w:spacing w:val="-9"/>
              </w:rPr>
              <w:t>8</w:t>
            </w:r>
          </w:hyperlink>
        </w:p>
        <w:p>
          <w:pPr>
            <w:pStyle w:val="BodyText"/>
            <w:tabs>
              <w:tab w:val="right" w:leader="dot" w:pos="10633"/>
            </w:tabs>
            <w:spacing w:before="80" w:line="218" w:lineRule="auto"/>
            <w:ind w:left="3097"/>
            <w:rPr>
              <w:rFonts w:ascii="Arial" w:eastAsia="Arial" w:hAnsi="Arial" w:cs="Arial"/>
            </w:rPr>
          </w:pPr>
          <w:r>
            <w:rPr>
              <w:spacing w:val="-1"/>
            </w:rPr>
            <w:t>表</w:t>
          </w:r>
          <w:r>
            <w:rPr>
              <w:spacing w:val="-40"/>
            </w:rPr>
            <w:t xml:space="preserve"> </w:t>
          </w:r>
          <w:r>
            <w:rPr>
              <w:rFonts w:ascii="Arial" w:eastAsia="Arial" w:hAnsi="Arial" w:cs="Arial"/>
              <w:spacing w:val="-1"/>
            </w:rPr>
            <w:t>2</w:t>
          </w:r>
          <w:r>
            <w:rPr>
              <w:spacing w:val="-1"/>
            </w:rPr>
            <w:t>：海外巨头公司上周涨幅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75"/>
            </w:rPr>
            <w:t xml:space="preserve"> </w:t>
          </w:r>
          <w:hyperlink w:anchor="bookmark19" w:history="1">
            <w:r>
              <w:rPr>
                <w:rFonts w:ascii="Arial" w:eastAsia="Arial" w:hAnsi="Arial" w:cs="Arial"/>
                <w:spacing w:val="-9"/>
              </w:rPr>
              <w:t>9</w:t>
            </w:r>
          </w:hyperlink>
        </w:p>
      </w:sdtContent>
    </w:sdt>
    <w:p>
      <w:pPr>
        <w:spacing w:line="218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/>
      </w:r>
      <w:r>
        <w:rPr>
          <w:rFonts w:ascii="Arial" w:eastAsia="Arial" w:hAnsi="Arial" w:cs="Arial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https://d.book118.com/398133027016006031</w:t>
        </w:r>
      </w:hyperlink>
    </w:p>
    <w:p>
      <w:pPr>
        <w:spacing w:line="218" w:lineRule="auto"/>
        <w:rPr>
          <w:rFonts w:ascii="Arial" w:eastAsia="Arial" w:hAnsi="Arial" w:cs="Arial"/>
        </w:rPr>
      </w:pPr>
    </w:p>
    <w:sectPr>
      <w:headerReference w:type="default" r:id="rId29"/>
      <w:footerReference w:type="default" r:id="rId30"/>
      <w:pgSz w:w="11907" w:h="16839"/>
      <w:pgMar w:top="1382" w:right="646" w:bottom="1291" w:left="624" w:header="794" w:footer="745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81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50" style="width:529.55pt;height:1pt;margin-top:777.36pt;margin-left:31.2pt;mso-position-horizontal-relative:page;mso-position-vertical-relative:page;position:absolute;z-index:251659264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82.7pt;height:12.25pt;margin-top:2.41pt;margin-left:-0.05pt;position:absolute;z-index:251658240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6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7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7"/>
        <w:sz w:val="16"/>
        <w:szCs w:val="16"/>
      </w:rPr>
      <w:t>/</w:t>
    </w:r>
    <w:r>
      <w:rPr>
        <w:rFonts w:ascii="Arial" w:eastAsia="Arial" w:hAnsi="Arial" w:cs="Arial"/>
        <w:color w:val="003F8A"/>
        <w:spacing w:val="1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7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19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81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53" style="width:529.55pt;height:1pt;margin-top:777.36pt;margin-left:31.2pt;mso-position-horizontal-relative:page;mso-position-vertical-relative:page;position:absolute;z-index:251661312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2.7pt;height:12.25pt;margin-top:2.41pt;margin-left:-0.05pt;position:absolute;z-index:25166028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6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7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7"/>
        <w:sz w:val="16"/>
        <w:szCs w:val="16"/>
      </w:rPr>
      <w:t>/</w:t>
    </w:r>
    <w:r>
      <w:rPr>
        <w:rFonts w:ascii="Arial" w:eastAsia="Arial" w:hAnsi="Arial" w:cs="Arial"/>
        <w:color w:val="003F8A"/>
        <w:spacing w:val="1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7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68" w:after="81" w:line="218" w:lineRule="auto"/>
      <w:ind w:right="9"/>
      <w:jc w:val="right"/>
      <w:rPr>
        <w:rFonts w:ascii="SimHei" w:eastAsia="SimHei" w:hAnsi="SimHei" w:cs="SimHei"/>
        <w:sz w:val="18"/>
        <w:szCs w:val="18"/>
      </w:rPr>
    </w:pPr>
    <w:r>
      <w:pict>
        <v:shape id="_x0000_s2056" style="width:529.55pt;height:1pt;margin-top:777.36pt;margin-left:31.2pt;mso-position-horizontal-relative:page;mso-position-vertical-relative:page;position:absolute;z-index:251663360" coordorigin="0,0" coordsize="10590,20" o:allowincell="f" path="m,9l10590,9e" filled="f" strokecolor="#009ee1" strokeweight="0.96pt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82.7pt;height:12.25pt;margin-top:2.41pt;margin-left:-0.05pt;position:absolute;z-index:251662336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61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7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</w:t>
    </w:r>
    <w:r>
      <w:rPr>
        <w:rFonts w:ascii="Arial" w:eastAsia="Arial" w:hAnsi="Arial" w:cs="Arial"/>
        <w:color w:val="003F8A"/>
        <w:spacing w:val="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7"/>
        <w:sz w:val="16"/>
        <w:szCs w:val="16"/>
      </w:rPr>
      <w:t>/</w:t>
    </w:r>
    <w:r>
      <w:rPr>
        <w:rFonts w:ascii="Arial" w:eastAsia="Arial" w:hAnsi="Arial" w:cs="Arial"/>
        <w:color w:val="003F8A"/>
        <w:spacing w:val="18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7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19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  <w:ind w:firstLine="36"/>
    </w:pPr>
    <w:r>
      <w:pict>
        <v:shape id="_x0000_i2059" style="width:530.3pt;height:1.05pt;mso-position-horizontal-relative:char;mso-position-vertical-relative:line" coordorigin="0,0" coordsize="10605,20" path="m14,9l10605,10m,9l10590,9e" filled="f" strokecolor="#009ee1" strokeweight="0.96pt">
          <w10:wrap type="none"/>
        </v:shape>
      </w:pict>
    </w:r>
  </w:p>
  <w:p>
    <w:pPr>
      <w:spacing w:after="81" w:line="218" w:lineRule="auto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2.7pt;height:12.25pt;margin-top:-1pt;margin-left:1.8pt;position:absolute;z-index:251664384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85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2</w:t>
    </w:r>
    <w:r>
      <w:rPr>
        <w:rFonts w:ascii="Arial" w:eastAsia="Arial" w:hAnsi="Arial" w:cs="Arial"/>
        <w:color w:val="003F8A"/>
        <w:spacing w:val="-3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18"/>
        <w:w w:val="102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19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62" style="width:530.3pt;height:1.05pt;mso-position-horizontal-relative:char;mso-position-vertical-relative:line" coordorigin="0,0" coordsize="10605,20" path="m14,9l10605,10m,9l10590,9e" filled="f" strokecolor="#009ee1" strokeweight="0.96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2.7pt;height:12.25pt;margin-top:-1pt;margin-left:-0.05pt;position:absolute;z-index:251665408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50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3</w:t>
    </w:r>
    <w:r>
      <w:rPr>
        <w:rFonts w:ascii="Arial" w:eastAsia="Arial" w:hAnsi="Arial" w:cs="Arial"/>
        <w:color w:val="003F8A"/>
        <w:spacing w:val="-3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17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19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after="47" w:line="20" w:lineRule="exact"/>
    </w:pPr>
    <w:r>
      <w:pict>
        <v:shape id="_x0000_i2065" style="width:530.3pt;height:1.05pt;mso-position-horizontal-relative:char;mso-position-vertical-relative:line" coordorigin="0,0" coordsize="10605,20" path="m14,9l10605,10m,9l10590,9e" filled="f" strokecolor="#009ee1" strokeweight="0.96pt">
          <w10:wrap type="none"/>
        </v:shape>
      </w:pict>
    </w:r>
  </w:p>
  <w:p>
    <w:pPr>
      <w:spacing w:after="81" w:line="218" w:lineRule="auto"/>
      <w:ind w:right="2"/>
      <w:jc w:val="right"/>
      <w:rPr>
        <w:rFonts w:ascii="SimHei" w:eastAsia="SimHei" w:hAnsi="SimHei" w:cs="Sim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2.7pt;height:12.25pt;margin-top:-1pt;margin-left:-0.05pt;position:absolute;z-index:251666432" filled="f" stroked="f">
          <o:lock v:ext="edit" aspectratio="f"/>
          <v:textbox inset="0,0,0,0">
            <w:txbxContent>
              <w:p>
                <w:pPr>
                  <w:spacing w:before="20" w:line="210" w:lineRule="auto"/>
                  <w:ind w:left="20"/>
                  <w:rPr>
                    <w:rFonts w:ascii="SimHei" w:eastAsia="SimHei" w:hAnsi="SimHei" w:cs="SimHei"/>
                    <w:sz w:val="18"/>
                    <w:szCs w:val="18"/>
                  </w:rPr>
                </w:pP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识别风险，</w:t>
                </w:r>
                <w:r>
                  <w:rPr>
                    <w:rFonts w:ascii="SimHei" w:eastAsia="SimHei" w:hAnsi="SimHei" w:cs="SimHei"/>
                    <w:color w:val="003F8A"/>
                    <w:spacing w:val="21"/>
                    <w:sz w:val="18"/>
                    <w:szCs w:val="18"/>
                  </w:rPr>
                  <w:t xml:space="preserve"> </w:t>
                </w:r>
                <w:r>
                  <w:rPr>
                    <w:rFonts w:ascii="SimHei" w:eastAsia="SimHei" w:hAnsi="SimHei" w:cs="SimHei"/>
                    <w:color w:val="003F8A"/>
                    <w:spacing w:val="-13"/>
                    <w:sz w:val="18"/>
                    <w:szCs w:val="18"/>
                  </w:rPr>
                  <w:t>发现价值</w:t>
                </w:r>
              </w:p>
            </w:txbxContent>
          </v:textbox>
        </v:shape>
      </w:pict>
    </w:r>
    <w:r>
      <w:rPr>
        <w:rFonts w:ascii="SimHei" w:eastAsia="SimHei" w:hAnsi="SimHei" w:cs="SimHei"/>
        <w:color w:val="004892"/>
        <w:spacing w:val="-1"/>
        <w:sz w:val="18"/>
        <w:szCs w:val="18"/>
      </w:rPr>
      <w:t>请务必阅读末页的免责声明</w:t>
    </w:r>
  </w:p>
  <w:p>
    <w:pPr>
      <w:spacing w:line="225" w:lineRule="auto"/>
      <w:ind w:left="5045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4</w:t>
    </w:r>
    <w:r>
      <w:rPr>
        <w:rFonts w:ascii="Arial" w:eastAsia="Arial" w:hAnsi="Arial" w:cs="Arial"/>
        <w:color w:val="003F8A"/>
        <w:spacing w:val="-3"/>
        <w:sz w:val="16"/>
        <w:szCs w:val="16"/>
      </w:rPr>
      <w:t xml:space="preserve"> /</w:t>
    </w:r>
    <w:r>
      <w:rPr>
        <w:rFonts w:ascii="Arial" w:eastAsia="Arial" w:hAnsi="Arial" w:cs="Arial"/>
        <w:color w:val="003F8A"/>
        <w:spacing w:val="21"/>
        <w:w w:val="101"/>
        <w:sz w:val="16"/>
        <w:szCs w:val="16"/>
      </w:rPr>
      <w:t xml:space="preserve"> </w:t>
    </w:r>
    <w:r>
      <w:rPr>
        <w:rFonts w:ascii="Arial" w:eastAsia="Arial" w:hAnsi="Arial" w:cs="Arial"/>
        <w:color w:val="003F8A"/>
        <w:spacing w:val="-3"/>
        <w:sz w:val="16"/>
        <w:szCs w:val="16"/>
        <w14:textOutline w14:w="2917">
          <w14:solidFill>
            <w14:srgbClr w14:val="003F8A"/>
          </w14:solidFill>
          <w14:prstDash w14:val="solid"/>
          <w14:miter w14:lim="10"/>
        </w14:textOutline>
      </w:rPr>
      <w:t>19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8" w:line="260" w:lineRule="auto"/>
      <w:ind w:left="9343" w:right="225" w:hanging="959"/>
      <w:rPr>
        <w:rFonts w:ascii="SimHei" w:eastAsia="SimHei" w:hAnsi="SimHei" w:cs="SimHei"/>
        <w:sz w:val="18"/>
        <w:szCs w:val="18"/>
      </w:rPr>
    </w:pPr>
    <w:r>
      <w:pict>
        <v:shape id="_x0000_s2049" style="width:529.55pt;height:1pt;margin-top:84.72pt;margin-left:31.2pt;mso-position-horizontal-relative:page;mso-position-vertical-relative:page;position:absolute;z-index:251659264" coordorigin="0,0" coordsize="10590,20" o:allowincell="f" path="m,9l10590,9e" filled="f" strokecolor="#009ee1" strokeweight="0.96pt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403859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投资策略周报|通信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8" w:line="260" w:lineRule="auto"/>
      <w:ind w:left="9343" w:right="225" w:hanging="959"/>
      <w:rPr>
        <w:rFonts w:ascii="SimHei" w:eastAsia="SimHei" w:hAnsi="SimHei" w:cs="SimHei"/>
        <w:sz w:val="18"/>
        <w:szCs w:val="18"/>
      </w:rPr>
    </w:pPr>
    <w:r>
      <w:pict>
        <v:shape id="_x0000_s2052" style="width:529.55pt;height:1pt;margin-top:84.72pt;margin-left:31.2pt;mso-position-horizontal-relative:page;mso-position-vertical-relative:page;position:absolute;z-index:251661312" coordorigin="0,0" coordsize="10590,20" o:allowincell="f" path="m,9l10590,9e" filled="f" strokecolor="#009ee1" strokeweight="0.96pt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403859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520133447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0133447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投资策略周报|通信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68" w:line="260" w:lineRule="auto"/>
      <w:ind w:left="9343" w:right="225" w:hanging="959"/>
      <w:rPr>
        <w:rFonts w:ascii="SimHei" w:eastAsia="SimHei" w:hAnsi="SimHei" w:cs="SimHei"/>
        <w:sz w:val="18"/>
        <w:szCs w:val="18"/>
      </w:rPr>
    </w:pPr>
    <w:r>
      <w:pict>
        <v:shape id="_x0000_s2055" style="width:529.55pt;height:1pt;margin-top:84.72pt;margin-left:31.2pt;mso-position-horizontal-relative:page;mso-position-vertical-relative:page;position:absolute;z-index:251663360" coordorigin="0,0" coordsize="10590,20" o:allowincell="f" path="m,9l10590,9e" filled="f" strokecolor="#009ee1" strokeweight="0.96pt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403859</wp:posOffset>
          </wp:positionH>
          <wp:positionV relativeFrom="page">
            <wp:posOffset>504444</wp:posOffset>
          </wp:positionV>
          <wp:extent cx="1644395" cy="550164"/>
          <wp:effectExtent l="0" t="0" r="0" b="0"/>
          <wp:wrapNone/>
          <wp:docPr id="147725191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725191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644395" cy="5501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4"/>
        <w:szCs w:val="24"/>
      </w:rPr>
      <w:t>投资策略周报|通信</w:t>
    </w:r>
    <w:r>
      <w:rPr>
        <w:rFonts w:ascii="SimHei" w:eastAsia="SimHei" w:hAnsi="SimHei" w:cs="SimHei"/>
        <w:color w:val="1F497D"/>
        <w:spacing w:val="1"/>
        <w:sz w:val="24"/>
        <w:szCs w:val="24"/>
      </w:rPr>
      <w:t xml:space="preserve"> </w:t>
    </w:r>
    <w:r>
      <w:rPr>
        <w:rFonts w:ascii="SimHei" w:eastAsia="SimHei" w:hAnsi="SimHei" w:cs="SimHei"/>
        <w:color w:val="1F497D"/>
        <w:spacing w:val="-2"/>
        <w:sz w:val="18"/>
        <w:szCs w:val="18"/>
      </w:rPr>
      <w:t>证券研究报告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836"/>
      <w:rPr>
        <w:rFonts w:ascii="SimHei" w:eastAsia="SimHei" w:hAnsi="SimHei" w:cs="SimHei"/>
        <w:sz w:val="21"/>
        <w:szCs w:val="21"/>
      </w:rPr>
    </w:pPr>
    <w:r>
      <w:pict>
        <v:shape id="_x0000_s2058" style="width:529.6pt;height:1pt;margin-top:68.16pt;margin-left:31.92pt;mso-position-horizontal-relative:page;mso-position-vertical-relative:page;position:absolute;z-index:251665408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44" name="IM 4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" name="IM 4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投资策略周报|通信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799"/>
      <w:rPr>
        <w:rFonts w:ascii="SimHei" w:eastAsia="SimHei" w:hAnsi="SimHei" w:cs="SimHei"/>
        <w:sz w:val="21"/>
        <w:szCs w:val="21"/>
      </w:rPr>
    </w:pPr>
    <w:r>
      <w:pict>
        <v:shape id="_x0000_s2061" style="width:529.6pt;height:1pt;margin-top:68.16pt;margin-left:31.92pt;mso-position-horizontal-relative:page;mso-position-vertical-relative:page;position:absolute;z-index:251667456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46" name="IM 4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" name="IM 4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投资策略周报|通信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288" w:line="215" w:lineRule="auto"/>
      <w:ind w:left="8799"/>
      <w:rPr>
        <w:rFonts w:ascii="SimHei" w:eastAsia="SimHei" w:hAnsi="SimHei" w:cs="SimHei"/>
        <w:sz w:val="21"/>
        <w:szCs w:val="21"/>
      </w:rPr>
    </w:pPr>
    <w:r>
      <w:pict>
        <v:shape id="_x0000_s2064" style="width:529.6pt;height:1pt;margin-top:68.16pt;margin-left:31.92pt;mso-position-horizontal-relative:page;mso-position-vertical-relative:page;position:absolute;z-index:251669504" coordorigin="0,0" coordsize="10591,20" o:allowincell="f" path="m,9l10591,9e" filled="f" strokecolor="#009ee1" strokeweight="0.96pt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422148</wp:posOffset>
          </wp:positionH>
          <wp:positionV relativeFrom="page">
            <wp:posOffset>504443</wp:posOffset>
          </wp:positionV>
          <wp:extent cx="1162811" cy="352044"/>
          <wp:effectExtent l="0" t="0" r="0" b="0"/>
          <wp:wrapNone/>
          <wp:docPr id="48" name="IM 4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IM 4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162811" cy="3520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SimHei" w:eastAsia="SimHei" w:hAnsi="SimHei" w:cs="SimHei"/>
        <w:color w:val="1F497D"/>
        <w:spacing w:val="-1"/>
        <w:sz w:val="21"/>
        <w:szCs w:val="21"/>
      </w:rPr>
      <w:t>投资策略周报|通信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5"/>
      <w:szCs w:val="1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jpeg" /><Relationship Id="rId18" Type="http://schemas.openxmlformats.org/officeDocument/2006/relationships/image" Target="media/image12.jpeg" /><Relationship Id="rId19" Type="http://schemas.openxmlformats.org/officeDocument/2006/relationships/image" Target="media/image13.jpeg" /><Relationship Id="rId2" Type="http://schemas.openxmlformats.org/officeDocument/2006/relationships/webSettings" Target="webSettings.xml" /><Relationship Id="rId20" Type="http://schemas.openxmlformats.org/officeDocument/2006/relationships/image" Target="media/image14.jpeg" /><Relationship Id="rId21" Type="http://schemas.openxmlformats.org/officeDocument/2006/relationships/image" Target="media/image15.jpeg" /><Relationship Id="rId22" Type="http://schemas.openxmlformats.org/officeDocument/2006/relationships/header" Target="header3.xml" /><Relationship Id="rId23" Type="http://schemas.openxmlformats.org/officeDocument/2006/relationships/footer" Target="footer3.xml" /><Relationship Id="rId24" Type="http://schemas.openxmlformats.org/officeDocument/2006/relationships/header" Target="header4.xml" /><Relationship Id="rId25" Type="http://schemas.openxmlformats.org/officeDocument/2006/relationships/footer" Target="footer4.xml" /><Relationship Id="rId26" Type="http://schemas.openxmlformats.org/officeDocument/2006/relationships/header" Target="header5.xml" /><Relationship Id="rId27" Type="http://schemas.openxmlformats.org/officeDocument/2006/relationships/footer" Target="footer5.xml" /><Relationship Id="rId28" Type="http://schemas.openxmlformats.org/officeDocument/2006/relationships/hyperlink" Target="https://d.book118.com/398133027016006031" TargetMode="External" /><Relationship Id="rId29" Type="http://schemas.openxmlformats.org/officeDocument/2006/relationships/header" Target="header6.xml" /><Relationship Id="rId3" Type="http://schemas.openxmlformats.org/officeDocument/2006/relationships/fontTable" Target="fontTable.xml" /><Relationship Id="rId30" Type="http://schemas.openxmlformats.org/officeDocument/2006/relationships/footer" Target="footer6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image" Target="media/image3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广发证券-通信行业：地方政策推动数据要素市场化加速，持续关注产业链投资机会-240122.pdf</dc:title>
  <cp:revision>0</cp:revision>
  <dcterms:created xsi:type="dcterms:W3CDTF">2024-01-25T09:21:11Z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2024-01-25T09:28:57Z</vt:filetime>
  </property>
  <property fmtid="{D5CDD505-2E9C-101B-9397-08002B2CF9AE}" pid="3" name="CRO">
    <vt:lpwstr>wqlLaW5nc29mdCBQREYgdG8gV1BTIDkw</vt:lpwstr>
  </property>
</Properties>
</file>