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
        <w:rPr>
          <w:rFonts w:ascii="Times New Roman"/>
          <w:sz w:val="14"/>
        </w:rPr>
      </w:pPr>
    </w:p>
    <w:p>
      <w:pPr>
        <w:pStyle w:val="Title"/>
        <w:ind w:left="4047"/>
      </w:pPr>
      <w:r>
        <w:t>中国石油天然气股份有限公司</w:t>
      </w:r>
    </w:p>
    <w:p>
      <w:pPr>
        <w:pStyle w:val="Title"/>
        <w:spacing w:before="360"/>
      </w:pPr>
      <w:r>
        <w:t>长庆石化公司污水排放标准升级改造项目竣工验收监测报告</w:t>
      </w:r>
    </w:p>
    <w:p>
      <w:pPr>
        <w:pStyle w:val="BodyText"/>
        <w:spacing w:before="4"/>
        <w:rPr>
          <w:b/>
          <w:sz w:val="64"/>
        </w:rPr>
      </w:pPr>
    </w:p>
    <w:p>
      <w:pPr>
        <w:pStyle w:val="Heading1"/>
        <w:ind w:left="1113"/>
      </w:pPr>
      <w:r>
        <w:rPr>
          <w:rFonts w:ascii="Times New Roman" w:eastAsia="Times New Roman"/>
        </w:rPr>
        <w:t>1</w:t>
      </w:r>
      <w:r>
        <w:t>、前言</w:t>
      </w:r>
    </w:p>
    <w:p>
      <w:pPr>
        <w:pStyle w:val="BodyText"/>
        <w:spacing w:before="366" w:line="364" w:lineRule="auto"/>
        <w:ind w:left="1113" w:right="2364" w:firstLine="809"/>
        <w:jc w:val="both"/>
      </w:pPr>
      <w:r>
        <w:rPr>
          <w:spacing w:val="-5"/>
        </w:rPr>
        <w:t>中国石油天然气股份有限公司长庆石化公司</w:t>
      </w:r>
      <w:r>
        <w:t>（</w:t>
      </w:r>
      <w:r>
        <w:rPr>
          <w:spacing w:val="-2"/>
        </w:rPr>
        <w:t>以下简称长庆石化分</w:t>
      </w:r>
      <w:r>
        <w:rPr>
          <w:w w:val="100"/>
        </w:rPr>
        <w:t>公司）位于咸阳市东郊，渭河以北（距河床约</w:t>
      </w:r>
      <w:r>
        <w:rPr>
          <w:spacing w:val="-72"/>
        </w:rPr>
        <w:t xml:space="preserve"> </w:t>
      </w:r>
      <w:r>
        <w:rPr>
          <w:rFonts w:ascii="Times New Roman" w:eastAsia="Times New Roman"/>
          <w:w w:val="100"/>
        </w:rPr>
        <w:t>700</w:t>
      </w:r>
      <w:r>
        <w:rPr>
          <w:rFonts w:ascii="Times New Roman" w:eastAsia="Times New Roman"/>
          <w:spacing w:val="-24"/>
        </w:rPr>
        <w:t xml:space="preserve">  </w:t>
      </w:r>
      <w:r>
        <w:rPr>
          <w:w w:val="100"/>
        </w:rPr>
        <w:t>米</w:t>
      </w:r>
      <w:r>
        <w:rPr>
          <w:spacing w:val="-216"/>
          <w:w w:val="100"/>
        </w:rPr>
        <w:t>）</w:t>
      </w:r>
      <w:r>
        <w:rPr>
          <w:w w:val="100"/>
        </w:rPr>
        <w:t>，该公司的污水</w:t>
      </w:r>
    </w:p>
    <w:p>
      <w:pPr>
        <w:pStyle w:val="BodyText"/>
        <w:spacing w:line="364" w:lineRule="auto"/>
        <w:ind w:left="1113" w:right="2304"/>
        <w:jc w:val="both"/>
      </w:pPr>
      <w:r>
        <w:rPr>
          <w:spacing w:val="-5"/>
        </w:rPr>
        <w:t xml:space="preserve">处理厂位于公司内东南角。该公司污水处理设施早于 </w:t>
      </w:r>
      <w:r>
        <w:rPr>
          <w:rFonts w:ascii="Times New Roman" w:eastAsia="Times New Roman"/>
        </w:rPr>
        <w:t xml:space="preserve">1998 </w:t>
      </w:r>
      <w:r>
        <w:rPr>
          <w:spacing w:val="-37"/>
        </w:rPr>
        <w:t xml:space="preserve">年 </w:t>
      </w:r>
      <w:r>
        <w:rPr>
          <w:rFonts w:ascii="Times New Roman" w:eastAsia="Times New Roman"/>
        </w:rPr>
        <w:t xml:space="preserve">7 </w:t>
      </w:r>
      <w:r>
        <w:t>月就建</w:t>
      </w:r>
      <w:r>
        <w:rPr>
          <w:spacing w:val="-9"/>
        </w:rPr>
        <w:t xml:space="preserve">成投运，当时设计处理量为 </w:t>
      </w:r>
      <w:r>
        <w:rPr>
          <w:rFonts w:ascii="Times New Roman" w:eastAsia="Times New Roman"/>
        </w:rPr>
        <w:t>250m</w:t>
      </w:r>
      <w:r>
        <w:rPr>
          <w:rFonts w:ascii="Times New Roman" w:eastAsia="Times New Roman"/>
          <w:position w:val="6"/>
          <w:sz w:val="27"/>
        </w:rPr>
        <w:t>3</w:t>
      </w:r>
      <w:r>
        <w:rPr>
          <w:rFonts w:ascii="Times New Roman" w:eastAsia="Times New Roman"/>
        </w:rPr>
        <w:t>/h,</w:t>
      </w:r>
      <w:r>
        <w:rPr>
          <w:spacing w:val="-18"/>
        </w:rPr>
        <w:t xml:space="preserve">实际处理量 </w:t>
      </w:r>
      <w:r>
        <w:rPr>
          <w:rFonts w:ascii="Times New Roman" w:eastAsia="Times New Roman"/>
        </w:rPr>
        <w:t>300-370</w:t>
      </w:r>
      <w:r>
        <w:rPr>
          <w:rFonts w:ascii="Times New Roman" w:eastAsia="Times New Roman"/>
          <w:spacing w:val="84"/>
        </w:rPr>
        <w:t xml:space="preserve"> </w:t>
      </w:r>
      <w:r>
        <w:rPr>
          <w:rFonts w:ascii="Times New Roman" w:eastAsia="Times New Roman"/>
        </w:rPr>
        <w:t>m</w:t>
      </w:r>
      <w:r>
        <w:rPr>
          <w:rFonts w:ascii="Times New Roman" w:eastAsia="Times New Roman"/>
          <w:position w:val="6"/>
          <w:sz w:val="27"/>
        </w:rPr>
        <w:t>3</w:t>
      </w:r>
      <w:r>
        <w:rPr>
          <w:rFonts w:ascii="Times New Roman" w:eastAsia="Times New Roman"/>
        </w:rPr>
        <w:t>/h</w:t>
      </w:r>
      <w:r>
        <w:t>，采取的是老三套（</w:t>
      </w:r>
      <w:r>
        <w:rPr>
          <w:spacing w:val="8"/>
        </w:rPr>
        <w:t>即隔油、浮选和</w:t>
      </w:r>
      <w:r>
        <w:rPr>
          <w:rFonts w:ascii="Times New Roman" w:eastAsia="Times New Roman"/>
        </w:rPr>
        <w:t>A/O</w:t>
      </w:r>
      <w:r>
        <w:t>）</w:t>
      </w:r>
      <w:r>
        <w:rPr>
          <w:spacing w:val="-2"/>
        </w:rPr>
        <w:t>工艺技术，经过几次技术改造后，目</w:t>
      </w:r>
      <w:r>
        <w:rPr>
          <w:spacing w:val="-11"/>
        </w:rPr>
        <w:t xml:space="preserve">前的最大处理量达到了 </w:t>
      </w:r>
      <w:r>
        <w:rPr>
          <w:rFonts w:ascii="Times New Roman" w:eastAsia="Times New Roman"/>
        </w:rPr>
        <w:t>400 m</w:t>
      </w:r>
      <w:r>
        <w:rPr>
          <w:rFonts w:ascii="Times New Roman" w:eastAsia="Times New Roman"/>
          <w:position w:val="6"/>
          <w:sz w:val="27"/>
        </w:rPr>
        <w:t>3</w:t>
      </w:r>
      <w:r>
        <w:rPr>
          <w:rFonts w:ascii="Times New Roman" w:eastAsia="Times New Roman"/>
        </w:rPr>
        <w:t>/h</w:t>
      </w:r>
      <w:r>
        <w:rPr>
          <w:spacing w:val="-9"/>
        </w:rPr>
        <w:t xml:space="preserve">。目前污水处理厂有工作人员 </w:t>
      </w:r>
      <w:r>
        <w:rPr>
          <w:rFonts w:ascii="Times New Roman" w:eastAsia="Times New Roman"/>
        </w:rPr>
        <w:t xml:space="preserve">27 </w:t>
      </w:r>
      <w:r>
        <w:t>人。</w:t>
      </w:r>
    </w:p>
    <w:p>
      <w:pPr>
        <w:pStyle w:val="BodyText"/>
        <w:spacing w:line="364" w:lineRule="auto"/>
        <w:ind w:left="1113" w:right="2162" w:firstLine="809"/>
        <w:jc w:val="both"/>
      </w:pPr>
      <w:r>
        <w:t>随着《黄河流域（陕西段）污水综合排放标准》的颁布及《咸阳市</w:t>
      </w:r>
      <w:r>
        <w:rPr>
          <w:w w:val="100"/>
        </w:rPr>
        <w:t>渭河流域水污染防治三年行动方案</w:t>
      </w:r>
      <w:r>
        <w:rPr>
          <w:spacing w:val="-29"/>
          <w:w w:val="100"/>
        </w:rPr>
        <w:t>（</w:t>
      </w:r>
      <w:r>
        <w:rPr>
          <w:rFonts w:ascii="Times New Roman" w:eastAsia="Times New Roman" w:hAnsi="Times New Roman"/>
          <w:w w:val="100"/>
        </w:rPr>
        <w:t>2012-201</w:t>
      </w:r>
      <w:r>
        <w:rPr>
          <w:rFonts w:ascii="Times New Roman" w:eastAsia="Times New Roman" w:hAnsi="Times New Roman"/>
          <w:spacing w:val="-3"/>
          <w:w w:val="100"/>
        </w:rPr>
        <w:t>4</w:t>
      </w:r>
      <w:r>
        <w:rPr>
          <w:spacing w:val="-213"/>
          <w:w w:val="100"/>
        </w:rPr>
        <w:t>）</w:t>
      </w:r>
      <w:r>
        <w:rPr>
          <w:w w:val="100"/>
        </w:rPr>
        <w:t>》的明确，长庆石化分</w:t>
      </w:r>
      <w:r>
        <w:rPr>
          <w:spacing w:val="-12"/>
        </w:rPr>
        <w:t>公司的污水提标改造、废水深度治理项目在</w:t>
      </w:r>
      <w:r>
        <w:rPr>
          <w:rFonts w:ascii="Times New Roman" w:eastAsia="Times New Roman" w:hAnsi="Times New Roman"/>
          <w:spacing w:val="-7"/>
        </w:rPr>
        <w:t>“</w:t>
      </w:r>
      <w:r>
        <w:t>行动方案</w:t>
      </w:r>
      <w:r>
        <w:rPr>
          <w:rFonts w:ascii="Times New Roman" w:eastAsia="Times New Roman" w:hAnsi="Times New Roman"/>
        </w:rPr>
        <w:t>”</w:t>
      </w:r>
      <w:r>
        <w:rPr>
          <w:spacing w:val="-20"/>
        </w:rPr>
        <w:t xml:space="preserve">范围之内。因此， </w:t>
      </w:r>
      <w:r>
        <w:t>该公司对其污水进行提标改造和深度处理。</w:t>
      </w:r>
    </w:p>
    <w:p>
      <w:pPr>
        <w:pStyle w:val="BodyText"/>
        <w:spacing w:line="364" w:lineRule="auto"/>
        <w:ind w:left="1113" w:right="2364" w:firstLine="838"/>
        <w:jc w:val="both"/>
      </w:pPr>
      <w:r>
        <w:rPr>
          <w:spacing w:val="-6"/>
        </w:rPr>
        <w:t xml:space="preserve">陕西中圣环境科技发展有限公司于 </w:t>
      </w:r>
      <w:r>
        <w:rPr>
          <w:rFonts w:ascii="Times New Roman" w:eastAsia="Times New Roman"/>
        </w:rPr>
        <w:t>2013</w:t>
      </w:r>
      <w:r>
        <w:rPr>
          <w:rFonts w:ascii="Times New Roman" w:eastAsia="Times New Roman"/>
          <w:spacing w:val="39"/>
        </w:rPr>
        <w:t xml:space="preserve"> </w:t>
      </w:r>
      <w:r>
        <w:rPr>
          <w:spacing w:val="-37"/>
        </w:rPr>
        <w:t xml:space="preserve">年 </w:t>
      </w:r>
      <w:r>
        <w:rPr>
          <w:rFonts w:ascii="Times New Roman" w:eastAsia="Times New Roman"/>
        </w:rPr>
        <w:t>6</w:t>
      </w:r>
      <w:r>
        <w:rPr>
          <w:rFonts w:ascii="Times New Roman" w:eastAsia="Times New Roman"/>
          <w:spacing w:val="38"/>
        </w:rPr>
        <w:t xml:space="preserve"> </w:t>
      </w:r>
      <w:r>
        <w:rPr>
          <w:spacing w:val="-2"/>
        </w:rPr>
        <w:t>月所完成《中国石油</w:t>
      </w:r>
      <w:r>
        <w:rPr>
          <w:spacing w:val="-6"/>
        </w:rPr>
        <w:t>长庆石化公司污水排放标准升级改造项目环境影响报告表》，咸阳市环</w:t>
      </w:r>
      <w:r>
        <w:rPr>
          <w:spacing w:val="-7"/>
        </w:rPr>
        <w:t>保局以咸环批复【</w:t>
      </w:r>
      <w:r>
        <w:rPr>
          <w:rFonts w:ascii="Times New Roman" w:eastAsia="Times New Roman"/>
        </w:rPr>
        <w:t>2013</w:t>
      </w:r>
      <w:r>
        <w:rPr>
          <w:spacing w:val="-4"/>
        </w:rPr>
        <w:t>】</w:t>
      </w:r>
      <w:r>
        <w:rPr>
          <w:rFonts w:ascii="Times New Roman" w:eastAsia="Times New Roman"/>
        </w:rPr>
        <w:t>226</w:t>
      </w:r>
      <w:r>
        <w:rPr>
          <w:rFonts w:ascii="Times New Roman" w:eastAsia="Times New Roman"/>
          <w:spacing w:val="1"/>
        </w:rPr>
        <w:t xml:space="preserve"> </w:t>
      </w:r>
      <w:r>
        <w:t>号给予批复。</w:t>
      </w:r>
    </w:p>
    <w:p>
      <w:pPr>
        <w:pStyle w:val="BodyText"/>
        <w:spacing w:line="364" w:lineRule="auto"/>
        <w:ind w:left="1113" w:right="2319" w:firstLine="946"/>
        <w:jc w:val="both"/>
      </w:pPr>
      <w:r>
        <w:rPr>
          <w:spacing w:val="2"/>
        </w:rPr>
        <w:t>该项目是一项环保工程，项目总投资概算</w:t>
      </w:r>
      <w:r>
        <w:rPr>
          <w:rFonts w:ascii="Times New Roman" w:eastAsia="Times New Roman"/>
        </w:rPr>
        <w:t xml:space="preserve">2625.44 </w:t>
      </w:r>
      <w:r>
        <w:rPr>
          <w:spacing w:val="-3"/>
        </w:rPr>
        <w:t>万元，全部为环</w:t>
      </w:r>
      <w:r>
        <w:rPr>
          <w:spacing w:val="-12"/>
        </w:rPr>
        <w:t xml:space="preserve">保投资。该工程于 </w:t>
      </w:r>
      <w:r>
        <w:rPr>
          <w:rFonts w:ascii="Times New Roman" w:eastAsia="Times New Roman"/>
        </w:rPr>
        <w:t xml:space="preserve">2013 </w:t>
      </w:r>
      <w:r>
        <w:rPr>
          <w:spacing w:val="-48"/>
        </w:rPr>
        <w:t xml:space="preserve">年 </w:t>
      </w:r>
      <w:r>
        <w:rPr>
          <w:rFonts w:ascii="Times New Roman" w:eastAsia="Times New Roman"/>
        </w:rPr>
        <w:t xml:space="preserve">9 </w:t>
      </w:r>
      <w:r>
        <w:t>月动工，</w:t>
      </w:r>
      <w:r>
        <w:rPr>
          <w:rFonts w:ascii="Times New Roman" w:eastAsia="Times New Roman"/>
        </w:rPr>
        <w:t xml:space="preserve">2013 </w:t>
      </w:r>
      <w:r>
        <w:rPr>
          <w:spacing w:val="-48"/>
        </w:rPr>
        <w:t xml:space="preserve">年 </w:t>
      </w:r>
      <w:r>
        <w:rPr>
          <w:rFonts w:ascii="Times New Roman" w:eastAsia="Times New Roman"/>
        </w:rPr>
        <w:t xml:space="preserve">12 </w:t>
      </w:r>
      <w:r>
        <w:rPr>
          <w:spacing w:val="-2"/>
        </w:rPr>
        <w:t>月竣工。</w:t>
      </w:r>
      <w:r>
        <w:rPr>
          <w:rFonts w:ascii="Times New Roman" w:eastAsia="Times New Roman"/>
        </w:rPr>
        <w:t xml:space="preserve">2014 </w:t>
      </w:r>
      <w:r>
        <w:rPr>
          <w:spacing w:val="-47"/>
        </w:rPr>
        <w:t xml:space="preserve">年 </w:t>
      </w:r>
      <w:r>
        <w:rPr>
          <w:rFonts w:ascii="Times New Roman" w:eastAsia="Times New Roman"/>
        </w:rPr>
        <w:t xml:space="preserve">2 </w:t>
      </w:r>
      <w:r>
        <w:t>月</w:t>
      </w:r>
    </w:p>
    <w:p>
      <w:pPr>
        <w:pStyle w:val="ListParagraph"/>
        <w:numPr>
          <w:ilvl w:val="0"/>
          <w:numId w:val="11"/>
        </w:numPr>
        <w:tabs>
          <w:tab w:val="left" w:pos="1686"/>
        </w:tabs>
        <w:spacing w:before="0" w:after="0" w:line="538" w:lineRule="exact"/>
        <w:ind w:left="1685" w:right="0" w:hanging="573"/>
        <w:jc w:val="both"/>
        <w:rPr>
          <w:sz w:val="42"/>
        </w:rPr>
      </w:pPr>
      <w:r>
        <w:rPr>
          <w:spacing w:val="-2"/>
          <w:sz w:val="42"/>
        </w:rPr>
        <w:t>日咸阳市环保局以</w:t>
      </w:r>
      <w:r>
        <w:rPr>
          <w:rFonts w:ascii="Times New Roman" w:eastAsia="Times New Roman" w:hAnsi="Times New Roman"/>
          <w:spacing w:val="-7"/>
          <w:sz w:val="42"/>
        </w:rPr>
        <w:t>“</w:t>
      </w:r>
      <w:r>
        <w:rPr>
          <w:sz w:val="42"/>
        </w:rPr>
        <w:t>咸环试运行</w:t>
      </w:r>
      <w:r>
        <w:rPr>
          <w:rFonts w:ascii="Times New Roman" w:eastAsia="Times New Roman" w:hAnsi="Times New Roman"/>
          <w:sz w:val="42"/>
        </w:rPr>
        <w:t>[2014]5</w:t>
      </w:r>
      <w:r>
        <w:rPr>
          <w:rFonts w:ascii="Times New Roman" w:eastAsia="Times New Roman" w:hAnsi="Times New Roman"/>
          <w:spacing w:val="47"/>
          <w:sz w:val="42"/>
        </w:rPr>
        <w:t xml:space="preserve"> </w:t>
      </w:r>
      <w:r>
        <w:rPr>
          <w:sz w:val="42"/>
        </w:rPr>
        <w:t>号</w:t>
      </w:r>
      <w:r>
        <w:rPr>
          <w:rFonts w:ascii="Times New Roman" w:eastAsia="Times New Roman" w:hAnsi="Times New Roman"/>
          <w:sz w:val="42"/>
        </w:rPr>
        <w:t>”</w:t>
      </w:r>
      <w:r>
        <w:rPr>
          <w:sz w:val="42"/>
        </w:rPr>
        <w:t>文批复该工程进行试运行</w:t>
      </w:r>
    </w:p>
    <w:p>
      <w:pPr>
        <w:pStyle w:val="BodyText"/>
        <w:spacing w:before="267" w:line="364" w:lineRule="auto"/>
        <w:ind w:left="1113" w:right="2329"/>
        <w:jc w:val="both"/>
      </w:pPr>
      <w:r>
        <w:rPr>
          <w:w w:val="100"/>
        </w:rPr>
        <w:t>（见附件</w:t>
      </w:r>
      <w:r>
        <w:rPr>
          <w:spacing w:val="-213"/>
          <w:w w:val="100"/>
        </w:rPr>
        <w:t>）</w:t>
      </w:r>
      <w:r>
        <w:rPr>
          <w:w w:val="100"/>
        </w:rPr>
        <w:t>，试运行的时限为三个月，即</w:t>
      </w:r>
      <w:r>
        <w:rPr>
          <w:spacing w:val="-122"/>
        </w:rPr>
        <w:t xml:space="preserve"> </w:t>
      </w:r>
      <w:r>
        <w:rPr>
          <w:rFonts w:ascii="Times New Roman" w:eastAsia="Times New Roman"/>
          <w:w w:val="100"/>
        </w:rPr>
        <w:t>2014</w:t>
      </w:r>
      <w:r>
        <w:rPr>
          <w:rFonts w:ascii="Times New Roman" w:eastAsia="Times New Roman"/>
        </w:rPr>
        <w:t xml:space="preserve"> </w:t>
      </w:r>
      <w:r>
        <w:rPr>
          <w:w w:val="100"/>
        </w:rPr>
        <w:t>年</w:t>
      </w:r>
      <w:r>
        <w:rPr>
          <w:spacing w:val="-106"/>
        </w:rPr>
        <w:t xml:space="preserve"> </w:t>
      </w:r>
      <w:r>
        <w:rPr>
          <w:rFonts w:ascii="Times New Roman" w:eastAsia="Times New Roman"/>
          <w:w w:val="100"/>
        </w:rPr>
        <w:t>2</w:t>
      </w:r>
      <w:r>
        <w:rPr>
          <w:rFonts w:ascii="Times New Roman" w:eastAsia="Times New Roman"/>
        </w:rPr>
        <w:t xml:space="preserve"> </w:t>
      </w:r>
      <w:r>
        <w:rPr>
          <w:w w:val="100"/>
        </w:rPr>
        <w:t>月</w:t>
      </w:r>
      <w:r>
        <w:rPr>
          <w:spacing w:val="-106"/>
        </w:rPr>
        <w:t xml:space="preserve"> </w:t>
      </w:r>
      <w:r>
        <w:rPr>
          <w:rFonts w:ascii="Times New Roman" w:eastAsia="Times New Roman"/>
          <w:w w:val="100"/>
        </w:rPr>
        <w:t>26</w:t>
      </w:r>
      <w:r>
        <w:rPr>
          <w:rFonts w:ascii="Times New Roman" w:eastAsia="Times New Roman"/>
        </w:rPr>
        <w:t xml:space="preserve"> </w:t>
      </w:r>
      <w:r>
        <w:rPr>
          <w:w w:val="100"/>
        </w:rPr>
        <w:t>日至</w:t>
      </w:r>
      <w:r>
        <w:rPr>
          <w:spacing w:val="-105"/>
        </w:rPr>
        <w:t xml:space="preserve"> </w:t>
      </w:r>
      <w:r>
        <w:rPr>
          <w:rFonts w:ascii="Times New Roman" w:eastAsia="Times New Roman"/>
          <w:w w:val="100"/>
        </w:rPr>
        <w:t>2014</w:t>
      </w:r>
      <w:r>
        <w:rPr>
          <w:rFonts w:ascii="Times New Roman" w:eastAsia="Times New Roman"/>
        </w:rPr>
        <w:t xml:space="preserve"> </w:t>
      </w:r>
      <w:r>
        <w:rPr>
          <w:w w:val="100"/>
        </w:rPr>
        <w:t>年</w:t>
      </w:r>
      <w:r>
        <w:rPr>
          <w:spacing w:val="-110"/>
        </w:rPr>
        <w:t xml:space="preserve"> </w:t>
      </w:r>
      <w:r>
        <w:rPr>
          <w:rFonts w:ascii="Times New Roman" w:eastAsia="Times New Roman"/>
          <w:w w:val="100"/>
        </w:rPr>
        <w:t>5</w:t>
      </w:r>
      <w:r>
        <w:rPr>
          <w:spacing w:val="-51"/>
        </w:rPr>
        <w:t xml:space="preserve">月 </w:t>
      </w:r>
      <w:r>
        <w:rPr>
          <w:rFonts w:ascii="Times New Roman" w:eastAsia="Times New Roman"/>
        </w:rPr>
        <w:t xml:space="preserve">26 </w:t>
      </w:r>
      <w:r>
        <w:rPr>
          <w:spacing w:val="-35"/>
        </w:rPr>
        <w:t>日。</w:t>
      </w:r>
      <w:r>
        <w:rPr>
          <w:rFonts w:ascii="Times New Roman" w:eastAsia="Times New Roman"/>
        </w:rPr>
        <w:t xml:space="preserve">2014 </w:t>
      </w:r>
      <w:r>
        <w:rPr>
          <w:spacing w:val="-53"/>
        </w:rPr>
        <w:t xml:space="preserve">年 </w:t>
      </w:r>
      <w:r>
        <w:rPr>
          <w:rFonts w:ascii="Times New Roman" w:eastAsia="Times New Roman"/>
        </w:rPr>
        <w:t xml:space="preserve">2 </w:t>
      </w:r>
      <w:r>
        <w:rPr>
          <w:spacing w:val="-51"/>
        </w:rPr>
        <w:t xml:space="preserve">月 </w:t>
      </w:r>
      <w:r>
        <w:rPr>
          <w:rFonts w:ascii="Times New Roman" w:eastAsia="Times New Roman"/>
        </w:rPr>
        <w:t xml:space="preserve">27 </w:t>
      </w:r>
      <w:r>
        <w:rPr>
          <w:spacing w:val="-13"/>
        </w:rPr>
        <w:t>日申请竣工验收监测。接到委托后，我站组织</w:t>
      </w:r>
      <w:r>
        <w:rPr>
          <w:spacing w:val="-31"/>
        </w:rPr>
        <w:t xml:space="preserve">技术人员于 </w:t>
      </w:r>
      <w:r>
        <w:rPr>
          <w:rFonts w:ascii="Times New Roman" w:eastAsia="Times New Roman"/>
        </w:rPr>
        <w:t xml:space="preserve">2014 </w:t>
      </w:r>
      <w:r>
        <w:rPr>
          <w:spacing w:val="-60"/>
        </w:rPr>
        <w:t xml:space="preserve">年 </w:t>
      </w:r>
      <w:r>
        <w:rPr>
          <w:rFonts w:ascii="Times New Roman" w:eastAsia="Times New Roman"/>
        </w:rPr>
        <w:t xml:space="preserve">3 </w:t>
      </w:r>
      <w:r>
        <w:rPr>
          <w:spacing w:val="-60"/>
        </w:rPr>
        <w:t xml:space="preserve">月 </w:t>
      </w:r>
      <w:r>
        <w:rPr>
          <w:rFonts w:ascii="Times New Roman" w:eastAsia="Times New Roman"/>
        </w:rPr>
        <w:t xml:space="preserve">19 </w:t>
      </w:r>
      <w:r>
        <w:t>日对该项目的建设和运行情况进行了现场勘</w:t>
      </w:r>
      <w:r>
        <w:rPr>
          <w:spacing w:val="-4"/>
        </w:rPr>
        <w:t>察。依据国家环保总局环发</w:t>
      </w:r>
      <w:r>
        <w:rPr>
          <w:rFonts w:ascii="Times New Roman" w:eastAsia="Times New Roman"/>
        </w:rPr>
        <w:t xml:space="preserve">[2000]38 </w:t>
      </w:r>
      <w:r>
        <w:rPr>
          <w:spacing w:val="-2"/>
        </w:rPr>
        <w:t>号文《关于建设项目环境保护设施</w:t>
      </w:r>
    </w:p>
    <w:p>
      <w:pPr>
        <w:spacing w:after="0" w:line="364" w:lineRule="auto"/>
        <w:jc w:val="both"/>
        <w:sectPr>
          <w:type w:val="continuous"/>
          <w:pgSz w:w="17860" w:h="25260"/>
          <w:pgMar w:top="2420" w:right="0" w:bottom="280" w:left="1440" w:header="708" w:footer="708"/>
          <w:cols w:space="708"/>
        </w:sectPr>
      </w:pPr>
    </w:p>
    <w:p>
      <w:pPr>
        <w:pStyle w:val="BodyText"/>
        <w:spacing w:before="18" w:line="364" w:lineRule="auto"/>
        <w:ind w:left="1113" w:right="2084"/>
      </w:pPr>
      <w:r>
        <w:t>竣工验收监测管理有关问题的通知</w:t>
      </w:r>
      <w:r>
        <w:rPr>
          <w:spacing w:val="-24"/>
        </w:rPr>
        <w:t xml:space="preserve">》，在现场勘察和资料调研的基础上， </w:t>
      </w:r>
      <w:r>
        <w:t>结合该工程环保设施实际建设和运行情况、环评建议、批复要求及有关环境监测技术规定编制该项目验收监测方案，根据专家审核并修改后验</w:t>
      </w:r>
      <w:r>
        <w:rPr>
          <w:spacing w:val="-9"/>
        </w:rPr>
        <w:t>收监测方案，咸阳市环境监测站于</w:t>
      </w:r>
      <w:r>
        <w:rPr>
          <w:rFonts w:ascii="Arial" w:eastAsia="Arial"/>
        </w:rPr>
        <w:t xml:space="preserve">2014 </w:t>
      </w:r>
      <w:r>
        <w:rPr>
          <w:spacing w:val="-66"/>
        </w:rPr>
        <w:t xml:space="preserve">年 </w:t>
      </w:r>
      <w:r>
        <w:rPr>
          <w:rFonts w:ascii="Arial" w:eastAsia="Arial"/>
        </w:rPr>
        <w:t xml:space="preserve">4 </w:t>
      </w:r>
      <w:r>
        <w:rPr>
          <w:spacing w:val="-66"/>
        </w:rPr>
        <w:t xml:space="preserve">月 </w:t>
      </w:r>
      <w:r>
        <w:rPr>
          <w:rFonts w:ascii="Arial" w:eastAsia="Arial"/>
        </w:rPr>
        <w:t xml:space="preserve">14 </w:t>
      </w:r>
      <w:r>
        <w:t>日</w:t>
      </w:r>
      <w:r>
        <w:rPr>
          <w:rFonts w:ascii="Arial" w:eastAsia="Arial"/>
        </w:rPr>
        <w:t xml:space="preserve">~2014 </w:t>
      </w:r>
      <w:r>
        <w:rPr>
          <w:spacing w:val="-66"/>
        </w:rPr>
        <w:t xml:space="preserve">年 </w:t>
      </w:r>
      <w:r>
        <w:rPr>
          <w:rFonts w:ascii="Arial" w:eastAsia="Arial"/>
        </w:rPr>
        <w:t xml:space="preserve">4 </w:t>
      </w:r>
      <w:r>
        <w:rPr>
          <w:spacing w:val="-66"/>
        </w:rPr>
        <w:t xml:space="preserve">月 </w:t>
      </w:r>
      <w:r>
        <w:rPr>
          <w:rFonts w:ascii="Arial" w:eastAsia="Arial"/>
        </w:rPr>
        <w:t xml:space="preserve">16 </w:t>
      </w:r>
      <w:r>
        <w:t>日</w:t>
      </w:r>
      <w:r>
        <w:rPr>
          <w:spacing w:val="-57"/>
        </w:rPr>
        <w:t xml:space="preserve">和 </w:t>
      </w:r>
      <w:r>
        <w:rPr>
          <w:rFonts w:ascii="Arial" w:eastAsia="Arial"/>
        </w:rPr>
        <w:t xml:space="preserve">2014 </w:t>
      </w:r>
      <w:r>
        <w:rPr>
          <w:spacing w:val="-57"/>
        </w:rPr>
        <w:t xml:space="preserve">年 </w:t>
      </w:r>
      <w:r>
        <w:rPr>
          <w:rFonts w:ascii="Arial" w:eastAsia="Arial"/>
        </w:rPr>
        <w:t xml:space="preserve">5 </w:t>
      </w:r>
      <w:r>
        <w:rPr>
          <w:spacing w:val="-58"/>
        </w:rPr>
        <w:t xml:space="preserve">月 </w:t>
      </w:r>
      <w:r>
        <w:rPr>
          <w:rFonts w:ascii="Arial" w:eastAsia="Arial"/>
        </w:rPr>
        <w:t xml:space="preserve">7 </w:t>
      </w:r>
      <w:r>
        <w:rPr>
          <w:spacing w:val="-4"/>
        </w:rPr>
        <w:t>日</w:t>
      </w:r>
      <w:r>
        <w:rPr>
          <w:rFonts w:ascii="Arial" w:eastAsia="Arial"/>
        </w:rPr>
        <w:t xml:space="preserve">~2014 </w:t>
      </w:r>
      <w:r>
        <w:rPr>
          <w:spacing w:val="-57"/>
        </w:rPr>
        <w:t xml:space="preserve">年 </w:t>
      </w:r>
      <w:r>
        <w:rPr>
          <w:rFonts w:ascii="Arial" w:eastAsia="Arial"/>
        </w:rPr>
        <w:t xml:space="preserve">5 </w:t>
      </w:r>
      <w:r>
        <w:rPr>
          <w:spacing w:val="-58"/>
        </w:rPr>
        <w:t xml:space="preserve">月 </w:t>
      </w:r>
      <w:r>
        <w:rPr>
          <w:rFonts w:ascii="Arial" w:eastAsia="Arial"/>
        </w:rPr>
        <w:t xml:space="preserve">9 </w:t>
      </w:r>
      <w:r>
        <w:t>日进行了验收监测。</w:t>
      </w:r>
    </w:p>
    <w:p>
      <w:pPr>
        <w:pStyle w:val="BodyText"/>
        <w:spacing w:line="364" w:lineRule="auto"/>
        <w:ind w:left="1113" w:right="2144" w:firstLine="946"/>
      </w:pPr>
      <w:r>
        <w:t>针对该项目执行环评要求及审批意见的情况，以及环境检查结果， 依据验收监测期间该工程环保处理设施和污染物排放的监测结果，对照有关国家标准，编制了本验收监测报告。</w:t>
      </w:r>
    </w:p>
    <w:p>
      <w:pPr>
        <w:pStyle w:val="Heading1"/>
        <w:spacing w:line="569" w:lineRule="exact"/>
        <w:ind w:left="1113"/>
      </w:pPr>
      <w:r>
        <w:rPr>
          <w:rFonts w:ascii="Arial" w:eastAsia="Arial"/>
        </w:rPr>
        <w:t>2</w:t>
      </w:r>
      <w:r>
        <w:t>、验收监测依据</w:t>
      </w:r>
    </w:p>
    <w:p>
      <w:pPr>
        <w:pStyle w:val="ListParagraph"/>
        <w:numPr>
          <w:ilvl w:val="1"/>
          <w:numId w:val="12"/>
        </w:numPr>
        <w:tabs>
          <w:tab w:val="left" w:pos="2611"/>
        </w:tabs>
        <w:spacing w:before="359" w:after="0" w:line="240" w:lineRule="auto"/>
        <w:ind w:left="2610" w:right="0" w:hanging="660"/>
        <w:jc w:val="both"/>
        <w:rPr>
          <w:rFonts w:ascii="Arial" w:eastAsia="Arial"/>
          <w:sz w:val="42"/>
        </w:rPr>
      </w:pPr>
      <w:r>
        <w:rPr>
          <w:spacing w:val="-22"/>
          <w:sz w:val="42"/>
        </w:rPr>
        <w:t xml:space="preserve">国务院令第 </w:t>
      </w:r>
      <w:r>
        <w:rPr>
          <w:rFonts w:ascii="Arial" w:eastAsia="Arial"/>
          <w:sz w:val="42"/>
        </w:rPr>
        <w:t>253</w:t>
      </w:r>
      <w:r>
        <w:rPr>
          <w:rFonts w:ascii="Arial" w:eastAsia="Arial"/>
          <w:spacing w:val="-32"/>
          <w:sz w:val="42"/>
        </w:rPr>
        <w:t xml:space="preserve"> </w:t>
      </w:r>
      <w:r>
        <w:rPr>
          <w:sz w:val="42"/>
        </w:rPr>
        <w:t>号《建设项目环境保护管理条例</w:t>
      </w:r>
      <w:r>
        <w:rPr>
          <w:spacing w:val="-114"/>
          <w:sz w:val="42"/>
        </w:rPr>
        <w:t>》，</w:t>
      </w:r>
      <w:r>
        <w:rPr>
          <w:rFonts w:ascii="Arial" w:eastAsia="Arial"/>
          <w:sz w:val="42"/>
        </w:rPr>
        <w:t>1998</w:t>
      </w:r>
      <w:r>
        <w:rPr>
          <w:rFonts w:ascii="Arial" w:eastAsia="Arial"/>
          <w:spacing w:val="-31"/>
          <w:sz w:val="42"/>
        </w:rPr>
        <w:t xml:space="preserve"> </w:t>
      </w:r>
      <w:r>
        <w:rPr>
          <w:spacing w:val="-65"/>
          <w:sz w:val="42"/>
        </w:rPr>
        <w:t xml:space="preserve">年 </w:t>
      </w:r>
      <w:r>
        <w:rPr>
          <w:rFonts w:ascii="Arial" w:eastAsia="Arial"/>
          <w:sz w:val="42"/>
        </w:rPr>
        <w:t>11</w:t>
      </w:r>
    </w:p>
    <w:p>
      <w:pPr>
        <w:pStyle w:val="BodyText"/>
        <w:spacing w:before="279"/>
        <w:ind w:left="1113"/>
      </w:pPr>
      <w:r>
        <w:rPr>
          <w:spacing w:val="-64"/>
        </w:rPr>
        <w:t xml:space="preserve">月 </w:t>
      </w:r>
      <w:r>
        <w:rPr>
          <w:rFonts w:ascii="Arial" w:eastAsia="Arial"/>
        </w:rPr>
        <w:t>29</w:t>
      </w:r>
      <w:r>
        <w:rPr>
          <w:rFonts w:ascii="Arial" w:eastAsia="Arial"/>
          <w:spacing w:val="-34"/>
        </w:rPr>
        <w:t xml:space="preserve"> </w:t>
      </w:r>
      <w:r>
        <w:t>日；</w:t>
      </w:r>
    </w:p>
    <w:p>
      <w:pPr>
        <w:pStyle w:val="ListParagraph"/>
        <w:numPr>
          <w:ilvl w:val="1"/>
          <w:numId w:val="12"/>
        </w:numPr>
        <w:tabs>
          <w:tab w:val="left" w:pos="2690"/>
        </w:tabs>
        <w:spacing w:before="279" w:after="0" w:line="364" w:lineRule="auto"/>
        <w:ind w:left="1113" w:right="2361" w:firstLine="838"/>
        <w:jc w:val="both"/>
        <w:rPr>
          <w:rFonts w:ascii="Arial" w:eastAsia="Arial"/>
          <w:sz w:val="42"/>
        </w:rPr>
      </w:pPr>
      <w:r>
        <w:rPr>
          <w:spacing w:val="-2"/>
          <w:sz w:val="42"/>
        </w:rPr>
        <w:t xml:space="preserve">国家环保总局第 </w:t>
      </w:r>
      <w:r>
        <w:rPr>
          <w:rFonts w:ascii="Arial" w:eastAsia="Arial"/>
          <w:sz w:val="42"/>
        </w:rPr>
        <w:t>13</w:t>
      </w:r>
      <w:r>
        <w:rPr>
          <w:rFonts w:ascii="Arial" w:eastAsia="Arial"/>
          <w:spacing w:val="88"/>
          <w:sz w:val="42"/>
        </w:rPr>
        <w:t xml:space="preserve"> </w:t>
      </w:r>
      <w:r>
        <w:rPr>
          <w:spacing w:val="-1"/>
          <w:sz w:val="42"/>
        </w:rPr>
        <w:t>号令《建设项目竣工环境保护验收管理办</w:t>
      </w:r>
      <w:r>
        <w:rPr>
          <w:spacing w:val="-70"/>
          <w:sz w:val="42"/>
        </w:rPr>
        <w:t>法》，</w:t>
      </w:r>
      <w:r>
        <w:rPr>
          <w:rFonts w:ascii="Arial" w:eastAsia="Arial"/>
          <w:sz w:val="42"/>
        </w:rPr>
        <w:t>2001</w:t>
      </w:r>
      <w:r>
        <w:rPr>
          <w:rFonts w:ascii="Arial" w:eastAsia="Arial"/>
          <w:spacing w:val="-15"/>
          <w:sz w:val="42"/>
        </w:rPr>
        <w:t xml:space="preserve"> </w:t>
      </w:r>
      <w:r>
        <w:rPr>
          <w:spacing w:val="-56"/>
          <w:sz w:val="42"/>
        </w:rPr>
        <w:t xml:space="preserve">年 </w:t>
      </w:r>
      <w:r>
        <w:rPr>
          <w:rFonts w:ascii="Arial" w:eastAsia="Arial"/>
          <w:sz w:val="42"/>
        </w:rPr>
        <w:t>12</w:t>
      </w:r>
      <w:r>
        <w:rPr>
          <w:rFonts w:ascii="Arial" w:eastAsia="Arial"/>
          <w:spacing w:val="-11"/>
          <w:sz w:val="42"/>
        </w:rPr>
        <w:t xml:space="preserve"> </w:t>
      </w:r>
      <w:r>
        <w:rPr>
          <w:sz w:val="42"/>
        </w:rPr>
        <w:t>月；</w:t>
      </w:r>
    </w:p>
    <w:p>
      <w:pPr>
        <w:pStyle w:val="ListParagraph"/>
        <w:numPr>
          <w:ilvl w:val="1"/>
          <w:numId w:val="12"/>
        </w:numPr>
        <w:tabs>
          <w:tab w:val="left" w:pos="2661"/>
        </w:tabs>
        <w:spacing w:before="0" w:after="0" w:line="364" w:lineRule="auto"/>
        <w:ind w:left="1113" w:right="2247" w:firstLine="838"/>
        <w:jc w:val="both"/>
        <w:rPr>
          <w:rFonts w:ascii="Arial" w:eastAsia="Arial"/>
          <w:sz w:val="42"/>
        </w:rPr>
      </w:pPr>
      <w:r>
        <w:rPr>
          <w:spacing w:val="-2"/>
          <w:sz w:val="42"/>
        </w:rPr>
        <w:t>国家环保总局环发</w:t>
      </w:r>
      <w:r>
        <w:rPr>
          <w:rFonts w:ascii="Arial" w:eastAsia="Arial"/>
          <w:sz w:val="42"/>
        </w:rPr>
        <w:t>[2000]38</w:t>
      </w:r>
      <w:r>
        <w:rPr>
          <w:rFonts w:ascii="Arial" w:eastAsia="Arial"/>
          <w:spacing w:val="21"/>
          <w:sz w:val="42"/>
        </w:rPr>
        <w:t xml:space="preserve"> </w:t>
      </w:r>
      <w:r>
        <w:rPr>
          <w:sz w:val="42"/>
        </w:rPr>
        <w:t>号文《关于建设项目环境保护设竣</w:t>
      </w:r>
      <w:r>
        <w:rPr>
          <w:spacing w:val="-1"/>
          <w:sz w:val="42"/>
        </w:rPr>
        <w:t>工验收监测管理有关问题的通知》及其附件《建设项目环境保护设施竣</w:t>
      </w:r>
      <w:r>
        <w:rPr>
          <w:spacing w:val="-23"/>
          <w:w w:val="100"/>
          <w:sz w:val="42"/>
        </w:rPr>
        <w:t>工验收监测技术要求》</w:t>
      </w:r>
      <w:r>
        <w:rPr>
          <w:w w:val="100"/>
          <w:sz w:val="42"/>
        </w:rPr>
        <w:t>（试行</w:t>
      </w:r>
      <w:r>
        <w:rPr>
          <w:spacing w:val="-217"/>
          <w:w w:val="100"/>
          <w:sz w:val="42"/>
        </w:rPr>
        <w:t>）</w:t>
      </w:r>
      <w:r>
        <w:rPr>
          <w:spacing w:val="-2"/>
          <w:w w:val="100"/>
          <w:sz w:val="42"/>
        </w:rPr>
        <w:t>，</w:t>
      </w:r>
      <w:r>
        <w:rPr>
          <w:rFonts w:ascii="Arial" w:eastAsia="Arial"/>
          <w:w w:val="90"/>
          <w:sz w:val="42"/>
        </w:rPr>
        <w:t>2000</w:t>
      </w:r>
      <w:r>
        <w:rPr>
          <w:rFonts w:ascii="Arial" w:eastAsia="Arial"/>
          <w:spacing w:val="-13"/>
          <w:sz w:val="42"/>
        </w:rPr>
        <w:t xml:space="preserve"> </w:t>
      </w:r>
      <w:r>
        <w:rPr>
          <w:w w:val="100"/>
          <w:sz w:val="42"/>
        </w:rPr>
        <w:t>年</w:t>
      </w:r>
      <w:r>
        <w:rPr>
          <w:spacing w:val="-106"/>
          <w:sz w:val="42"/>
        </w:rPr>
        <w:t xml:space="preserve"> </w:t>
      </w:r>
      <w:r>
        <w:rPr>
          <w:rFonts w:ascii="Arial" w:eastAsia="Arial"/>
          <w:w w:val="90"/>
          <w:sz w:val="42"/>
        </w:rPr>
        <w:t>2</w:t>
      </w:r>
      <w:r>
        <w:rPr>
          <w:rFonts w:ascii="Arial" w:eastAsia="Arial"/>
          <w:spacing w:val="-11"/>
          <w:sz w:val="42"/>
        </w:rPr>
        <w:t xml:space="preserve"> </w:t>
      </w:r>
      <w:r>
        <w:rPr>
          <w:w w:val="100"/>
          <w:sz w:val="42"/>
        </w:rPr>
        <w:t>月</w:t>
      </w:r>
      <w:r>
        <w:rPr>
          <w:spacing w:val="-106"/>
          <w:sz w:val="42"/>
        </w:rPr>
        <w:t xml:space="preserve"> </w:t>
      </w:r>
      <w:r>
        <w:rPr>
          <w:rFonts w:ascii="Arial" w:eastAsia="Arial"/>
          <w:w w:val="90"/>
          <w:sz w:val="42"/>
        </w:rPr>
        <w:t>24</w:t>
      </w:r>
      <w:r>
        <w:rPr>
          <w:rFonts w:ascii="Arial" w:eastAsia="Arial"/>
          <w:spacing w:val="-13"/>
          <w:sz w:val="42"/>
        </w:rPr>
        <w:t xml:space="preserve"> </w:t>
      </w:r>
      <w:r>
        <w:rPr>
          <w:w w:val="100"/>
          <w:sz w:val="42"/>
        </w:rPr>
        <w:t>日；</w:t>
      </w:r>
    </w:p>
    <w:p>
      <w:pPr>
        <w:pStyle w:val="ListParagraph"/>
        <w:numPr>
          <w:ilvl w:val="1"/>
          <w:numId w:val="12"/>
        </w:numPr>
        <w:tabs>
          <w:tab w:val="left" w:pos="2480"/>
        </w:tabs>
        <w:spacing w:before="0" w:after="0" w:line="364" w:lineRule="auto"/>
        <w:ind w:left="1113" w:right="2344" w:firstLine="838"/>
        <w:jc w:val="both"/>
        <w:rPr>
          <w:rFonts w:ascii="Arial" w:eastAsia="Arial"/>
          <w:sz w:val="40"/>
        </w:rPr>
      </w:pPr>
      <w:r>
        <w:rPr>
          <w:sz w:val="42"/>
        </w:rPr>
        <w:t>《中国石油长庆石化公司污水排放标准升级改造项目环境影响</w:t>
      </w:r>
      <w:r>
        <w:rPr>
          <w:spacing w:val="-17"/>
          <w:sz w:val="42"/>
        </w:rPr>
        <w:t>报告表》，陕西中圣环境科技发展有限公司，</w:t>
      </w:r>
      <w:r>
        <w:rPr>
          <w:rFonts w:ascii="Arial" w:eastAsia="Arial"/>
          <w:spacing w:val="-4"/>
          <w:sz w:val="42"/>
        </w:rPr>
        <w:t>2013</w:t>
      </w:r>
      <w:r>
        <w:rPr>
          <w:rFonts w:ascii="Arial" w:eastAsia="Arial"/>
          <w:spacing w:val="-22"/>
          <w:sz w:val="42"/>
        </w:rPr>
        <w:t xml:space="preserve"> </w:t>
      </w:r>
      <w:r>
        <w:rPr>
          <w:spacing w:val="-59"/>
          <w:sz w:val="42"/>
        </w:rPr>
        <w:t xml:space="preserve">年 </w:t>
      </w:r>
      <w:r>
        <w:rPr>
          <w:rFonts w:ascii="Arial" w:eastAsia="Arial"/>
          <w:sz w:val="42"/>
        </w:rPr>
        <w:t>6</w:t>
      </w:r>
      <w:r>
        <w:rPr>
          <w:rFonts w:ascii="Arial" w:eastAsia="Arial"/>
          <w:spacing w:val="-19"/>
          <w:sz w:val="42"/>
        </w:rPr>
        <w:t xml:space="preserve"> </w:t>
      </w:r>
      <w:r>
        <w:rPr>
          <w:spacing w:val="-59"/>
          <w:sz w:val="42"/>
        </w:rPr>
        <w:t xml:space="preserve">月 </w:t>
      </w:r>
      <w:r>
        <w:rPr>
          <w:rFonts w:ascii="Arial" w:eastAsia="Arial"/>
          <w:sz w:val="42"/>
        </w:rPr>
        <w:t>27</w:t>
      </w:r>
      <w:r>
        <w:rPr>
          <w:rFonts w:ascii="Arial" w:eastAsia="Arial"/>
          <w:spacing w:val="-21"/>
          <w:sz w:val="42"/>
        </w:rPr>
        <w:t xml:space="preserve"> </w:t>
      </w:r>
      <w:r>
        <w:rPr>
          <w:sz w:val="42"/>
        </w:rPr>
        <w:t>日；</w:t>
      </w:r>
    </w:p>
    <w:p>
      <w:pPr>
        <w:pStyle w:val="ListParagraph"/>
        <w:numPr>
          <w:ilvl w:val="1"/>
          <w:numId w:val="12"/>
        </w:numPr>
        <w:tabs>
          <w:tab w:val="left" w:pos="2690"/>
        </w:tabs>
        <w:spacing w:before="0" w:after="0" w:line="364" w:lineRule="auto"/>
        <w:ind w:left="1113" w:right="2355" w:firstLine="838"/>
        <w:jc w:val="both"/>
        <w:rPr>
          <w:rFonts w:ascii="Arial" w:eastAsia="Arial"/>
          <w:sz w:val="42"/>
        </w:rPr>
      </w:pPr>
      <w:r>
        <w:rPr>
          <w:spacing w:val="-1"/>
          <w:sz w:val="42"/>
        </w:rPr>
        <w:t>咸阳市环境保护局关于对《中国石油长庆石化公司污水排放标</w:t>
      </w:r>
      <w:r>
        <w:rPr>
          <w:spacing w:val="-2"/>
          <w:w w:val="95"/>
          <w:sz w:val="42"/>
        </w:rPr>
        <w:t>准升级改造项目环境影响报告表批复》，咸环批复</w:t>
      </w:r>
      <w:r>
        <w:rPr>
          <w:rFonts w:ascii="Arial" w:eastAsia="Arial"/>
          <w:w w:val="95"/>
          <w:sz w:val="42"/>
        </w:rPr>
        <w:t>[2013]226</w:t>
      </w:r>
      <w:r>
        <w:rPr>
          <w:rFonts w:ascii="Arial" w:eastAsia="Arial"/>
          <w:spacing w:val="83"/>
          <w:w w:val="95"/>
          <w:sz w:val="42"/>
        </w:rPr>
        <w:t xml:space="preserve"> </w:t>
      </w:r>
      <w:r>
        <w:rPr>
          <w:spacing w:val="1"/>
          <w:w w:val="95"/>
          <w:sz w:val="42"/>
        </w:rPr>
        <w:t>号，</w:t>
      </w:r>
      <w:r>
        <w:rPr>
          <w:rFonts w:ascii="Arial" w:eastAsia="Arial"/>
          <w:spacing w:val="3"/>
          <w:w w:val="95"/>
          <w:sz w:val="42"/>
        </w:rPr>
        <w:t xml:space="preserve">2013 </w:t>
      </w:r>
      <w:r>
        <w:rPr>
          <w:spacing w:val="-54"/>
          <w:sz w:val="42"/>
        </w:rPr>
        <w:t xml:space="preserve">年 </w:t>
      </w:r>
      <w:r>
        <w:rPr>
          <w:rFonts w:ascii="Arial" w:eastAsia="Arial"/>
          <w:sz w:val="42"/>
        </w:rPr>
        <w:t>9</w:t>
      </w:r>
      <w:r>
        <w:rPr>
          <w:rFonts w:ascii="Arial" w:eastAsia="Arial"/>
          <w:spacing w:val="-12"/>
          <w:sz w:val="42"/>
        </w:rPr>
        <w:t xml:space="preserve"> </w:t>
      </w:r>
      <w:r>
        <w:rPr>
          <w:spacing w:val="-53"/>
          <w:sz w:val="42"/>
        </w:rPr>
        <w:t xml:space="preserve">月 </w:t>
      </w:r>
      <w:r>
        <w:rPr>
          <w:rFonts w:ascii="Arial" w:eastAsia="Arial"/>
          <w:sz w:val="42"/>
        </w:rPr>
        <w:t>10</w:t>
      </w:r>
      <w:r>
        <w:rPr>
          <w:rFonts w:ascii="Arial" w:eastAsia="Arial"/>
          <w:spacing w:val="-14"/>
          <w:sz w:val="42"/>
        </w:rPr>
        <w:t xml:space="preserve"> </w:t>
      </w:r>
      <w:r>
        <w:rPr>
          <w:sz w:val="42"/>
        </w:rPr>
        <w:t>日；</w:t>
      </w:r>
    </w:p>
    <w:p>
      <w:pPr>
        <w:pStyle w:val="ListParagraph"/>
        <w:numPr>
          <w:ilvl w:val="1"/>
          <w:numId w:val="12"/>
        </w:numPr>
        <w:tabs>
          <w:tab w:val="left" w:pos="2690"/>
        </w:tabs>
        <w:spacing w:before="0" w:after="0" w:line="364" w:lineRule="auto"/>
        <w:ind w:left="1113" w:right="2295" w:firstLine="838"/>
        <w:jc w:val="both"/>
        <w:rPr>
          <w:rFonts w:ascii="Arial" w:eastAsia="Arial"/>
          <w:sz w:val="42"/>
        </w:rPr>
      </w:pPr>
      <w:r>
        <w:rPr>
          <w:sz w:val="42"/>
        </w:rPr>
        <w:t>咸阳市环境保护局《中国石油长庆石化公司污水排放标准升级</w:t>
      </w:r>
      <w:r>
        <w:rPr>
          <w:spacing w:val="-11"/>
          <w:sz w:val="42"/>
        </w:rPr>
        <w:t>改造项目试生产的批复》，咸环试运行</w:t>
      </w:r>
      <w:r>
        <w:rPr>
          <w:rFonts w:ascii="Arial" w:eastAsia="Arial"/>
          <w:sz w:val="42"/>
        </w:rPr>
        <w:t>[2014]5</w:t>
      </w:r>
      <w:r>
        <w:rPr>
          <w:rFonts w:ascii="Arial" w:eastAsia="Arial"/>
          <w:spacing w:val="-47"/>
          <w:sz w:val="42"/>
        </w:rPr>
        <w:t xml:space="preserve"> </w:t>
      </w:r>
      <w:r>
        <w:rPr>
          <w:sz w:val="42"/>
        </w:rPr>
        <w:t>号，</w:t>
      </w:r>
      <w:r>
        <w:rPr>
          <w:rFonts w:ascii="Arial" w:eastAsia="Arial"/>
          <w:sz w:val="42"/>
        </w:rPr>
        <w:t>2014</w:t>
      </w:r>
      <w:r>
        <w:rPr>
          <w:rFonts w:ascii="Arial" w:eastAsia="Arial"/>
          <w:spacing w:val="-48"/>
          <w:sz w:val="42"/>
        </w:rPr>
        <w:t xml:space="preserve"> </w:t>
      </w:r>
      <w:r>
        <w:rPr>
          <w:spacing w:val="-70"/>
          <w:sz w:val="42"/>
        </w:rPr>
        <w:t xml:space="preserve">年 </w:t>
      </w:r>
      <w:r>
        <w:rPr>
          <w:rFonts w:ascii="Arial" w:eastAsia="Arial"/>
          <w:sz w:val="42"/>
        </w:rPr>
        <w:t>2</w:t>
      </w:r>
      <w:r>
        <w:rPr>
          <w:rFonts w:ascii="Arial" w:eastAsia="Arial"/>
          <w:spacing w:val="-44"/>
          <w:sz w:val="42"/>
        </w:rPr>
        <w:t xml:space="preserve"> </w:t>
      </w:r>
      <w:r>
        <w:rPr>
          <w:spacing w:val="-70"/>
          <w:sz w:val="42"/>
        </w:rPr>
        <w:t xml:space="preserve">月 </w:t>
      </w:r>
      <w:r>
        <w:rPr>
          <w:rFonts w:ascii="Arial" w:eastAsia="Arial"/>
          <w:sz w:val="42"/>
        </w:rPr>
        <w:t>26</w:t>
      </w:r>
      <w:r>
        <w:rPr>
          <w:rFonts w:ascii="Arial" w:eastAsia="Arial"/>
          <w:spacing w:val="-46"/>
          <w:sz w:val="42"/>
        </w:rPr>
        <w:t xml:space="preserve"> </w:t>
      </w:r>
      <w:r>
        <w:rPr>
          <w:spacing w:val="-7"/>
          <w:sz w:val="42"/>
        </w:rPr>
        <w:t>日；</w:t>
      </w:r>
    </w:p>
    <w:p>
      <w:pPr>
        <w:pStyle w:val="ListParagraph"/>
        <w:numPr>
          <w:ilvl w:val="1"/>
          <w:numId w:val="12"/>
        </w:numPr>
        <w:tabs>
          <w:tab w:val="left" w:pos="2705"/>
        </w:tabs>
        <w:spacing w:before="0" w:after="0" w:line="537" w:lineRule="exact"/>
        <w:ind w:left="2704" w:right="0" w:hanging="750"/>
        <w:jc w:val="both"/>
        <w:rPr>
          <w:rFonts w:ascii="Arial" w:eastAsia="Arial"/>
          <w:sz w:val="42"/>
        </w:rPr>
      </w:pPr>
      <w:r>
        <w:rPr>
          <w:spacing w:val="6"/>
          <w:sz w:val="42"/>
        </w:rPr>
        <w:t xml:space="preserve">中国石油天然气股份有限公司长庆石化分公司的委托书 </w:t>
      </w:r>
      <w:r>
        <w:rPr>
          <w:rFonts w:ascii="Arial" w:eastAsia="Arial"/>
          <w:sz w:val="42"/>
        </w:rPr>
        <w:t>2014</w:t>
      </w:r>
    </w:p>
    <w:p>
      <w:pPr>
        <w:pStyle w:val="BodyText"/>
        <w:spacing w:before="269"/>
        <w:ind w:left="1325"/>
      </w:pPr>
      <w:r>
        <w:rPr>
          <w:spacing w:val="-54"/>
        </w:rPr>
        <w:t xml:space="preserve">年 </w:t>
      </w:r>
      <w:r>
        <w:rPr>
          <w:rFonts w:ascii="Arial" w:eastAsia="Arial"/>
        </w:rPr>
        <w:t xml:space="preserve">2 </w:t>
      </w:r>
      <w:r>
        <w:rPr>
          <w:spacing w:val="-53"/>
        </w:rPr>
        <w:t xml:space="preserve">月 </w:t>
      </w:r>
      <w:r>
        <w:rPr>
          <w:rFonts w:ascii="Arial" w:eastAsia="Arial"/>
        </w:rPr>
        <w:t xml:space="preserve">27 </w:t>
      </w:r>
      <w:r>
        <w:t>日；</w:t>
      </w:r>
    </w:p>
    <w:p>
      <w:pPr>
        <w:spacing w:after="0"/>
        <w:sectPr>
          <w:pgSz w:w="17860" w:h="25260"/>
          <w:pgMar w:top="1760" w:right="0" w:bottom="280" w:left="1440" w:header="708" w:footer="708"/>
          <w:pgNumType w:start="2"/>
          <w:cols w:space="708"/>
        </w:sectPr>
      </w:pPr>
    </w:p>
    <w:p>
      <w:pPr>
        <w:pStyle w:val="ListParagraph"/>
        <w:numPr>
          <w:ilvl w:val="1"/>
          <w:numId w:val="11"/>
        </w:numPr>
        <w:tabs>
          <w:tab w:val="left" w:pos="2689"/>
          <w:tab w:val="left" w:pos="2690"/>
        </w:tabs>
        <w:spacing w:before="38" w:after="0" w:line="240" w:lineRule="auto"/>
        <w:ind w:left="2689" w:right="0" w:hanging="739"/>
        <w:jc w:val="left"/>
        <w:rPr>
          <w:rFonts w:ascii="Times New Roman" w:eastAsia="Times New Roman"/>
          <w:sz w:val="42"/>
        </w:rPr>
      </w:pPr>
      <w:r>
        <w:rPr>
          <w:sz w:val="42"/>
        </w:rPr>
        <w:t>中国石油天然气股份有限公司长庆石化分公司提供的其他资料</w:t>
      </w:r>
    </w:p>
    <w:p>
      <w:pPr>
        <w:pStyle w:val="BodyText"/>
        <w:spacing w:before="280"/>
        <w:ind w:left="1113"/>
      </w:pPr>
      <w:r>
        <w:t>（厂区平面布置图、地理位置图等</w:t>
      </w:r>
      <w:r>
        <w:rPr>
          <w:spacing w:val="-228"/>
        </w:rPr>
        <w:t>）</w:t>
      </w:r>
      <w:r>
        <w:t>。</w:t>
      </w:r>
    </w:p>
    <w:p>
      <w:pPr>
        <w:pStyle w:val="Heading1"/>
        <w:spacing w:before="234"/>
        <w:ind w:left="1113"/>
      </w:pPr>
      <w:r>
        <w:rPr>
          <w:rFonts w:ascii="Times New Roman" w:eastAsia="Times New Roman"/>
        </w:rPr>
        <w:t>3</w:t>
      </w:r>
      <w:r>
        <w:t>、建设项目工程概况</w:t>
      </w:r>
    </w:p>
    <w:p>
      <w:pPr>
        <w:pStyle w:val="Heading2"/>
        <w:numPr>
          <w:ilvl w:val="1"/>
          <w:numId w:val="10"/>
        </w:numPr>
        <w:tabs>
          <w:tab w:val="left" w:pos="1743"/>
        </w:tabs>
        <w:spacing w:before="362" w:after="0" w:line="240" w:lineRule="auto"/>
        <w:ind w:left="1743" w:right="0" w:hanging="630"/>
        <w:jc w:val="left"/>
        <w:rPr>
          <w:rFonts w:ascii="Arial" w:eastAsia="Arial"/>
        </w:rPr>
      </w:pPr>
      <w:r>
        <w:t>工程基本情况</w:t>
      </w:r>
    </w:p>
    <w:p>
      <w:pPr>
        <w:pStyle w:val="BodyText"/>
        <w:spacing w:before="279" w:line="364" w:lineRule="auto"/>
        <w:ind w:left="1113" w:right="2374" w:firstLine="997"/>
        <w:jc w:val="both"/>
      </w:pPr>
      <w:r>
        <w:t>中国石油长庆石化公司污水排放标准升级改造项目位于咸阳市东</w:t>
      </w:r>
      <w:r>
        <w:rPr>
          <w:w w:val="100"/>
        </w:rPr>
        <w:t>郊，渭河以北（距河床约</w:t>
      </w:r>
      <w:r>
        <w:rPr>
          <w:spacing w:val="-87"/>
        </w:rPr>
        <w:t xml:space="preserve"> </w:t>
      </w:r>
      <w:r>
        <w:rPr>
          <w:rFonts w:ascii="Times New Roman" w:eastAsia="Times New Roman"/>
          <w:w w:val="100"/>
        </w:rPr>
        <w:t>700</w:t>
      </w:r>
      <w:r>
        <w:rPr>
          <w:rFonts w:ascii="Times New Roman" w:eastAsia="Times New Roman"/>
        </w:rPr>
        <w:t xml:space="preserve"> </w:t>
      </w:r>
      <w:r>
        <w:rPr>
          <w:w w:val="100"/>
        </w:rPr>
        <w:t>米</w:t>
      </w:r>
      <w:r>
        <w:rPr>
          <w:spacing w:val="-213"/>
          <w:w w:val="100"/>
        </w:rPr>
        <w:t>）</w:t>
      </w:r>
      <w:r>
        <w:rPr>
          <w:w w:val="100"/>
        </w:rPr>
        <w:t>，西距长庆咸阳石油转运站</w:t>
      </w:r>
      <w:r>
        <w:rPr>
          <w:spacing w:val="-90"/>
        </w:rPr>
        <w:t xml:space="preserve"> </w:t>
      </w:r>
      <w:r>
        <w:rPr>
          <w:rFonts w:ascii="Times New Roman" w:eastAsia="Times New Roman"/>
          <w:w w:val="100"/>
        </w:rPr>
        <w:t>500</w:t>
      </w:r>
      <w:r>
        <w:rPr>
          <w:rFonts w:ascii="Times New Roman" w:eastAsia="Times New Roman"/>
        </w:rPr>
        <w:t xml:space="preserve"> </w:t>
      </w:r>
      <w:r>
        <w:rPr>
          <w:spacing w:val="-8"/>
          <w:w w:val="100"/>
        </w:rPr>
        <w:t>米，</w:t>
      </w:r>
    </w:p>
    <w:p>
      <w:pPr>
        <w:pStyle w:val="BodyText"/>
        <w:spacing w:line="364" w:lineRule="auto"/>
        <w:ind w:left="1113" w:right="2247"/>
        <w:jc w:val="both"/>
      </w:pPr>
      <w:r>
        <w:rPr>
          <w:spacing w:val="-10"/>
        </w:rPr>
        <w:t xml:space="preserve">距火车站约 </w:t>
      </w:r>
      <w:r>
        <w:rPr>
          <w:rFonts w:ascii="Times New Roman" w:eastAsia="Times New Roman"/>
        </w:rPr>
        <w:t>4</w:t>
      </w:r>
      <w:r>
        <w:rPr>
          <w:rFonts w:ascii="Times New Roman" w:eastAsia="Times New Roman"/>
          <w:spacing w:val="55"/>
        </w:rPr>
        <w:t xml:space="preserve"> </w:t>
      </w:r>
      <w:r>
        <w:rPr>
          <w:spacing w:val="-7"/>
        </w:rPr>
        <w:t xml:space="preserve">公里，距咸阳转运站约 </w:t>
      </w:r>
      <w:r>
        <w:rPr>
          <w:rFonts w:ascii="Times New Roman" w:eastAsia="Times New Roman"/>
        </w:rPr>
        <w:t>1</w:t>
      </w:r>
      <w:r>
        <w:rPr>
          <w:rFonts w:ascii="Times New Roman" w:eastAsia="Times New Roman"/>
          <w:spacing w:val="55"/>
        </w:rPr>
        <w:t xml:space="preserve"> </w:t>
      </w:r>
      <w:r>
        <w:rPr>
          <w:spacing w:val="-1"/>
        </w:rPr>
        <w:t>公里；北邻营运铁路咸</w:t>
      </w:r>
      <w:r>
        <w:rPr>
          <w:rFonts w:ascii="Times New Roman" w:eastAsia="Times New Roman"/>
        </w:rPr>
        <w:t>-</w:t>
      </w:r>
      <w:r>
        <w:t xml:space="preserve">铜线； </w:t>
      </w:r>
      <w:r>
        <w:rPr>
          <w:spacing w:val="-1"/>
        </w:rPr>
        <w:t>厂区南侧有咸阳市规划公路，向东接至飞机场高速公路，项目地理位置</w:t>
      </w:r>
      <w:r>
        <w:rPr>
          <w:spacing w:val="-36"/>
        </w:rPr>
        <w:t xml:space="preserve">见图 </w:t>
      </w:r>
      <w:r>
        <w:rPr>
          <w:rFonts w:ascii="Times New Roman" w:eastAsia="Times New Roman"/>
        </w:rPr>
        <w:t>1</w:t>
      </w:r>
      <w:r>
        <w:t>。</w:t>
      </w:r>
    </w:p>
    <w:p>
      <w:pPr>
        <w:pStyle w:val="BodyText"/>
        <w:spacing w:line="364" w:lineRule="auto"/>
        <w:ind w:left="1113" w:right="2289" w:firstLine="997"/>
        <w:jc w:val="both"/>
      </w:pPr>
      <w:r>
        <w:rPr>
          <w:spacing w:val="-8"/>
        </w:rPr>
        <w:t xml:space="preserve">长庆石化分公司污水处理设施早于 </w:t>
      </w:r>
      <w:r>
        <w:rPr>
          <w:rFonts w:ascii="Times New Roman" w:eastAsia="Times New Roman"/>
        </w:rPr>
        <w:t xml:space="preserve">1998 </w:t>
      </w:r>
      <w:r>
        <w:rPr>
          <w:spacing w:val="-49"/>
        </w:rPr>
        <w:t xml:space="preserve">年 </w:t>
      </w:r>
      <w:r>
        <w:rPr>
          <w:rFonts w:ascii="Times New Roman" w:eastAsia="Times New Roman"/>
        </w:rPr>
        <w:t xml:space="preserve">7 </w:t>
      </w:r>
      <w:r>
        <w:t>月就建成投运，当时</w:t>
      </w:r>
      <w:r>
        <w:rPr>
          <w:spacing w:val="-15"/>
        </w:rPr>
        <w:t xml:space="preserve">设计处理量为 </w:t>
      </w:r>
      <w:r>
        <w:rPr>
          <w:rFonts w:ascii="Times New Roman" w:eastAsia="Times New Roman"/>
        </w:rPr>
        <w:t>250m</w:t>
      </w:r>
      <w:r>
        <w:rPr>
          <w:rFonts w:ascii="Times New Roman" w:eastAsia="Times New Roman"/>
          <w:position w:val="6"/>
          <w:sz w:val="27"/>
        </w:rPr>
        <w:t>3</w:t>
      </w:r>
      <w:r>
        <w:rPr>
          <w:rFonts w:ascii="Times New Roman" w:eastAsia="Times New Roman"/>
        </w:rPr>
        <w:t>/h,</w:t>
      </w:r>
      <w:r>
        <w:rPr>
          <w:spacing w:val="-18"/>
        </w:rPr>
        <w:t xml:space="preserve">实际处理量 </w:t>
      </w:r>
      <w:r>
        <w:rPr>
          <w:rFonts w:ascii="Times New Roman" w:eastAsia="Times New Roman"/>
        </w:rPr>
        <w:t>300-370</w:t>
      </w:r>
      <w:r>
        <w:rPr>
          <w:rFonts w:ascii="Times New Roman" w:eastAsia="Times New Roman"/>
          <w:spacing w:val="89"/>
        </w:rPr>
        <w:t xml:space="preserve"> </w:t>
      </w:r>
      <w:r>
        <w:rPr>
          <w:rFonts w:ascii="Times New Roman" w:eastAsia="Times New Roman"/>
        </w:rPr>
        <w:t>m</w:t>
      </w:r>
      <w:r>
        <w:rPr>
          <w:rFonts w:ascii="Times New Roman" w:eastAsia="Times New Roman"/>
          <w:position w:val="6"/>
          <w:sz w:val="27"/>
        </w:rPr>
        <w:t>3</w:t>
      </w:r>
      <w:r>
        <w:rPr>
          <w:rFonts w:ascii="Times New Roman" w:eastAsia="Times New Roman"/>
        </w:rPr>
        <w:t>/h</w:t>
      </w:r>
      <w:r>
        <w:t>，采取的是老三套（即</w:t>
      </w:r>
      <w:r>
        <w:rPr>
          <w:spacing w:val="13"/>
        </w:rPr>
        <w:t>隔油、浮选和</w:t>
      </w:r>
      <w:r>
        <w:rPr>
          <w:rFonts w:ascii="Times New Roman" w:eastAsia="Times New Roman"/>
        </w:rPr>
        <w:t>A/O</w:t>
      </w:r>
      <w:r>
        <w:t>）</w:t>
      </w:r>
      <w:r>
        <w:rPr>
          <w:spacing w:val="-1"/>
        </w:rPr>
        <w:t>工艺技术，经过技术改造后，目前最大处理能力达</w:t>
      </w:r>
      <w:r>
        <w:rPr>
          <w:spacing w:val="-53"/>
        </w:rPr>
        <w:t xml:space="preserve">到 </w:t>
      </w:r>
      <w:r>
        <w:rPr>
          <w:rFonts w:ascii="Times New Roman" w:eastAsia="Times New Roman"/>
        </w:rPr>
        <w:t>400m</w:t>
      </w:r>
      <w:r>
        <w:rPr>
          <w:rFonts w:ascii="Times New Roman" w:eastAsia="Times New Roman"/>
          <w:position w:val="6"/>
          <w:sz w:val="27"/>
        </w:rPr>
        <w:t>3</w:t>
      </w:r>
      <w:r>
        <w:rPr>
          <w:rFonts w:ascii="Times New Roman" w:eastAsia="Times New Roman"/>
        </w:rPr>
        <w:t>/h</w:t>
      </w:r>
      <w:r>
        <w:t>。</w:t>
      </w:r>
    </w:p>
    <w:p>
      <w:pPr>
        <w:pStyle w:val="BodyText"/>
        <w:spacing w:line="535" w:lineRule="exact"/>
        <w:ind w:left="2110"/>
        <w:jc w:val="both"/>
      </w:pPr>
      <w:r>
        <w:rPr>
          <w:rFonts w:ascii="Times New Roman" w:eastAsia="Times New Roman"/>
        </w:rPr>
        <w:t>2008</w:t>
      </w:r>
      <w:r>
        <w:rPr>
          <w:rFonts w:ascii="Times New Roman" w:eastAsia="Times New Roman"/>
          <w:spacing w:val="79"/>
        </w:rPr>
        <w:t xml:space="preserve"> </w:t>
      </w:r>
      <w:r>
        <w:rPr>
          <w:spacing w:val="-14"/>
        </w:rPr>
        <w:t xml:space="preserve">年 </w:t>
      </w:r>
      <w:r>
        <w:rPr>
          <w:rFonts w:ascii="Times New Roman" w:eastAsia="Times New Roman"/>
        </w:rPr>
        <w:t>9</w:t>
      </w:r>
      <w:r>
        <w:rPr>
          <w:rFonts w:ascii="Times New Roman" w:eastAsia="Times New Roman"/>
          <w:spacing w:val="82"/>
        </w:rPr>
        <w:t xml:space="preserve"> </w:t>
      </w:r>
      <w:r>
        <w:rPr>
          <w:spacing w:val="-3"/>
        </w:rPr>
        <w:t xml:space="preserve">月，长庆石化分公司利用原有一组 </w:t>
      </w:r>
      <w:r>
        <w:rPr>
          <w:rFonts w:ascii="Times New Roman" w:eastAsia="Times New Roman"/>
        </w:rPr>
        <w:t>O</w:t>
      </w:r>
      <w:r>
        <w:rPr>
          <w:rFonts w:ascii="Times New Roman" w:eastAsia="Times New Roman"/>
          <w:spacing w:val="75"/>
        </w:rPr>
        <w:t xml:space="preserve"> </w:t>
      </w:r>
      <w:r>
        <w:t>池，设计改造为</w:t>
      </w:r>
    </w:p>
    <w:p>
      <w:pPr>
        <w:pStyle w:val="BodyText"/>
        <w:spacing w:before="277"/>
        <w:ind w:left="1113"/>
      </w:pPr>
      <w:r>
        <w:rPr>
          <w:rFonts w:ascii="Times New Roman" w:eastAsia="Times New Roman"/>
        </w:rPr>
        <w:t>300m</w:t>
      </w:r>
      <w:r>
        <w:rPr>
          <w:rFonts w:ascii="Times New Roman" w:eastAsia="Times New Roman"/>
          <w:position w:val="6"/>
          <w:sz w:val="27"/>
        </w:rPr>
        <w:t>3</w:t>
      </w:r>
      <w:r>
        <w:rPr>
          <w:rFonts w:ascii="Times New Roman" w:eastAsia="Times New Roman"/>
        </w:rPr>
        <w:t xml:space="preserve">/hMBR </w:t>
      </w:r>
      <w:r>
        <w:t>单元，</w:t>
      </w:r>
      <w:r>
        <w:rPr>
          <w:rFonts w:ascii="Times New Roman" w:eastAsia="Times New Roman"/>
        </w:rPr>
        <w:t xml:space="preserve">MBR </w:t>
      </w:r>
      <w:r>
        <w:t>产水进入</w:t>
      </w:r>
      <w:r>
        <w:rPr>
          <w:rFonts w:ascii="Times New Roman" w:eastAsia="Times New Roman"/>
        </w:rPr>
        <w:t xml:space="preserve">RO </w:t>
      </w:r>
      <w:r>
        <w:t>系统处理后回用。</w:t>
      </w:r>
    </w:p>
    <w:p>
      <w:pPr>
        <w:pStyle w:val="BodyText"/>
        <w:spacing w:before="279" w:line="364" w:lineRule="auto"/>
        <w:ind w:left="1113" w:right="2368" w:firstLine="997"/>
        <w:jc w:val="both"/>
      </w:pPr>
      <w:r>
        <w:rPr>
          <w:spacing w:val="-4"/>
        </w:rPr>
        <w:t xml:space="preserve">长庆石化分公司污水处理厂 </w:t>
      </w:r>
      <w:r>
        <w:rPr>
          <w:rFonts w:ascii="Times New Roman" w:eastAsia="Times New Roman"/>
        </w:rPr>
        <w:t>RO</w:t>
      </w:r>
      <w:r>
        <w:rPr>
          <w:rFonts w:ascii="Times New Roman" w:eastAsia="Times New Roman"/>
          <w:spacing w:val="66"/>
        </w:rPr>
        <w:t xml:space="preserve"> </w:t>
      </w:r>
      <w:r>
        <w:rPr>
          <w:spacing w:val="-6"/>
        </w:rPr>
        <w:t xml:space="preserve">处理设施分别于 </w:t>
      </w:r>
      <w:r>
        <w:rPr>
          <w:rFonts w:ascii="Times New Roman" w:eastAsia="Times New Roman"/>
        </w:rPr>
        <w:t>2008</w:t>
      </w:r>
      <w:r>
        <w:rPr>
          <w:rFonts w:ascii="Times New Roman" w:eastAsia="Times New Roman"/>
          <w:spacing w:val="68"/>
        </w:rPr>
        <w:t xml:space="preserve"> </w:t>
      </w:r>
      <w:r>
        <w:rPr>
          <w:spacing w:val="-12"/>
        </w:rPr>
        <w:t xml:space="preserve">年和 </w:t>
      </w:r>
      <w:r>
        <w:rPr>
          <w:rFonts w:ascii="Times New Roman" w:eastAsia="Times New Roman"/>
          <w:spacing w:val="-4"/>
        </w:rPr>
        <w:t xml:space="preserve">2009 </w:t>
      </w:r>
      <w:r>
        <w:rPr>
          <w:spacing w:val="-9"/>
          <w:w w:val="100"/>
        </w:rPr>
        <w:t>年建成投产，共计设计能力</w:t>
      </w:r>
      <w:r>
        <w:rPr>
          <w:spacing w:val="-112"/>
        </w:rPr>
        <w:t xml:space="preserve"> </w:t>
      </w:r>
      <w:r>
        <w:rPr>
          <w:rFonts w:ascii="Times New Roman" w:eastAsia="Times New Roman"/>
          <w:w w:val="100"/>
        </w:rPr>
        <w:t>400</w:t>
      </w:r>
      <w:r>
        <w:rPr>
          <w:rFonts w:ascii="Times New Roman" w:eastAsia="Times New Roman"/>
        </w:rPr>
        <w:t xml:space="preserve"> </w:t>
      </w:r>
      <w:r>
        <w:rPr>
          <w:rFonts w:ascii="Times New Roman" w:eastAsia="Times New Roman"/>
          <w:spacing w:val="-7"/>
          <w:w w:val="100"/>
        </w:rPr>
        <w:t>m</w:t>
      </w:r>
      <w:r>
        <w:rPr>
          <w:rFonts w:ascii="Times New Roman" w:eastAsia="Times New Roman"/>
          <w:spacing w:val="1"/>
          <w:position w:val="6"/>
          <w:sz w:val="27"/>
        </w:rPr>
        <w:t>3</w:t>
      </w:r>
      <w:r>
        <w:rPr>
          <w:rFonts w:ascii="Times New Roman" w:eastAsia="Times New Roman"/>
          <w:w w:val="100"/>
        </w:rPr>
        <w:t>/</w:t>
      </w:r>
      <w:r>
        <w:rPr>
          <w:rFonts w:ascii="Times New Roman" w:eastAsia="Times New Roman"/>
          <w:spacing w:val="-65"/>
          <w:w w:val="100"/>
        </w:rPr>
        <w:t>h</w:t>
      </w:r>
      <w:r>
        <w:rPr>
          <w:w w:val="100"/>
        </w:rPr>
        <w:t>（实际处理能力为</w:t>
      </w:r>
      <w:r>
        <w:rPr>
          <w:spacing w:val="-116"/>
        </w:rPr>
        <w:t xml:space="preserve"> </w:t>
      </w:r>
      <w:r>
        <w:rPr>
          <w:rFonts w:ascii="Times New Roman" w:eastAsia="Times New Roman"/>
          <w:w w:val="100"/>
        </w:rPr>
        <w:t>300</w:t>
      </w:r>
      <w:r>
        <w:rPr>
          <w:rFonts w:ascii="Times New Roman" w:eastAsia="Times New Roman"/>
        </w:rPr>
        <w:t xml:space="preserve"> </w:t>
      </w:r>
      <w:r>
        <w:rPr>
          <w:rFonts w:ascii="Times New Roman" w:eastAsia="Times New Roman"/>
          <w:spacing w:val="-6"/>
          <w:w w:val="100"/>
        </w:rPr>
        <w:t>m</w:t>
      </w:r>
      <w:r>
        <w:rPr>
          <w:rFonts w:ascii="Times New Roman" w:eastAsia="Times New Roman"/>
          <w:spacing w:val="1"/>
          <w:position w:val="6"/>
          <w:sz w:val="27"/>
        </w:rPr>
        <w:t>3</w:t>
      </w:r>
      <w:r>
        <w:rPr>
          <w:rFonts w:ascii="Times New Roman" w:eastAsia="Times New Roman"/>
          <w:w w:val="100"/>
        </w:rPr>
        <w:t>/</w:t>
      </w:r>
      <w:r>
        <w:rPr>
          <w:rFonts w:ascii="Times New Roman" w:eastAsia="Times New Roman"/>
          <w:spacing w:val="3"/>
          <w:w w:val="100"/>
        </w:rPr>
        <w:t>h</w:t>
      </w:r>
      <w:r>
        <w:rPr>
          <w:spacing w:val="-209"/>
          <w:w w:val="100"/>
        </w:rPr>
        <w:t>）</w:t>
      </w:r>
      <w:r>
        <w:rPr>
          <w:spacing w:val="-24"/>
          <w:w w:val="100"/>
        </w:rPr>
        <w:t>。处理</w:t>
      </w:r>
      <w:r>
        <w:rPr>
          <w:spacing w:val="-31"/>
        </w:rPr>
        <w:t xml:space="preserve">后的废水经过厂区 </w:t>
      </w:r>
      <w:r>
        <w:rPr>
          <w:rFonts w:ascii="Times New Roman" w:eastAsia="Times New Roman"/>
        </w:rPr>
        <w:t xml:space="preserve">100000 </w:t>
      </w:r>
      <w:r>
        <w:rPr>
          <w:spacing w:val="-1"/>
        </w:rPr>
        <w:t>氧化塘进行处理后，</w:t>
      </w:r>
      <w:r>
        <w:rPr>
          <w:rFonts w:ascii="Times New Roman" w:eastAsia="Times New Roman"/>
          <w:spacing w:val="-3"/>
        </w:rPr>
        <w:t>70m</w:t>
      </w:r>
      <w:r>
        <w:rPr>
          <w:rFonts w:ascii="Times New Roman" w:eastAsia="Times New Roman"/>
          <w:spacing w:val="-3"/>
          <w:position w:val="6"/>
          <w:sz w:val="27"/>
        </w:rPr>
        <w:t>3</w:t>
      </w:r>
      <w:r>
        <w:rPr>
          <w:rFonts w:ascii="Times New Roman" w:eastAsia="Times New Roman"/>
          <w:spacing w:val="-3"/>
        </w:rPr>
        <w:t xml:space="preserve">/h </w:t>
      </w:r>
      <w:r>
        <w:rPr>
          <w:spacing w:val="-3"/>
        </w:rPr>
        <w:t>回用于工程用水</w:t>
      </w:r>
      <w:r>
        <w:t>和道路绿化，剩余排入渭河。</w:t>
      </w:r>
    </w:p>
    <w:p>
      <w:pPr>
        <w:pStyle w:val="BodyText"/>
        <w:spacing w:line="364" w:lineRule="auto"/>
        <w:ind w:left="1113" w:right="2247" w:firstLine="784"/>
        <w:jc w:val="both"/>
      </w:pPr>
      <w:r>
        <w:t>本次改造只是对污水处理厂的工艺进行改建调整，改进工艺，增加设备，处理规模，人员规模、用水、用电、日常的管理等依托原有，本项目的改造内容包括：</w:t>
      </w:r>
    </w:p>
    <w:p>
      <w:pPr>
        <w:pStyle w:val="BodyText"/>
        <w:spacing w:line="364" w:lineRule="auto"/>
        <w:ind w:left="1113" w:right="2372" w:firstLine="997"/>
        <w:jc w:val="both"/>
      </w:pPr>
      <w:r>
        <w:rPr>
          <w:spacing w:val="-7"/>
        </w:rPr>
        <w:t xml:space="preserve">⑴改造二级气浮设施，新增 </w:t>
      </w:r>
      <w:r>
        <w:rPr>
          <w:rFonts w:ascii="Times New Roman" w:eastAsia="Times New Roman" w:hAnsi="Times New Roman"/>
        </w:rPr>
        <w:t xml:space="preserve">ADAF </w:t>
      </w:r>
      <w:r>
        <w:rPr>
          <w:spacing w:val="-18"/>
        </w:rPr>
        <w:t xml:space="preserve">气浮机 </w:t>
      </w:r>
      <w:r>
        <w:rPr>
          <w:rFonts w:ascii="Times New Roman" w:eastAsia="Times New Roman" w:hAnsi="Times New Roman"/>
        </w:rPr>
        <w:t xml:space="preserve">4 </w:t>
      </w:r>
      <w:r>
        <w:rPr>
          <w:spacing w:val="-11"/>
        </w:rPr>
        <w:t xml:space="preserve">套，处理能力 </w:t>
      </w:r>
      <w:r>
        <w:rPr>
          <w:rFonts w:ascii="Times New Roman" w:eastAsia="Times New Roman" w:hAnsi="Times New Roman"/>
          <w:spacing w:val="-5"/>
        </w:rPr>
        <w:t xml:space="preserve">4×100 </w:t>
      </w:r>
      <w:r>
        <w:rPr>
          <w:rFonts w:ascii="Times New Roman" w:eastAsia="Times New Roman" w:hAnsi="Times New Roman"/>
        </w:rPr>
        <w:t>m</w:t>
      </w:r>
      <w:r>
        <w:rPr>
          <w:rFonts w:ascii="Times New Roman" w:eastAsia="Times New Roman" w:hAnsi="Times New Roman"/>
          <w:position w:val="6"/>
          <w:sz w:val="27"/>
        </w:rPr>
        <w:t>3</w:t>
      </w:r>
      <w:r>
        <w:rPr>
          <w:rFonts w:ascii="Times New Roman" w:eastAsia="Times New Roman" w:hAnsi="Times New Roman"/>
        </w:rPr>
        <w:t>/h</w:t>
      </w:r>
      <w:r>
        <w:t>；</w:t>
      </w:r>
    </w:p>
    <w:p>
      <w:pPr>
        <w:pStyle w:val="BodyText"/>
        <w:spacing w:line="536" w:lineRule="exact"/>
        <w:ind w:left="2110"/>
        <w:jc w:val="both"/>
      </w:pPr>
      <w:r>
        <w:t>⑵新建</w:t>
      </w:r>
      <w:r>
        <w:rPr>
          <w:rFonts w:ascii="Times New Roman" w:eastAsia="Times New Roman" w:hAnsi="Times New Roman"/>
        </w:rPr>
        <w:t xml:space="preserve">RO </w:t>
      </w:r>
      <w:r>
        <w:t xml:space="preserve">浓水处理装置，处理能力为 </w:t>
      </w:r>
      <w:r>
        <w:rPr>
          <w:rFonts w:ascii="Times New Roman" w:eastAsia="Times New Roman" w:hAnsi="Times New Roman"/>
        </w:rPr>
        <w:t>120 m</w:t>
      </w:r>
      <w:r>
        <w:rPr>
          <w:rFonts w:ascii="Times New Roman" w:eastAsia="Times New Roman" w:hAnsi="Times New Roman"/>
          <w:position w:val="6"/>
          <w:sz w:val="27"/>
        </w:rPr>
        <w:t>3</w:t>
      </w:r>
      <w:r>
        <w:rPr>
          <w:rFonts w:ascii="Times New Roman" w:eastAsia="Times New Roman" w:hAnsi="Times New Roman"/>
        </w:rPr>
        <w:t>/h</w:t>
      </w:r>
      <w:r>
        <w:t>。</w:t>
      </w:r>
    </w:p>
    <w:p>
      <w:pPr>
        <w:spacing w:after="0" w:line="536" w:lineRule="exact"/>
        <w:jc w:val="both"/>
        <w:sectPr>
          <w:pgSz w:w="17860" w:h="25260"/>
          <w:pgMar w:top="1740" w:right="0" w:bottom="280" w:left="1440" w:header="708" w:footer="708"/>
          <w:pgNumType w:start="3"/>
          <w:cols w:space="708"/>
        </w:sectPr>
      </w:pPr>
    </w:p>
    <w:p>
      <w:pPr>
        <w:pStyle w:val="BodyText"/>
        <w:spacing w:before="18"/>
        <w:ind w:left="2110"/>
      </w:pPr>
      <w:r>
        <w:t>主要建设内容：</w:t>
      </w:r>
    </w:p>
    <w:p>
      <w:pPr>
        <w:pStyle w:val="BodyText"/>
        <w:spacing w:before="280" w:line="364" w:lineRule="auto"/>
        <w:ind w:left="1113" w:right="2368" w:firstLine="997"/>
      </w:pPr>
      <w:r>
        <w:rPr>
          <w:spacing w:val="-3"/>
        </w:rPr>
        <w:t>项目主要建设内容包括二级浮选改造单元，</w:t>
      </w:r>
      <w:r>
        <w:rPr>
          <w:rFonts w:ascii="Times New Roman" w:eastAsia="Times New Roman"/>
          <w:spacing w:val="-41"/>
        </w:rPr>
        <w:t>RO</w:t>
      </w:r>
      <w:r>
        <w:rPr>
          <w:rFonts w:ascii="Times New Roman" w:eastAsia="Times New Roman"/>
          <w:spacing w:val="-37"/>
        </w:rPr>
        <w:t xml:space="preserve"> </w:t>
      </w:r>
      <w:r>
        <w:rPr>
          <w:spacing w:val="-3"/>
        </w:rPr>
        <w:t>浓水深度处理单元</w:t>
      </w:r>
      <w:r>
        <w:rPr>
          <w:spacing w:val="-6"/>
        </w:rPr>
        <w:t xml:space="preserve">以及配套的公用工程改造与增建。项目组成见表 </w:t>
      </w:r>
      <w:r>
        <w:rPr>
          <w:rFonts w:ascii="Times New Roman" w:eastAsia="Times New Roman"/>
        </w:rPr>
        <w:t>3-1</w:t>
      </w:r>
      <w:r>
        <w:t>。</w:t>
      </w:r>
    </w:p>
    <w:p>
      <w:pPr>
        <w:pStyle w:val="BodyText"/>
        <w:tabs>
          <w:tab w:val="left" w:pos="5102"/>
        </w:tabs>
        <w:spacing w:line="537" w:lineRule="exact"/>
        <w:ind w:left="1919"/>
      </w:pPr>
      <w:r>
        <w:t>表</w:t>
      </w:r>
      <w:r>
        <w:rPr>
          <w:spacing w:val="-106"/>
        </w:rPr>
        <w:t xml:space="preserve"> </w:t>
      </w:r>
      <w:r>
        <w:rPr>
          <w:rFonts w:ascii="Times New Roman" w:eastAsia="Times New Roman"/>
        </w:rPr>
        <w:t>3-1</w:t>
        <w:tab/>
      </w:r>
      <w:r>
        <w:t>项目组成及主要建设内容一览表</w:t>
      </w:r>
    </w:p>
    <w:p>
      <w:pPr>
        <w:pStyle w:val="BodyText"/>
        <w:rPr>
          <w:sz w:val="20"/>
        </w:rPr>
      </w:pPr>
    </w:p>
    <w:p>
      <w:pPr>
        <w:pStyle w:val="BodyText"/>
        <w:spacing w:before="7"/>
        <w:rPr>
          <w:sz w:val="21"/>
        </w:rPr>
      </w:pPr>
    </w:p>
    <w:p>
      <w:pPr>
        <w:spacing w:after="0"/>
        <w:rPr>
          <w:sz w:val="21"/>
        </w:rPr>
        <w:sectPr>
          <w:pgSz w:w="17860" w:h="25260"/>
          <w:pgMar w:top="1760" w:right="0" w:bottom="280" w:left="1440" w:header="708" w:footer="708"/>
          <w:pgNumType w:start="4"/>
          <w:cols w:space="708"/>
        </w:sectPr>
      </w:pPr>
    </w:p>
    <w:p>
      <w:pPr>
        <w:tabs>
          <w:tab w:val="left" w:pos="2585"/>
        </w:tabs>
        <w:spacing w:before="50"/>
        <w:ind w:left="936" w:right="0" w:firstLine="0"/>
        <w:jc w:val="left"/>
        <w:rPr>
          <w:sz w:val="36"/>
        </w:rPr>
      </w:pPr>
      <w:r>
        <w:drawing>
          <wp:anchor distT="0" distB="0" distL="0" distR="0" simplePos="0" relativeHeight="251658240" behindDoc="1" locked="0" layoutInCell="1" allowOverlap="1">
            <wp:simplePos x="0" y="0"/>
            <wp:positionH relativeFrom="page">
              <wp:posOffset>1282700</wp:posOffset>
            </wp:positionH>
            <wp:positionV relativeFrom="paragraph">
              <wp:posOffset>-126110</wp:posOffset>
            </wp:positionV>
            <wp:extent cx="8902700" cy="67945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902700" cy="6794500"/>
                    </a:xfrm>
                    <a:prstGeom prst="rect">
                      <a:avLst/>
                    </a:prstGeom>
                  </pic:spPr>
                </pic:pic>
              </a:graphicData>
            </a:graphic>
          </wp:anchor>
        </w:drawing>
      </w:r>
      <w:r>
        <w:rPr>
          <w:sz w:val="36"/>
        </w:rPr>
        <w:t>类别</w:t>
        <w:tab/>
        <w:t>工程类型</w:t>
      </w:r>
    </w:p>
    <w:p>
      <w:pPr>
        <w:pStyle w:val="BodyText"/>
        <w:spacing w:before="1"/>
      </w:pPr>
    </w:p>
    <w:p>
      <w:pPr>
        <w:spacing w:before="0" w:line="207" w:lineRule="exact"/>
        <w:ind w:left="2225" w:right="0" w:firstLine="0"/>
        <w:jc w:val="left"/>
        <w:rPr>
          <w:sz w:val="36"/>
        </w:rPr>
      </w:pPr>
      <w:r>
        <w:rPr>
          <w:sz w:val="36"/>
        </w:rPr>
        <w:t>二级浮选改造</w:t>
      </w:r>
    </w:p>
    <w:p>
      <w:pPr>
        <w:tabs>
          <w:tab w:val="left" w:pos="4423"/>
        </w:tabs>
        <w:spacing w:before="50"/>
        <w:ind w:left="719" w:right="0" w:firstLine="0"/>
        <w:jc w:val="center"/>
        <w:rPr>
          <w:sz w:val="36"/>
        </w:rPr>
      </w:pPr>
      <w:r>
        <w:br w:type="column"/>
      </w:r>
      <w:r>
        <w:rPr>
          <w:sz w:val="36"/>
        </w:rPr>
        <w:t>工程组成</w:t>
        <w:tab/>
        <w:t>与现有工程依托关系</w:t>
      </w:r>
    </w:p>
    <w:p>
      <w:pPr>
        <w:pStyle w:val="BodyText"/>
        <w:spacing w:before="12"/>
        <w:rPr>
          <w:sz w:val="26"/>
        </w:rPr>
      </w:pPr>
    </w:p>
    <w:p>
      <w:pPr>
        <w:tabs>
          <w:tab w:val="left" w:pos="6455"/>
        </w:tabs>
        <w:spacing w:before="0" w:line="401" w:lineRule="exact"/>
        <w:ind w:left="360" w:right="0" w:firstLine="0"/>
        <w:jc w:val="left"/>
        <w:rPr>
          <w:sz w:val="36"/>
        </w:rPr>
      </w:pPr>
      <w:r>
        <w:rPr>
          <w:sz w:val="36"/>
        </w:rPr>
        <w:t>拆除原有二级</w:t>
      </w:r>
      <w:r>
        <w:rPr>
          <w:spacing w:val="13"/>
          <w:sz w:val="36"/>
        </w:rPr>
        <w:t xml:space="preserve"> </w:t>
      </w:r>
      <w:r>
        <w:rPr>
          <w:rFonts w:ascii="Times New Roman" w:eastAsia="Times New Roman"/>
          <w:sz w:val="36"/>
        </w:rPr>
        <w:t xml:space="preserve">CAF </w:t>
      </w:r>
      <w:r>
        <w:rPr>
          <w:rFonts w:ascii="Times New Roman" w:eastAsia="Times New Roman"/>
          <w:spacing w:val="2"/>
          <w:sz w:val="36"/>
        </w:rPr>
        <w:t xml:space="preserve"> </w:t>
      </w:r>
      <w:r>
        <w:rPr>
          <w:sz w:val="36"/>
        </w:rPr>
        <w:t>气浮设施及配套</w:t>
        <w:tab/>
      </w:r>
      <w:r>
        <w:rPr>
          <w:position w:val="-18"/>
          <w:sz w:val="36"/>
        </w:rPr>
        <w:t>利用原有的浮选池</w:t>
      </w:r>
      <w:r>
        <w:rPr>
          <w:spacing w:val="-90"/>
          <w:position w:val="-18"/>
          <w:sz w:val="36"/>
        </w:rPr>
        <w:t>，</w:t>
      </w:r>
      <w:r>
        <w:rPr>
          <w:position w:val="-18"/>
          <w:sz w:val="36"/>
        </w:rPr>
        <w:t>容</w:t>
      </w:r>
    </w:p>
    <w:p>
      <w:pPr>
        <w:spacing w:after="0" w:line="401" w:lineRule="exact"/>
        <w:jc w:val="left"/>
        <w:rPr>
          <w:sz w:val="36"/>
        </w:rPr>
        <w:sectPr>
          <w:type w:val="continuous"/>
          <w:pgSz w:w="17860" w:h="25260"/>
          <w:pgMar w:top="2420" w:right="0" w:bottom="280" w:left="1440" w:header="708" w:footer="708"/>
          <w:pgNumType w:start="5"/>
          <w:cols w:num="2" w:space="708" w:equalWidth="0">
            <w:col w:w="4386" w:space="40"/>
            <w:col w:w="11994" w:space="0"/>
          </w:cols>
        </w:sectPr>
      </w:pPr>
    </w:p>
    <w:p>
      <w:pPr>
        <w:tabs>
          <w:tab w:val="left" w:pos="2945"/>
          <w:tab w:val="left" w:pos="4785"/>
        </w:tabs>
        <w:spacing w:before="135" w:line="144" w:lineRule="auto"/>
        <w:ind w:left="954" w:right="38" w:firstLine="3831"/>
        <w:jc w:val="left"/>
        <w:rPr>
          <w:rFonts w:ascii="Times New Roman" w:eastAsia="Times New Roman" w:hAnsi="Times New Roman"/>
          <w:sz w:val="36"/>
        </w:rPr>
      </w:pPr>
      <w:r>
        <w:rPr>
          <w:sz w:val="36"/>
        </w:rPr>
        <w:t>管线</w:t>
      </w:r>
      <w:r>
        <w:rPr>
          <w:spacing w:val="-72"/>
          <w:sz w:val="36"/>
        </w:rPr>
        <w:t>，</w:t>
      </w:r>
      <w:r>
        <w:rPr>
          <w:sz w:val="36"/>
        </w:rPr>
        <w:t>新建</w:t>
      </w:r>
      <w:r>
        <w:rPr>
          <w:spacing w:val="-90"/>
          <w:sz w:val="36"/>
        </w:rPr>
        <w:t xml:space="preserve"> </w:t>
      </w:r>
      <w:r>
        <w:rPr>
          <w:rFonts w:ascii="Times New Roman" w:eastAsia="Times New Roman" w:hAnsi="Times New Roman"/>
          <w:sz w:val="36"/>
        </w:rPr>
        <w:t>ADAF</w:t>
      </w:r>
      <w:r>
        <w:rPr>
          <w:rFonts w:ascii="Times New Roman" w:eastAsia="Times New Roman" w:hAnsi="Times New Roman"/>
          <w:spacing w:val="-1"/>
          <w:sz w:val="36"/>
        </w:rPr>
        <w:t xml:space="preserve"> </w:t>
      </w:r>
      <w:r>
        <w:rPr>
          <w:sz w:val="36"/>
        </w:rPr>
        <w:t>气浮机</w:t>
      </w:r>
      <w:r>
        <w:rPr>
          <w:spacing w:val="-86"/>
          <w:sz w:val="36"/>
        </w:rPr>
        <w:t xml:space="preserve"> </w:t>
      </w:r>
      <w:r>
        <w:rPr>
          <w:rFonts w:ascii="Times New Roman" w:eastAsia="Times New Roman" w:hAnsi="Times New Roman"/>
          <w:sz w:val="36"/>
        </w:rPr>
        <w:t xml:space="preserve">4 </w:t>
      </w:r>
      <w:r>
        <w:rPr>
          <w:sz w:val="36"/>
        </w:rPr>
        <w:t>套及相</w:t>
      </w:r>
      <w:r>
        <w:rPr>
          <w:spacing w:val="-17"/>
          <w:sz w:val="36"/>
        </w:rPr>
        <w:t>应</w:t>
      </w:r>
      <w:r>
        <w:rPr>
          <w:position w:val="-12"/>
          <w:sz w:val="36"/>
        </w:rPr>
        <w:t>主体</w:t>
        <w:tab/>
      </w:r>
      <w:r>
        <w:rPr>
          <w:position w:val="19"/>
          <w:sz w:val="36"/>
        </w:rPr>
        <w:t>单元</w:t>
        <w:tab/>
      </w:r>
      <w:r>
        <w:rPr>
          <w:sz w:val="36"/>
        </w:rPr>
        <w:t>的配套设施，处理能力</w:t>
      </w:r>
      <w:r>
        <w:rPr>
          <w:spacing w:val="-91"/>
          <w:sz w:val="36"/>
        </w:rPr>
        <w:t xml:space="preserve"> </w:t>
      </w:r>
      <w:r>
        <w:rPr>
          <w:rFonts w:ascii="Times New Roman" w:eastAsia="Times New Roman" w:hAnsi="Times New Roman"/>
          <w:sz w:val="36"/>
        </w:rPr>
        <w:t>4×100 m</w:t>
      </w:r>
      <w:r>
        <w:rPr>
          <w:rFonts w:ascii="Times New Roman" w:eastAsia="Times New Roman" w:hAnsi="Times New Roman"/>
          <w:position w:val="6"/>
          <w:sz w:val="24"/>
        </w:rPr>
        <w:t>3</w:t>
      </w:r>
      <w:r>
        <w:rPr>
          <w:rFonts w:ascii="Times New Roman" w:eastAsia="Times New Roman" w:hAnsi="Times New Roman"/>
          <w:sz w:val="36"/>
        </w:rPr>
        <w:t>/h</w:t>
      </w:r>
    </w:p>
    <w:p>
      <w:pPr>
        <w:spacing w:before="185"/>
        <w:ind w:left="954" w:right="0" w:firstLine="0"/>
        <w:jc w:val="left"/>
        <w:rPr>
          <w:rFonts w:ascii="Times New Roman" w:eastAsia="Times New Roman"/>
          <w:sz w:val="24"/>
        </w:rPr>
      </w:pPr>
      <w:r>
        <w:br w:type="column"/>
      </w:r>
      <w:r>
        <w:rPr>
          <w:sz w:val="36"/>
        </w:rPr>
        <w:t xml:space="preserve">积为 </w:t>
      </w:r>
      <w:r>
        <w:rPr>
          <w:rFonts w:ascii="Times New Roman" w:eastAsia="Times New Roman"/>
          <w:sz w:val="36"/>
        </w:rPr>
        <w:t>200 m</w:t>
      </w:r>
      <w:r>
        <w:rPr>
          <w:rFonts w:ascii="Times New Roman" w:eastAsia="Times New Roman"/>
          <w:position w:val="6"/>
          <w:sz w:val="24"/>
        </w:rPr>
        <w:t>3</w:t>
      </w:r>
    </w:p>
    <w:p>
      <w:pPr>
        <w:spacing w:after="0"/>
        <w:jc w:val="left"/>
        <w:rPr>
          <w:rFonts w:ascii="Times New Roman" w:eastAsia="Times New Roman"/>
          <w:sz w:val="24"/>
        </w:rPr>
        <w:sectPr>
          <w:type w:val="continuous"/>
          <w:pgSz w:w="17860" w:h="25260"/>
          <w:pgMar w:top="2420" w:right="0" w:bottom="280" w:left="1440" w:header="708" w:footer="708"/>
          <w:pgNumType w:start="6"/>
          <w:cols w:num="2" w:space="708" w:equalWidth="0">
            <w:col w:w="10598" w:space="164"/>
            <w:col w:w="5658" w:space="0"/>
          </w:cols>
        </w:sectPr>
      </w:pPr>
    </w:p>
    <w:p>
      <w:pPr>
        <w:spacing w:before="0" w:line="287" w:lineRule="exact"/>
        <w:ind w:left="936" w:right="0" w:firstLine="0"/>
        <w:jc w:val="left"/>
        <w:rPr>
          <w:sz w:val="36"/>
        </w:rPr>
      </w:pPr>
      <w:r>
        <w:rPr>
          <w:sz w:val="36"/>
        </w:rPr>
        <w:t>工程</w:t>
      </w:r>
    </w:p>
    <w:p>
      <w:pPr>
        <w:spacing w:before="0" w:line="358" w:lineRule="exact"/>
        <w:ind w:left="2225" w:right="0" w:firstLine="0"/>
        <w:jc w:val="center"/>
        <w:rPr>
          <w:sz w:val="36"/>
        </w:rPr>
      </w:pPr>
      <w:r>
        <w:rPr>
          <w:rFonts w:ascii="Times New Roman" w:eastAsia="Times New Roman"/>
          <w:sz w:val="36"/>
        </w:rPr>
        <w:t xml:space="preserve">RO </w:t>
      </w:r>
      <w:r>
        <w:rPr>
          <w:sz w:val="36"/>
        </w:rPr>
        <w:t>浓水深度</w:t>
      </w:r>
    </w:p>
    <w:p>
      <w:pPr>
        <w:spacing w:before="0" w:line="427" w:lineRule="exact"/>
        <w:ind w:left="2225" w:right="0" w:firstLine="0"/>
        <w:jc w:val="center"/>
        <w:rPr>
          <w:sz w:val="36"/>
        </w:rPr>
      </w:pPr>
      <w:r>
        <w:rPr>
          <w:sz w:val="36"/>
        </w:rPr>
        <w:t>处理装置</w:t>
      </w:r>
    </w:p>
    <w:p>
      <w:pPr>
        <w:pStyle w:val="BodyText"/>
        <w:spacing w:before="1"/>
        <w:rPr>
          <w:sz w:val="49"/>
        </w:rPr>
      </w:pPr>
    </w:p>
    <w:p>
      <w:pPr>
        <w:spacing w:before="0"/>
        <w:ind w:left="2225" w:right="0" w:firstLine="0"/>
        <w:jc w:val="center"/>
        <w:rPr>
          <w:sz w:val="36"/>
        </w:rPr>
      </w:pPr>
      <w:r>
        <w:rPr>
          <w:sz w:val="36"/>
        </w:rPr>
        <w:t>自动控制</w:t>
      </w:r>
    </w:p>
    <w:p>
      <w:pPr>
        <w:pStyle w:val="BodyText"/>
        <w:rPr>
          <w:sz w:val="36"/>
        </w:rPr>
      </w:pPr>
    </w:p>
    <w:p>
      <w:pPr>
        <w:tabs>
          <w:tab w:val="left" w:pos="2585"/>
        </w:tabs>
        <w:spacing w:before="231" w:line="103" w:lineRule="auto"/>
        <w:ind w:left="936" w:right="358" w:firstLine="0"/>
        <w:jc w:val="left"/>
        <w:rPr>
          <w:sz w:val="36"/>
        </w:rPr>
      </w:pPr>
      <w:r>
        <w:rPr>
          <w:position w:val="19"/>
          <w:sz w:val="36"/>
        </w:rPr>
        <w:t>辅助</w:t>
        <w:tab/>
      </w:r>
      <w:r>
        <w:rPr>
          <w:sz w:val="36"/>
        </w:rPr>
        <w:t>电信系</w:t>
      </w:r>
      <w:r>
        <w:rPr>
          <w:spacing w:val="-18"/>
          <w:sz w:val="36"/>
        </w:rPr>
        <w:t>统</w:t>
      </w:r>
      <w:r>
        <w:rPr>
          <w:sz w:val="36"/>
        </w:rPr>
        <w:t>工程</w:t>
      </w:r>
    </w:p>
    <w:p>
      <w:pPr>
        <w:pStyle w:val="BodyText"/>
        <w:spacing w:before="1"/>
      </w:pPr>
    </w:p>
    <w:p>
      <w:pPr>
        <w:spacing w:before="0"/>
        <w:ind w:left="2225" w:right="0" w:firstLine="0"/>
        <w:jc w:val="center"/>
        <w:rPr>
          <w:sz w:val="36"/>
        </w:rPr>
      </w:pPr>
      <w:r>
        <w:rPr>
          <w:sz w:val="36"/>
        </w:rPr>
        <w:t>采暖通风系统</w:t>
      </w:r>
    </w:p>
    <w:p>
      <w:pPr>
        <w:pStyle w:val="BodyText"/>
        <w:spacing w:before="1"/>
        <w:rPr>
          <w:sz w:val="53"/>
        </w:rPr>
      </w:pPr>
    </w:p>
    <w:p>
      <w:pPr>
        <w:spacing w:before="0"/>
        <w:ind w:left="2225" w:right="0" w:firstLine="0"/>
        <w:jc w:val="center"/>
        <w:rPr>
          <w:sz w:val="36"/>
        </w:rPr>
      </w:pPr>
      <w:r>
        <w:rPr>
          <w:sz w:val="36"/>
        </w:rPr>
        <w:t>给排水</w:t>
      </w:r>
    </w:p>
    <w:p>
      <w:pPr>
        <w:pStyle w:val="BodyText"/>
        <w:rPr>
          <w:sz w:val="36"/>
        </w:rPr>
      </w:pPr>
    </w:p>
    <w:p>
      <w:pPr>
        <w:tabs>
          <w:tab w:val="left" w:pos="2585"/>
        </w:tabs>
        <w:spacing w:before="231" w:line="103" w:lineRule="auto"/>
        <w:ind w:left="936" w:right="358" w:firstLine="0"/>
        <w:jc w:val="left"/>
        <w:rPr>
          <w:sz w:val="36"/>
        </w:rPr>
      </w:pPr>
      <w:r>
        <w:rPr>
          <w:position w:val="19"/>
          <w:sz w:val="36"/>
        </w:rPr>
        <w:t>公用</w:t>
        <w:tab/>
      </w:r>
      <w:r>
        <w:rPr>
          <w:sz w:val="36"/>
        </w:rPr>
        <w:t>供电工</w:t>
      </w:r>
      <w:r>
        <w:rPr>
          <w:spacing w:val="-18"/>
          <w:sz w:val="36"/>
        </w:rPr>
        <w:t>程</w:t>
      </w:r>
      <w:r>
        <w:rPr>
          <w:sz w:val="36"/>
        </w:rPr>
        <w:t>工程</w:t>
      </w:r>
    </w:p>
    <w:p>
      <w:pPr>
        <w:pStyle w:val="BodyText"/>
        <w:spacing w:before="1"/>
      </w:pPr>
    </w:p>
    <w:p>
      <w:pPr>
        <w:spacing w:before="0"/>
        <w:ind w:left="2225" w:right="0" w:firstLine="0"/>
        <w:jc w:val="center"/>
        <w:rPr>
          <w:sz w:val="36"/>
        </w:rPr>
      </w:pPr>
      <w:r>
        <w:rPr>
          <w:sz w:val="36"/>
        </w:rPr>
        <w:t>供风系统</w:t>
      </w:r>
    </w:p>
    <w:p>
      <w:pPr>
        <w:spacing w:before="78" w:line="204" w:lineRule="auto"/>
        <w:ind w:left="360" w:right="2026" w:firstLine="0"/>
        <w:jc w:val="both"/>
        <w:rPr>
          <w:rFonts w:ascii="Times New Roman" w:eastAsia="Times New Roman"/>
          <w:sz w:val="24"/>
        </w:rPr>
      </w:pPr>
      <w:r>
        <w:br w:type="column"/>
      </w:r>
      <w:r>
        <w:rPr>
          <w:spacing w:val="-1"/>
          <w:sz w:val="36"/>
        </w:rPr>
        <w:t>主要有催化臭氧氧化，氧化稳定池， 新建，利用原污水处理</w:t>
      </w:r>
      <w:r>
        <w:rPr>
          <w:spacing w:val="-14"/>
          <w:sz w:val="36"/>
        </w:rPr>
        <w:t xml:space="preserve">后生化内循环 </w:t>
      </w:r>
      <w:r>
        <w:rPr>
          <w:rFonts w:ascii="Times New Roman" w:eastAsia="Times New Roman"/>
          <w:sz w:val="36"/>
        </w:rPr>
        <w:t xml:space="preserve">BAF </w:t>
      </w:r>
      <w:r>
        <w:rPr>
          <w:spacing w:val="-9"/>
          <w:sz w:val="36"/>
        </w:rPr>
        <w:t>池，反冲洗沉淀池 场区预留空地建设，占</w:t>
      </w:r>
      <w:r>
        <w:rPr>
          <w:sz w:val="36"/>
        </w:rPr>
        <w:t xml:space="preserve">以及风机棚，臭氧发生间构成。 地面积 </w:t>
      </w:r>
      <w:r>
        <w:rPr>
          <w:rFonts w:ascii="Times New Roman" w:eastAsia="Times New Roman"/>
          <w:sz w:val="36"/>
        </w:rPr>
        <w:t>942.5 m</w:t>
      </w:r>
      <w:r>
        <w:rPr>
          <w:rFonts w:ascii="Times New Roman" w:eastAsia="Times New Roman"/>
          <w:position w:val="6"/>
          <w:sz w:val="24"/>
        </w:rPr>
        <w:t>3</w:t>
      </w:r>
    </w:p>
    <w:p>
      <w:pPr>
        <w:pStyle w:val="BodyText"/>
        <w:spacing w:before="10"/>
        <w:rPr>
          <w:rFonts w:ascii="Times New Roman"/>
          <w:sz w:val="38"/>
        </w:rPr>
      </w:pPr>
    </w:p>
    <w:p>
      <w:pPr>
        <w:spacing w:before="0" w:line="592" w:lineRule="auto"/>
        <w:ind w:left="3539" w:right="5214" w:firstLine="0"/>
        <w:jc w:val="center"/>
        <w:rPr>
          <w:sz w:val="36"/>
        </w:rPr>
      </w:pPr>
      <w:r>
        <w:rPr>
          <w:spacing w:val="-3"/>
          <w:sz w:val="36"/>
        </w:rPr>
        <w:t>采用分散式监控系统</w:t>
      </w:r>
      <w:r>
        <w:rPr>
          <w:sz w:val="36"/>
        </w:rPr>
        <w:t>依托原有</w:t>
      </w:r>
    </w:p>
    <w:p>
      <w:pPr>
        <w:spacing w:before="0" w:line="592" w:lineRule="auto"/>
        <w:ind w:left="4439" w:right="6112" w:firstLine="0"/>
        <w:jc w:val="both"/>
        <w:rPr>
          <w:sz w:val="36"/>
        </w:rPr>
      </w:pPr>
      <w:r>
        <w:rPr>
          <w:spacing w:val="-5"/>
          <w:sz w:val="36"/>
        </w:rPr>
        <w:t>依托原有依托原有依托原有依托原有</w:t>
      </w:r>
    </w:p>
    <w:p>
      <w:pPr>
        <w:spacing w:after="0" w:line="592" w:lineRule="auto"/>
        <w:jc w:val="both"/>
        <w:rPr>
          <w:sz w:val="36"/>
        </w:rPr>
        <w:sectPr>
          <w:type w:val="continuous"/>
          <w:pgSz w:w="17860" w:h="25260"/>
          <w:pgMar w:top="2420" w:right="0" w:bottom="280" w:left="1440" w:header="708" w:footer="708"/>
          <w:pgNumType w:start="7"/>
          <w:cols w:num="2" w:space="708" w:equalWidth="0">
            <w:col w:w="4386" w:space="40"/>
            <w:col w:w="11994" w:space="0"/>
          </w:cols>
        </w:sectPr>
      </w:pPr>
    </w:p>
    <w:p>
      <w:pPr>
        <w:pStyle w:val="BodyText"/>
        <w:rPr>
          <w:sz w:val="12"/>
        </w:rPr>
      </w:pPr>
    </w:p>
    <w:p>
      <w:pPr>
        <w:pStyle w:val="Heading2"/>
        <w:numPr>
          <w:ilvl w:val="1"/>
          <w:numId w:val="10"/>
        </w:numPr>
        <w:tabs>
          <w:tab w:val="left" w:pos="1743"/>
        </w:tabs>
        <w:spacing w:before="95" w:after="0" w:line="240" w:lineRule="auto"/>
        <w:ind w:left="1743" w:right="0" w:hanging="630"/>
        <w:jc w:val="left"/>
        <w:rPr>
          <w:rFonts w:ascii="Arial" w:eastAsia="Arial"/>
        </w:rPr>
      </w:pPr>
      <w:r>
        <w:t>污水处理工艺简介</w:t>
      </w:r>
    </w:p>
    <w:p>
      <w:pPr>
        <w:pStyle w:val="ListParagraph"/>
        <w:numPr>
          <w:ilvl w:val="2"/>
          <w:numId w:val="10"/>
        </w:numPr>
        <w:tabs>
          <w:tab w:val="left" w:pos="2867"/>
        </w:tabs>
        <w:spacing w:before="279" w:after="0" w:line="240" w:lineRule="auto"/>
        <w:ind w:left="2866" w:right="0" w:hanging="948"/>
        <w:jc w:val="left"/>
        <w:rPr>
          <w:sz w:val="42"/>
        </w:rPr>
      </w:pPr>
      <w:r>
        <w:rPr>
          <w:sz w:val="42"/>
        </w:rPr>
        <w:t>改造后污水处理工艺</w:t>
      </w:r>
    </w:p>
    <w:p>
      <w:pPr>
        <w:pStyle w:val="BodyText"/>
        <w:spacing w:before="280"/>
        <w:ind w:left="1919"/>
      </w:pPr>
      <w:r>
        <w:t>污水处理站工艺流程图见下图：。</w:t>
      </w:r>
    </w:p>
    <w:p>
      <w:pPr>
        <w:spacing w:after="0"/>
        <w:sectPr>
          <w:type w:val="continuous"/>
          <w:pgSz w:w="17860" w:h="25260"/>
          <w:pgMar w:top="2420" w:right="0" w:bottom="280" w:left="1440" w:header="708" w:footer="708"/>
          <w:pgNumType w:start="8"/>
          <w:cols w:space="708"/>
        </w:sectPr>
      </w:pPr>
    </w:p>
    <w:p>
      <w:pPr>
        <w:pStyle w:val="BodyText"/>
        <w:spacing w:before="68"/>
        <w:ind w:left="8457"/>
      </w:pPr>
      <w:r>
        <w:t>本项目工艺流程图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8"/>
        </w:rPr>
      </w:pPr>
    </w:p>
    <w:p>
      <w:pPr>
        <w:spacing w:before="63"/>
        <w:ind w:left="1455" w:right="0" w:firstLine="0"/>
        <w:jc w:val="left"/>
        <w:rPr>
          <w:sz w:val="31"/>
        </w:rPr>
      </w:pPr>
      <w:r>
        <w:pict>
          <v:group id="_x0000_s1025" style="width:790.45pt;height:221.4pt;margin-top:-212.63pt;margin-left:108pt;mso-position-horizontal-relative:page;position:absolute;z-index:-251657216" coordorigin="2160,-4253" coordsize="15809,44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5700;height:4380;left:2160;position:absolute;top:-4205" stroked="f">
              <v:imagedata r:id="rId5" o:title=""/>
            </v:shape>
            <v:shapetype id="_x0000_t202" coordsize="21600,21600" o:spt="202" path="m,l,21600r21600,l21600,xe">
              <v:stroke joinstyle="miter"/>
              <v:path gradientshapeok="t" o:connecttype="rect"/>
            </v:shapetype>
            <v:shape id="_x0000_s1027" type="#_x0000_t202" style="width:654;height:317;left:10477;position:absolute;top:-4253" filled="f" stroked="f">
              <v:textbox inset="0,0,0,0">
                <w:txbxContent>
                  <w:p>
                    <w:pPr>
                      <w:spacing w:before="0" w:line="317" w:lineRule="exact"/>
                      <w:ind w:left="0" w:right="0" w:firstLine="0"/>
                      <w:jc w:val="left"/>
                      <w:rPr>
                        <w:sz w:val="31"/>
                      </w:rPr>
                    </w:pPr>
                    <w:r>
                      <w:rPr>
                        <w:sz w:val="31"/>
                      </w:rPr>
                      <w:t>废水</w:t>
                    </w:r>
                  </w:p>
                </w:txbxContent>
              </v:textbox>
            </v:shape>
            <v:shape id="_x0000_s1028" type="#_x0000_t202" style="width:654;height:317;left:11701;position:absolute;top:-4008" filled="f" stroked="f">
              <v:textbox inset="0,0,0,0">
                <w:txbxContent>
                  <w:p>
                    <w:pPr>
                      <w:spacing w:before="0" w:line="317" w:lineRule="exact"/>
                      <w:ind w:left="0" w:right="0" w:firstLine="0"/>
                      <w:jc w:val="left"/>
                      <w:rPr>
                        <w:sz w:val="31"/>
                      </w:rPr>
                    </w:pPr>
                    <w:r>
                      <w:rPr>
                        <w:sz w:val="31"/>
                      </w:rPr>
                      <w:t>隔油</w:t>
                    </w:r>
                  </w:p>
                </w:txbxContent>
              </v:textbox>
            </v:shape>
            <v:shape id="_x0000_s1029" type="#_x0000_t202" style="width:1346;height:357;left:13516;position:absolute;top:-4048" filled="f" stroked="f">
              <v:textbox inset="0,0,0,0">
                <w:txbxContent>
                  <w:p>
                    <w:pPr>
                      <w:spacing w:before="2" w:line="355" w:lineRule="exact"/>
                      <w:ind w:left="0" w:right="0" w:firstLine="0"/>
                      <w:jc w:val="left"/>
                      <w:rPr>
                        <w:rFonts w:ascii="Arial" w:eastAsia="Arial"/>
                        <w:sz w:val="31"/>
                      </w:rPr>
                    </w:pPr>
                    <w:r>
                      <w:rPr>
                        <w:sz w:val="31"/>
                      </w:rPr>
                      <w:t>一级</w:t>
                    </w:r>
                    <w:r>
                      <w:rPr>
                        <w:rFonts w:ascii="Arial" w:eastAsia="Arial"/>
                        <w:sz w:val="31"/>
                      </w:rPr>
                      <w:t>CAF</w:t>
                    </w:r>
                  </w:p>
                </w:txbxContent>
              </v:textbox>
            </v:shape>
            <v:shape id="_x0000_s1030" type="#_x0000_t202" style="width:1604;height:317;left:16176;position:absolute;top:-4008" filled="f" stroked="f">
              <v:textbox inset="0,0,0,0">
                <w:txbxContent>
                  <w:p>
                    <w:pPr>
                      <w:spacing w:before="0" w:line="317" w:lineRule="exact"/>
                      <w:ind w:left="0" w:right="0" w:firstLine="0"/>
                      <w:jc w:val="left"/>
                      <w:rPr>
                        <w:sz w:val="31"/>
                      </w:rPr>
                    </w:pPr>
                    <w:r>
                      <w:rPr>
                        <w:sz w:val="31"/>
                      </w:rPr>
                      <w:t>二级浮选（</w:t>
                    </w:r>
                  </w:p>
                </w:txbxContent>
              </v:textbox>
            </v:shape>
            <v:shape id="_x0000_s1031" type="#_x0000_t202" style="width:1288;height:317;left:9397;position:absolute;top:-3050" filled="f" stroked="f">
              <v:textbox inset="0,0,0,0">
                <w:txbxContent>
                  <w:p>
                    <w:pPr>
                      <w:spacing w:before="0" w:line="317" w:lineRule="exact"/>
                      <w:ind w:left="0" w:right="0" w:firstLine="0"/>
                      <w:jc w:val="left"/>
                      <w:rPr>
                        <w:sz w:val="31"/>
                      </w:rPr>
                    </w:pPr>
                    <w:r>
                      <w:rPr>
                        <w:sz w:val="31"/>
                      </w:rPr>
                      <w:t>清水回用</w:t>
                    </w:r>
                  </w:p>
                </w:txbxContent>
              </v:textbox>
            </v:shape>
            <v:shape id="_x0000_s1032" type="#_x0000_t202" style="width:1172;height:357;left:13603;position:absolute;top:-2877" filled="f" stroked="f">
              <v:textbox inset="0,0,0,0">
                <w:txbxContent>
                  <w:p>
                    <w:pPr>
                      <w:spacing w:before="2" w:line="355" w:lineRule="exact"/>
                      <w:ind w:left="0" w:right="0" w:firstLine="0"/>
                      <w:jc w:val="left"/>
                      <w:rPr>
                        <w:sz w:val="31"/>
                      </w:rPr>
                    </w:pPr>
                    <w:r>
                      <w:rPr>
                        <w:rFonts w:ascii="Arial" w:eastAsia="Arial"/>
                        <w:sz w:val="31"/>
                      </w:rPr>
                      <w:t xml:space="preserve">RO </w:t>
                    </w:r>
                    <w:r>
                      <w:rPr>
                        <w:sz w:val="31"/>
                      </w:rPr>
                      <w:t>处理</w:t>
                    </w:r>
                  </w:p>
                </w:txbxContent>
              </v:textbox>
            </v:shape>
            <v:shape id="_x0000_s1033" type="#_x0000_t202" style="width:1752;height:357;left:16216;position:absolute;top:-2902" filled="f" stroked="f">
              <v:textbox inset="0,0,0,0">
                <w:txbxContent>
                  <w:p>
                    <w:pPr>
                      <w:spacing w:before="2" w:line="355" w:lineRule="exact"/>
                      <w:ind w:left="0" w:right="0" w:firstLine="0"/>
                      <w:jc w:val="left"/>
                      <w:rPr>
                        <w:sz w:val="31"/>
                      </w:rPr>
                    </w:pPr>
                    <w:r>
                      <w:rPr>
                        <w:rFonts w:ascii="Arial" w:eastAsia="Arial"/>
                        <w:sz w:val="31"/>
                      </w:rPr>
                      <w:t xml:space="preserve">MBR </w:t>
                    </w:r>
                    <w:r>
                      <w:rPr>
                        <w:sz w:val="31"/>
                      </w:rPr>
                      <w:t>膜生物</w:t>
                    </w:r>
                  </w:p>
                </w:txbxContent>
              </v:textbox>
            </v:shape>
            <v:shape id="_x0000_s1034" type="#_x0000_t202" style="width:2051;height:357;left:2386;position:absolute;top:-1945" filled="f" stroked="f">
              <v:textbox inset="0,0,0,0">
                <w:txbxContent>
                  <w:p>
                    <w:pPr>
                      <w:spacing w:before="2" w:line="355" w:lineRule="exact"/>
                      <w:ind w:left="0" w:right="0" w:firstLine="0"/>
                      <w:jc w:val="left"/>
                      <w:rPr>
                        <w:sz w:val="31"/>
                      </w:rPr>
                    </w:pPr>
                    <w:r>
                      <w:rPr>
                        <w:sz w:val="31"/>
                      </w:rPr>
                      <w:t>后生化</w:t>
                    </w:r>
                    <w:r>
                      <w:rPr>
                        <w:rFonts w:ascii="Arial" w:eastAsia="Arial"/>
                        <w:sz w:val="31"/>
                      </w:rPr>
                      <w:t xml:space="preserve">BAF </w:t>
                    </w:r>
                    <w:r>
                      <w:rPr>
                        <w:sz w:val="31"/>
                      </w:rPr>
                      <w:t>池</w:t>
                    </w:r>
                  </w:p>
                </w:txbxContent>
              </v:textbox>
            </v:shape>
            <v:shape id="_x0000_s1035" type="#_x0000_t202" style="width:1604;height:317;left:5627;position:absolute;top:-1923" filled="f" stroked="f">
              <v:textbox inset="0,0,0,0">
                <w:txbxContent>
                  <w:p>
                    <w:pPr>
                      <w:spacing w:before="0" w:line="317" w:lineRule="exact"/>
                      <w:ind w:left="0" w:right="0" w:firstLine="0"/>
                      <w:jc w:val="left"/>
                      <w:rPr>
                        <w:sz w:val="31"/>
                      </w:rPr>
                    </w:pPr>
                    <w:r>
                      <w:rPr>
                        <w:sz w:val="31"/>
                      </w:rPr>
                      <w:t>氧化稳定池</w:t>
                    </w:r>
                  </w:p>
                </w:txbxContent>
              </v:textbox>
            </v:shape>
            <v:shape id="_x0000_s1036" type="#_x0000_t202" style="width:2238;height:317;left:8328;position:absolute;top:-1905" filled="f" stroked="f">
              <v:textbox inset="0,0,0,0">
                <w:txbxContent>
                  <w:p>
                    <w:pPr>
                      <w:spacing w:before="0" w:line="317" w:lineRule="exact"/>
                      <w:ind w:left="0" w:right="0" w:firstLine="0"/>
                      <w:jc w:val="left"/>
                      <w:rPr>
                        <w:sz w:val="31"/>
                      </w:rPr>
                    </w:pPr>
                    <w:r>
                      <w:rPr>
                        <w:sz w:val="31"/>
                      </w:rPr>
                      <w:t>浓水催化氧化池</w:t>
                    </w:r>
                  </w:p>
                </w:txbxContent>
              </v:textbox>
            </v:shape>
            <v:shape id="_x0000_s1037" type="#_x0000_t202" style="width:971;height:317;left:11060;position:absolute;top:-2150" filled="f" stroked="f">
              <v:textbox inset="0,0,0,0">
                <w:txbxContent>
                  <w:p>
                    <w:pPr>
                      <w:spacing w:before="0" w:line="317" w:lineRule="exact"/>
                      <w:ind w:left="0" w:right="0" w:firstLine="0"/>
                      <w:jc w:val="left"/>
                      <w:rPr>
                        <w:sz w:val="31"/>
                      </w:rPr>
                    </w:pPr>
                    <w:r>
                      <w:rPr>
                        <w:sz w:val="31"/>
                      </w:rPr>
                      <w:t>浓盐水</w:t>
                    </w:r>
                  </w:p>
                </w:txbxContent>
              </v:textbox>
            </v:shape>
            <v:shape id="_x0000_s1038" type="#_x0000_t202" style="width:2238;height:929;left:12075;position:absolute;top:-2114" filled="f" stroked="f">
              <v:textbox inset="0,0,0,0">
                <w:txbxContent>
                  <w:p>
                    <w:pPr>
                      <w:spacing w:before="0" w:line="359" w:lineRule="exact"/>
                      <w:ind w:left="0" w:right="21" w:firstLine="0"/>
                      <w:jc w:val="right"/>
                      <w:rPr>
                        <w:sz w:val="31"/>
                      </w:rPr>
                    </w:pPr>
                    <w:r>
                      <w:rPr>
                        <w:sz w:val="31"/>
                      </w:rPr>
                      <w:t>排入氧化塘</w:t>
                    </w:r>
                  </w:p>
                  <w:p>
                    <w:pPr>
                      <w:spacing w:before="215" w:line="355" w:lineRule="exact"/>
                      <w:ind w:left="0" w:right="18" w:firstLine="0"/>
                      <w:jc w:val="right"/>
                      <w:rPr>
                        <w:sz w:val="31"/>
                      </w:rPr>
                    </w:pPr>
                    <w:r>
                      <w:rPr>
                        <w:spacing w:val="-3"/>
                        <w:sz w:val="31"/>
                      </w:rPr>
                      <w:t>中水处理后回用</w:t>
                    </w:r>
                  </w:p>
                </w:txbxContent>
              </v:textbox>
            </v:shape>
            <v:shape id="_x0000_s1039" type="#_x0000_t202" style="width:971;height:317;left:16922;position:absolute;top:-1711" filled="f" stroked="f">
              <v:textbox inset="0,0,0,0">
                <w:txbxContent>
                  <w:p>
                    <w:pPr>
                      <w:spacing w:before="0" w:line="317" w:lineRule="exact"/>
                      <w:ind w:left="0" w:right="0" w:firstLine="0"/>
                      <w:jc w:val="left"/>
                      <w:rPr>
                        <w:sz w:val="31"/>
                      </w:rPr>
                    </w:pPr>
                    <w:r>
                      <w:rPr>
                        <w:sz w:val="31"/>
                      </w:rPr>
                      <w:t>混凝沉</w:t>
                    </w:r>
                  </w:p>
                </w:txbxContent>
              </v:textbox>
            </v:shape>
            <v:shape id="_x0000_s1040" type="#_x0000_t202" style="width:1604;height:317;left:2722;position:absolute;top:-818" filled="f" stroked="f">
              <v:textbox inset="0,0,0,0">
                <w:txbxContent>
                  <w:p>
                    <w:pPr>
                      <w:spacing w:before="0" w:line="317" w:lineRule="exact"/>
                      <w:ind w:left="0" w:right="0" w:firstLine="0"/>
                      <w:jc w:val="left"/>
                      <w:rPr>
                        <w:sz w:val="31"/>
                      </w:rPr>
                    </w:pPr>
                    <w:r>
                      <w:rPr>
                        <w:sz w:val="31"/>
                      </w:rPr>
                      <w:t>浓水清水池</w:t>
                    </w:r>
                  </w:p>
                </w:txbxContent>
              </v:textbox>
            </v:shape>
            <v:shape id="_x0000_s1041" type="#_x0000_t202" style="width:654;height:317;left:6696;position:absolute;top:-1037" filled="f" stroked="f">
              <v:textbox inset="0,0,0,0">
                <w:txbxContent>
                  <w:p>
                    <w:pPr>
                      <w:spacing w:before="0" w:line="317" w:lineRule="exact"/>
                      <w:ind w:left="0" w:right="0" w:firstLine="0"/>
                      <w:jc w:val="left"/>
                      <w:rPr>
                        <w:sz w:val="31"/>
                      </w:rPr>
                    </w:pPr>
                    <w:r>
                      <w:rPr>
                        <w:sz w:val="31"/>
                      </w:rPr>
                      <w:t>清水</w:t>
                    </w:r>
                  </w:p>
                </w:txbxContent>
              </v:textbox>
            </v:shape>
          </v:group>
        </w:pict>
      </w:r>
      <w:r>
        <w:rPr>
          <w:sz w:val="31"/>
        </w:rPr>
        <w:t>溢流外排</w:t>
      </w:r>
    </w:p>
    <w:p>
      <w:pPr>
        <w:spacing w:after="0"/>
        <w:jc w:val="left"/>
        <w:rPr>
          <w:sz w:val="31"/>
        </w:rPr>
        <w:sectPr>
          <w:pgSz w:w="17860" w:h="25260"/>
          <w:pgMar w:top="2420" w:right="0" w:bottom="280" w:left="1440" w:header="708" w:footer="708"/>
          <w:pgNumType w:start="9"/>
          <w:cols w:space="708"/>
        </w:sectPr>
      </w:pPr>
    </w:p>
    <w:p>
      <w:pPr>
        <w:pStyle w:val="Heading1"/>
        <w:spacing w:before="73"/>
        <w:rPr>
          <w:rFonts w:ascii="黑体" w:eastAsia="黑体" w:hint="eastAsia"/>
        </w:rPr>
      </w:pPr>
      <w:r>
        <w:rPr>
          <w:rFonts w:ascii="Arial" w:eastAsia="Arial"/>
        </w:rPr>
        <w:t>4</w:t>
      </w:r>
      <w:r>
        <w:rPr>
          <w:rFonts w:ascii="黑体" w:eastAsia="黑体" w:hint="eastAsia"/>
        </w:rPr>
        <w:t>、污染物产生及治理情况</w:t>
      </w:r>
    </w:p>
    <w:p>
      <w:pPr>
        <w:pStyle w:val="Heading2"/>
        <w:numPr>
          <w:ilvl w:val="1"/>
          <w:numId w:val="9"/>
        </w:numPr>
        <w:tabs>
          <w:tab w:val="left" w:pos="2168"/>
        </w:tabs>
        <w:spacing w:before="363" w:after="0" w:line="240" w:lineRule="auto"/>
        <w:ind w:left="2167" w:right="0" w:hanging="630"/>
        <w:jc w:val="left"/>
      </w:pPr>
      <w:r>
        <w:t>废气产生及治理情况</w:t>
      </w:r>
    </w:p>
    <w:p>
      <w:pPr>
        <w:pStyle w:val="BodyText"/>
        <w:spacing w:before="279" w:line="364" w:lineRule="auto"/>
        <w:ind w:left="1538" w:right="2243" w:firstLine="417"/>
      </w:pPr>
      <w:r>
        <w:t xml:space="preserve">本项目的废气主要为进水区产生的恶臭气体以及加臭工艺产生臭 </w:t>
      </w:r>
      <w:r>
        <w:rPr>
          <w:spacing w:val="-1"/>
        </w:rPr>
        <w:t>氧逸散，其主要成分为氨气、硫化氢和臭氧，排放方式主要以无组织</w:t>
      </w:r>
      <w:r>
        <w:rPr>
          <w:spacing w:val="-6"/>
        </w:rPr>
        <w:t>排放的形式。主要依托厂区原有盖板等密闭抽风系统，以收集废气进行除臭处理；依托厂区原有除臭装置，减少对外环境的影响。</w:t>
      </w:r>
    </w:p>
    <w:p>
      <w:pPr>
        <w:pStyle w:val="Heading2"/>
        <w:numPr>
          <w:ilvl w:val="1"/>
          <w:numId w:val="9"/>
        </w:numPr>
        <w:tabs>
          <w:tab w:val="left" w:pos="2168"/>
        </w:tabs>
        <w:spacing w:before="0" w:after="0" w:line="535" w:lineRule="exact"/>
        <w:ind w:left="2167" w:right="0" w:hanging="630"/>
        <w:jc w:val="left"/>
      </w:pPr>
      <w:r>
        <w:t>废水</w:t>
      </w:r>
    </w:p>
    <w:p>
      <w:pPr>
        <w:pStyle w:val="BodyText"/>
        <w:spacing w:before="280"/>
        <w:ind w:left="2344"/>
      </w:pPr>
      <w:r>
        <w:t>本项目无新增废水产生。</w:t>
      </w:r>
    </w:p>
    <w:p>
      <w:pPr>
        <w:pStyle w:val="Heading2"/>
        <w:numPr>
          <w:ilvl w:val="1"/>
          <w:numId w:val="9"/>
        </w:numPr>
        <w:tabs>
          <w:tab w:val="left" w:pos="2168"/>
        </w:tabs>
        <w:spacing w:before="279" w:after="0" w:line="240" w:lineRule="auto"/>
        <w:ind w:left="2167" w:right="0" w:hanging="630"/>
        <w:jc w:val="left"/>
      </w:pPr>
      <w:r>
        <w:t>噪声</w:t>
      </w:r>
    </w:p>
    <w:p>
      <w:pPr>
        <w:pStyle w:val="BodyText"/>
        <w:spacing w:before="279" w:line="364" w:lineRule="auto"/>
        <w:ind w:left="1538" w:right="2361" w:firstLine="838"/>
        <w:jc w:val="both"/>
      </w:pPr>
      <w:r>
        <w:rPr>
          <w:spacing w:val="-4"/>
        </w:rPr>
        <w:t xml:space="preserve">本项目建设拆除了原有 </w:t>
      </w:r>
      <w:r>
        <w:rPr>
          <w:rFonts w:ascii="Arial" w:eastAsia="Arial"/>
        </w:rPr>
        <w:t>CAF</w:t>
      </w:r>
      <w:r>
        <w:rPr>
          <w:rFonts w:ascii="Arial" w:eastAsia="Arial"/>
          <w:spacing w:val="55"/>
        </w:rPr>
        <w:t xml:space="preserve"> </w:t>
      </w:r>
      <w:r>
        <w:rPr>
          <w:spacing w:val="-2"/>
        </w:rPr>
        <w:t>装置，因此减少原有提升泵等设备</w:t>
      </w:r>
      <w:r>
        <w:rPr>
          <w:spacing w:val="-24"/>
        </w:rPr>
        <w:t xml:space="preserve">噪声，同时新增 </w:t>
      </w:r>
      <w:r>
        <w:rPr>
          <w:rFonts w:ascii="Arial" w:eastAsia="Arial"/>
        </w:rPr>
        <w:t xml:space="preserve">ADAF </w:t>
      </w:r>
      <w:r>
        <w:rPr>
          <w:spacing w:val="34"/>
        </w:rPr>
        <w:t>装置和</w:t>
      </w:r>
      <w:r>
        <w:rPr>
          <w:rFonts w:ascii="Arial" w:eastAsia="Arial"/>
        </w:rPr>
        <w:t xml:space="preserve">RO </w:t>
      </w:r>
      <w:r>
        <w:rPr>
          <w:spacing w:val="-8"/>
        </w:rPr>
        <w:t>浓水处理装置产生的噪声。对新增噪声源采取选择低噪音设备，采用减震、安装消声器等措施。</w:t>
      </w:r>
    </w:p>
    <w:p>
      <w:pPr>
        <w:pStyle w:val="Heading2"/>
        <w:numPr>
          <w:ilvl w:val="1"/>
          <w:numId w:val="9"/>
        </w:numPr>
        <w:tabs>
          <w:tab w:val="left" w:pos="2168"/>
        </w:tabs>
        <w:spacing w:before="0" w:after="0" w:line="536" w:lineRule="exact"/>
        <w:ind w:left="2167" w:right="0" w:hanging="630"/>
        <w:jc w:val="left"/>
      </w:pPr>
      <w:r>
        <w:t>固废</w:t>
      </w:r>
    </w:p>
    <w:p>
      <w:pPr>
        <w:pStyle w:val="BodyText"/>
        <w:spacing w:before="279" w:line="364" w:lineRule="auto"/>
        <w:ind w:left="1538" w:right="2243" w:firstLine="806"/>
        <w:jc w:val="both"/>
      </w:pPr>
      <w:r>
        <w:t>该污水处理厂的固废主要为污水处理站的气浮渣、油泥、剩余活性污泥、废催化剂及生活垃圾。气浮渣、油泥和剩余活性污泥属危险废物，委托有资质的单位处理；废催化剂</w:t>
      </w:r>
      <w:r>
        <w:rPr>
          <w:rFonts w:ascii="Arial" w:eastAsia="Arial"/>
        </w:rPr>
        <w:t xml:space="preserve">6 </w:t>
      </w:r>
      <w:r>
        <w:t>年更换一次，主要为氧化铝，送回厂家回收利用；生活垃圾由当地环卫部门统一清运。</w:t>
      </w:r>
    </w:p>
    <w:p>
      <w:pPr>
        <w:pStyle w:val="Heading2"/>
        <w:numPr>
          <w:ilvl w:val="1"/>
          <w:numId w:val="9"/>
        </w:numPr>
        <w:tabs>
          <w:tab w:val="left" w:pos="2168"/>
        </w:tabs>
        <w:spacing w:before="0" w:after="0" w:line="536" w:lineRule="exact"/>
        <w:ind w:left="2167" w:right="0" w:hanging="630"/>
        <w:jc w:val="left"/>
      </w:pPr>
      <w:r>
        <w:t>防护距离</w:t>
      </w:r>
    </w:p>
    <w:p>
      <w:pPr>
        <w:pStyle w:val="BodyText"/>
        <w:spacing w:before="279" w:line="364" w:lineRule="auto"/>
        <w:ind w:left="1538" w:right="2372" w:firstLine="946"/>
        <w:jc w:val="both"/>
      </w:pPr>
      <w:r>
        <w:t>由于本项目是在原有污水处理站基础上进行提标改造</w:t>
      </w:r>
      <w:r>
        <w:rPr>
          <w:spacing w:val="-51"/>
        </w:rPr>
        <w:t>，因此本次</w:t>
      </w:r>
      <w:r>
        <w:rPr>
          <w:spacing w:val="-8"/>
        </w:rPr>
        <w:t>对厂区内污水处理系统不新设卫生防护距离，卫生防护距离以原环评</w:t>
      </w:r>
      <w:r>
        <w:rPr>
          <w:spacing w:val="-36"/>
        </w:rPr>
        <w:t xml:space="preserve">中的 </w:t>
      </w:r>
      <w:r>
        <w:rPr>
          <w:rFonts w:ascii="Arial" w:eastAsia="Arial"/>
        </w:rPr>
        <w:t xml:space="preserve">500m </w:t>
      </w:r>
      <w:r>
        <w:t>卫生防护距离为准。</w:t>
      </w:r>
    </w:p>
    <w:p>
      <w:pPr>
        <w:pStyle w:val="Heading1"/>
        <w:spacing w:line="566" w:lineRule="exact"/>
        <w:rPr>
          <w:rFonts w:ascii="黑体" w:eastAsia="黑体" w:hint="eastAsia"/>
        </w:rPr>
      </w:pPr>
      <w:r>
        <w:rPr>
          <w:rFonts w:ascii="Arial" w:eastAsia="Arial"/>
        </w:rPr>
        <w:t>5</w:t>
      </w:r>
      <w:r>
        <w:rPr>
          <w:rFonts w:ascii="黑体" w:eastAsia="黑体" w:hint="eastAsia"/>
        </w:rPr>
        <w:t>、环境影响评价结论、建议及环评审批意见</w:t>
      </w:r>
    </w:p>
    <w:p>
      <w:pPr>
        <w:pStyle w:val="Heading2"/>
        <w:spacing w:before="366"/>
        <w:ind w:left="1538" w:firstLine="0"/>
      </w:pPr>
      <w:r>
        <w:rPr>
          <w:rFonts w:ascii="Arial" w:eastAsia="Arial"/>
        </w:rPr>
        <w:t xml:space="preserve">5.1 </w:t>
      </w:r>
      <w:r>
        <w:t>环境影响评价结论</w:t>
      </w:r>
    </w:p>
    <w:p>
      <w:pPr>
        <w:pStyle w:val="BodyText"/>
        <w:spacing w:before="279"/>
        <w:ind w:left="2484"/>
      </w:pPr>
      <w:r>
        <w:rPr>
          <w:spacing w:val="57"/>
        </w:rPr>
        <w:t>中国石油长庆石化公司污水排放标准升级改造项目占地</w:t>
      </w:r>
    </w:p>
    <w:p>
      <w:pPr>
        <w:pStyle w:val="BodyText"/>
        <w:spacing w:before="279"/>
        <w:ind w:left="1538"/>
      </w:pPr>
      <w:r>
        <w:rPr>
          <w:rFonts w:ascii="Arial" w:eastAsia="Arial" w:hAnsi="Arial"/>
          <w:w w:val="95"/>
        </w:rPr>
        <w:t>942.5m</w:t>
      </w:r>
      <w:r>
        <w:rPr>
          <w:rFonts w:ascii="Arial" w:eastAsia="Arial" w:hAnsi="Arial"/>
          <w:w w:val="95"/>
          <w:position w:val="6"/>
          <w:sz w:val="29"/>
        </w:rPr>
        <w:t>2</w:t>
      </w:r>
      <w:r>
        <w:rPr>
          <w:w w:val="95"/>
        </w:rPr>
        <w:t>，位于厂区东南角，</w:t>
      </w:r>
      <w:r>
        <w:rPr>
          <w:rFonts w:ascii="Arial" w:eastAsia="Arial" w:hAnsi="Arial"/>
          <w:w w:val="95"/>
        </w:rPr>
        <w:t>60×104t/a</w:t>
      </w:r>
      <w:r>
        <w:rPr>
          <w:rFonts w:ascii="Arial" w:eastAsia="Arial" w:hAnsi="Arial"/>
          <w:spacing w:val="5"/>
          <w:w w:val="95"/>
        </w:rPr>
        <w:t xml:space="preserve">    </w:t>
      </w:r>
      <w:r>
        <w:rPr>
          <w:w w:val="95"/>
        </w:rPr>
        <w:t>连续重整装置右侧，本项目主</w:t>
      </w:r>
    </w:p>
    <w:p>
      <w:pPr>
        <w:spacing w:after="0"/>
        <w:sectPr>
          <w:pgSz w:w="17860" w:h="25260"/>
          <w:pgMar w:top="1660" w:right="0" w:bottom="280" w:left="1440" w:header="708" w:footer="708"/>
          <w:pgNumType w:start="10"/>
          <w:cols w:space="708"/>
        </w:sectPr>
      </w:pPr>
    </w:p>
    <w:p>
      <w:pPr>
        <w:pStyle w:val="BodyText"/>
        <w:tabs>
          <w:tab w:val="left" w:pos="7057"/>
          <w:tab w:val="left" w:pos="7870"/>
        </w:tabs>
        <w:spacing w:before="78"/>
        <w:ind w:left="1538"/>
      </w:pPr>
      <w:r>
        <w:t>要包括二级浮选改造单元和</w:t>
        <w:tab/>
      </w:r>
      <w:r>
        <w:rPr>
          <w:rFonts w:ascii="Arial" w:eastAsia="Arial"/>
        </w:rPr>
        <w:t>RO</w:t>
        <w:tab/>
      </w:r>
      <w:r>
        <w:t>浓水深度处理装置。项目总投资</w:t>
      </w:r>
    </w:p>
    <w:p>
      <w:pPr>
        <w:pStyle w:val="BodyText"/>
        <w:spacing w:before="280"/>
        <w:ind w:left="1538"/>
      </w:pPr>
      <w:r>
        <w:rPr>
          <w:rFonts w:ascii="Arial" w:eastAsia="Arial"/>
        </w:rPr>
        <w:t xml:space="preserve">2625.44 </w:t>
      </w:r>
      <w:r>
        <w:t>万元。</w:t>
      </w:r>
    </w:p>
    <w:p>
      <w:pPr>
        <w:pStyle w:val="ListParagraph"/>
        <w:numPr>
          <w:ilvl w:val="0"/>
          <w:numId w:val="13"/>
        </w:numPr>
        <w:tabs>
          <w:tab w:val="left" w:pos="3541"/>
        </w:tabs>
        <w:spacing w:before="279" w:after="0" w:line="240" w:lineRule="auto"/>
        <w:ind w:left="3540" w:right="0" w:hanging="1057"/>
        <w:jc w:val="left"/>
        <w:rPr>
          <w:sz w:val="40"/>
        </w:rPr>
      </w:pPr>
      <w:r>
        <w:rPr>
          <w:sz w:val="42"/>
        </w:rPr>
        <w:t>产业政符合性</w:t>
      </w:r>
    </w:p>
    <w:p>
      <w:pPr>
        <w:pStyle w:val="BodyText"/>
        <w:spacing w:before="279" w:line="364" w:lineRule="auto"/>
        <w:ind w:left="1538" w:right="2368" w:firstLine="946"/>
        <w:jc w:val="both"/>
      </w:pPr>
      <w:r>
        <w:t>根据《产业结构指导名录（</w:t>
      </w:r>
      <w:r>
        <w:rPr>
          <w:rFonts w:ascii="Arial" w:eastAsia="Arial" w:hAnsi="Arial"/>
        </w:rPr>
        <w:t xml:space="preserve">2011 </w:t>
      </w:r>
      <w:r>
        <w:t>年本</w:t>
      </w:r>
      <w:r>
        <w:rPr>
          <w:spacing w:val="-213"/>
        </w:rPr>
        <w:t>）</w:t>
      </w:r>
      <w:r>
        <w:rPr>
          <w:spacing w:val="-23"/>
        </w:rPr>
        <w:t>》，本项目生产工艺、设</w:t>
      </w:r>
      <w:r>
        <w:rPr>
          <w:spacing w:val="-21"/>
        </w:rPr>
        <w:t>备、产品均不属于产业政策中的限制和淘汰类，项目为鼓励类中的</w:t>
      </w:r>
      <w:r>
        <w:rPr>
          <w:rFonts w:ascii="Times New Roman" w:eastAsia="Times New Roman" w:hAnsi="Times New Roman"/>
          <w:spacing w:val="-7"/>
        </w:rPr>
        <w:t>“</w:t>
      </w:r>
      <w:r>
        <w:t>三废</w:t>
      </w:r>
      <w:r>
        <w:rPr>
          <w:rFonts w:ascii="Times New Roman" w:eastAsia="Times New Roman" w:hAnsi="Times New Roman"/>
        </w:rPr>
        <w:t>”</w:t>
      </w:r>
      <w:r>
        <w:t>综合利用及治理工程，因此符合国家产业政策要求。</w:t>
      </w:r>
    </w:p>
    <w:p>
      <w:pPr>
        <w:pStyle w:val="BodyText"/>
        <w:spacing w:line="536" w:lineRule="exact"/>
        <w:ind w:left="2484"/>
      </w:pPr>
      <w:r>
        <w:t>本项目属于《陕西省限制投资类产业指导目录》中的项目。</w:t>
      </w:r>
    </w:p>
    <w:p>
      <w:pPr>
        <w:pStyle w:val="ListParagraph"/>
        <w:numPr>
          <w:ilvl w:val="0"/>
          <w:numId w:val="13"/>
        </w:numPr>
        <w:tabs>
          <w:tab w:val="left" w:pos="3541"/>
        </w:tabs>
        <w:spacing w:before="280" w:after="0" w:line="240" w:lineRule="auto"/>
        <w:ind w:left="3540" w:right="0" w:hanging="1057"/>
        <w:jc w:val="left"/>
        <w:rPr>
          <w:sz w:val="40"/>
        </w:rPr>
      </w:pPr>
      <w:r>
        <w:rPr>
          <w:sz w:val="42"/>
        </w:rPr>
        <w:t>相关规划符合性</w:t>
      </w:r>
    </w:p>
    <w:p>
      <w:pPr>
        <w:pStyle w:val="BodyText"/>
        <w:spacing w:before="279" w:line="364" w:lineRule="auto"/>
        <w:ind w:left="1538" w:right="2370" w:firstLine="946"/>
      </w:pPr>
      <w:r>
        <w:rPr>
          <w:spacing w:val="-16"/>
        </w:rPr>
        <w:t>本项目属于污水综合治理、提标改造项目，符合《石化和化学工</w:t>
      </w:r>
      <w:r>
        <w:t>业</w:t>
      </w:r>
      <w:r>
        <w:rPr>
          <w:rFonts w:ascii="Times New Roman" w:eastAsia="Times New Roman" w:hAnsi="Times New Roman"/>
          <w:spacing w:val="-7"/>
        </w:rPr>
        <w:t>“</w:t>
      </w:r>
      <w:r>
        <w:t>十二五</w:t>
      </w:r>
      <w:r>
        <w:rPr>
          <w:rFonts w:ascii="Times New Roman" w:eastAsia="Times New Roman" w:hAnsi="Times New Roman"/>
        </w:rPr>
        <w:t>”</w:t>
      </w:r>
      <w:r>
        <w:rPr>
          <w:spacing w:val="-1"/>
        </w:rPr>
        <w:t>发展规划》和《咸阳市</w:t>
      </w:r>
      <w:r>
        <w:rPr>
          <w:rFonts w:ascii="Times New Roman" w:eastAsia="Times New Roman" w:hAnsi="Times New Roman"/>
          <w:spacing w:val="-7"/>
        </w:rPr>
        <w:t>“</w:t>
      </w:r>
      <w:r>
        <w:t>十二五</w:t>
      </w:r>
      <w:r>
        <w:rPr>
          <w:rFonts w:ascii="Times New Roman" w:eastAsia="Times New Roman" w:hAnsi="Times New Roman"/>
        </w:rPr>
        <w:t>”</w:t>
      </w:r>
      <w:r>
        <w:rPr>
          <w:spacing w:val="-28"/>
        </w:rPr>
        <w:t>环境保护规划》。</w:t>
      </w:r>
    </w:p>
    <w:p>
      <w:pPr>
        <w:pStyle w:val="BodyText"/>
        <w:spacing w:line="362" w:lineRule="auto"/>
        <w:ind w:left="1538" w:right="2367" w:firstLine="946"/>
      </w:pPr>
      <w:r>
        <w:t>本项目的建设使用长庆石化已有工业用地</w:t>
      </w:r>
      <w:r>
        <w:rPr>
          <w:spacing w:val="-27"/>
        </w:rPr>
        <w:t>，拟建厂址位于咸阳市</w:t>
      </w:r>
      <w:r>
        <w:t>渭河北片区的东部石油化工组团，符合《咸阳市城市总体规划》</w:t>
      </w:r>
    </w:p>
    <w:p>
      <w:pPr>
        <w:pStyle w:val="BodyText"/>
        <w:spacing w:before="4"/>
        <w:ind w:left="1538"/>
      </w:pPr>
      <w:r>
        <w:t>（</w:t>
      </w:r>
      <w:r>
        <w:rPr>
          <w:rFonts w:ascii="Arial" w:eastAsia="Arial"/>
        </w:rPr>
        <w:t xml:space="preserve">2006~2020 </w:t>
      </w:r>
      <w:r>
        <w:t>年</w:t>
      </w:r>
      <w:r>
        <w:rPr>
          <w:spacing w:val="-213"/>
        </w:rPr>
        <w:t>）</w:t>
      </w:r>
      <w:r>
        <w:t>。</w:t>
      </w:r>
    </w:p>
    <w:p>
      <w:pPr>
        <w:pStyle w:val="ListParagraph"/>
        <w:numPr>
          <w:ilvl w:val="0"/>
          <w:numId w:val="13"/>
        </w:numPr>
        <w:tabs>
          <w:tab w:val="left" w:pos="3400"/>
        </w:tabs>
        <w:spacing w:before="279" w:after="0" w:line="240" w:lineRule="auto"/>
        <w:ind w:left="3400" w:right="0" w:hanging="1056"/>
        <w:jc w:val="left"/>
        <w:rPr>
          <w:sz w:val="40"/>
        </w:rPr>
      </w:pPr>
      <w:r>
        <w:rPr>
          <w:sz w:val="42"/>
        </w:rPr>
        <w:t>区域环境质量现状</w:t>
      </w:r>
    </w:p>
    <w:p>
      <w:pPr>
        <w:pStyle w:val="BodyText"/>
        <w:spacing w:before="45" w:line="818" w:lineRule="exact"/>
        <w:ind w:left="1538" w:right="2157" w:firstLine="806"/>
      </w:pPr>
      <w:r>
        <w:rPr>
          <w:spacing w:val="12"/>
        </w:rPr>
        <w:t>环境空气中评价区</w:t>
      </w:r>
      <w:r>
        <w:rPr>
          <w:rFonts w:ascii="Arial" w:eastAsia="Arial"/>
        </w:rPr>
        <w:t>SO</w:t>
      </w:r>
      <w:r>
        <w:rPr>
          <w:rFonts w:ascii="Arial" w:eastAsia="Arial"/>
          <w:position w:val="-18"/>
          <w:sz w:val="27"/>
        </w:rPr>
        <w:t xml:space="preserve">2 </w:t>
      </w:r>
      <w:r>
        <w:rPr>
          <w:spacing w:val="-29"/>
        </w:rPr>
        <w:t xml:space="preserve">小时浓度、日均浓度和 </w:t>
      </w:r>
      <w:r>
        <w:rPr>
          <w:rFonts w:ascii="Arial" w:eastAsia="Arial"/>
        </w:rPr>
        <w:t>NO</w:t>
      </w:r>
      <w:r>
        <w:rPr>
          <w:rFonts w:ascii="Arial" w:eastAsia="Arial"/>
          <w:position w:val="-18"/>
          <w:sz w:val="27"/>
        </w:rPr>
        <w:t xml:space="preserve">2 </w:t>
      </w:r>
      <w:r>
        <w:t>小时浓度均符</w:t>
      </w:r>
      <w:r>
        <w:rPr>
          <w:w w:val="100"/>
        </w:rPr>
        <w:t>合</w:t>
      </w:r>
      <w:r>
        <w:rPr>
          <w:spacing w:val="32"/>
          <w:w w:val="100"/>
        </w:rPr>
        <w:t>（</w:t>
      </w:r>
      <w:r>
        <w:rPr>
          <w:rFonts w:ascii="Arial" w:eastAsia="Arial"/>
          <w:w w:val="92"/>
        </w:rPr>
        <w:t>GB3095-201</w:t>
      </w:r>
      <w:r>
        <w:rPr>
          <w:rFonts w:ascii="Arial" w:eastAsia="Arial"/>
          <w:spacing w:val="10"/>
          <w:w w:val="92"/>
        </w:rPr>
        <w:t>2</w:t>
      </w:r>
      <w:r>
        <w:rPr>
          <w:spacing w:val="-198"/>
          <w:w w:val="100"/>
        </w:rPr>
        <w:t>）</w:t>
      </w:r>
      <w:r>
        <w:rPr>
          <w:w w:val="100"/>
        </w:rPr>
        <w:t>《环境空气质量标准》中二级标准；</w:t>
      </w:r>
      <w:r>
        <w:t xml:space="preserve"> </w:t>
      </w:r>
      <w:r>
        <w:rPr>
          <w:rFonts w:ascii="Arial" w:eastAsia="Arial"/>
          <w:w w:val="88"/>
        </w:rPr>
        <w:t>S</w:t>
      </w:r>
      <w:r>
        <w:rPr>
          <w:rFonts w:ascii="Arial" w:eastAsia="Arial"/>
          <w:spacing w:val="-2"/>
          <w:w w:val="88"/>
        </w:rPr>
        <w:t>O</w:t>
      </w:r>
      <w:r>
        <w:rPr>
          <w:rFonts w:ascii="Arial" w:eastAsia="Arial"/>
          <w:spacing w:val="16"/>
          <w:w w:val="89"/>
          <w:position w:val="-18"/>
          <w:sz w:val="27"/>
        </w:rPr>
        <w:t>2</w:t>
      </w:r>
      <w:r>
        <w:rPr>
          <w:spacing w:val="18"/>
          <w:w w:val="100"/>
        </w:rPr>
        <w:t>、</w:t>
      </w:r>
      <w:r>
        <w:rPr>
          <w:rFonts w:ascii="Arial" w:eastAsia="Arial"/>
          <w:w w:val="96"/>
        </w:rPr>
        <w:t>P</w:t>
      </w:r>
      <w:r>
        <w:rPr>
          <w:rFonts w:ascii="Arial" w:eastAsia="Arial"/>
          <w:spacing w:val="-4"/>
          <w:w w:val="96"/>
        </w:rPr>
        <w:t>M</w:t>
      </w:r>
      <w:r>
        <w:rPr>
          <w:rFonts w:ascii="Arial" w:eastAsia="Arial"/>
          <w:w w:val="89"/>
          <w:position w:val="-18"/>
          <w:sz w:val="27"/>
        </w:rPr>
        <w:t>10</w:t>
      </w:r>
      <w:r>
        <w:rPr>
          <w:spacing w:val="-18"/>
          <w:w w:val="100"/>
        </w:rPr>
        <w:t>日均浓度部分超出</w:t>
      </w:r>
      <w:r>
        <w:rPr>
          <w:spacing w:val="-3"/>
          <w:w w:val="100"/>
        </w:rPr>
        <w:t>（</w:t>
      </w:r>
      <w:r>
        <w:rPr>
          <w:rFonts w:ascii="Arial" w:eastAsia="Arial"/>
          <w:w w:val="92"/>
        </w:rPr>
        <w:t>GB3095-201</w:t>
      </w:r>
      <w:r>
        <w:rPr>
          <w:rFonts w:ascii="Arial" w:eastAsia="Arial"/>
          <w:spacing w:val="-6"/>
          <w:w w:val="92"/>
        </w:rPr>
        <w:t>2</w:t>
      </w:r>
      <w:r>
        <w:rPr>
          <w:spacing w:val="-346"/>
          <w:w w:val="100"/>
        </w:rPr>
        <w:t>）</w:t>
      </w:r>
      <w:r>
        <w:rPr>
          <w:spacing w:val="-13"/>
          <w:w w:val="100"/>
        </w:rPr>
        <w:t>《环境空气质量标准》中二级标准，</w:t>
      </w:r>
      <w:r>
        <w:t>超标与当地气候因素有关，区域总体环境空气质量较好。</w:t>
      </w:r>
    </w:p>
    <w:p>
      <w:pPr>
        <w:pStyle w:val="BodyText"/>
        <w:spacing w:before="231" w:line="364" w:lineRule="auto"/>
        <w:ind w:left="1538" w:right="2381" w:firstLine="806"/>
        <w:jc w:val="both"/>
      </w:pPr>
      <w:r>
        <w:rPr>
          <w:spacing w:val="2"/>
        </w:rPr>
        <w:t>地表水监测结果由表可知，各监测断面除氨氮、</w:t>
      </w:r>
      <w:r>
        <w:rPr>
          <w:rFonts w:ascii="Arial" w:eastAsia="Arial"/>
        </w:rPr>
        <w:t>COD</w:t>
      </w:r>
      <w:r>
        <w:rPr>
          <w:rFonts w:ascii="Arial" w:eastAsia="Arial"/>
          <w:spacing w:val="79"/>
        </w:rPr>
        <w:t xml:space="preserve"> </w:t>
      </w:r>
      <w:r>
        <w:rPr>
          <w:spacing w:val="-4"/>
        </w:rPr>
        <w:t xml:space="preserve">超标外， </w:t>
      </w:r>
      <w:r>
        <w:rPr>
          <w:spacing w:val="-3"/>
          <w:w w:val="95"/>
        </w:rPr>
        <w:t>其余各项指标均满足《地表水环境质量标准》</w:t>
      </w:r>
      <w:r>
        <w:rPr>
          <w:w w:val="95"/>
        </w:rPr>
        <w:t>（</w:t>
      </w:r>
      <w:r>
        <w:rPr>
          <w:rFonts w:ascii="Arial" w:eastAsia="Arial"/>
          <w:w w:val="95"/>
        </w:rPr>
        <w:t>GB3838-2002</w:t>
      </w:r>
      <w:r>
        <w:rPr>
          <w:w w:val="95"/>
        </w:rPr>
        <w:t xml:space="preserve">）中的 </w:t>
      </w:r>
      <w:r>
        <w:rPr>
          <w:rFonts w:ascii="Arial" w:eastAsia="Arial"/>
        </w:rPr>
        <w:t>IV</w:t>
      </w:r>
      <w:r>
        <w:rPr>
          <w:rFonts w:ascii="Arial" w:eastAsia="Arial"/>
          <w:spacing w:val="41"/>
        </w:rPr>
        <w:t xml:space="preserve"> </w:t>
      </w:r>
      <w:r>
        <w:t>类标准。渭河水体的主要污染物超标主要与渭河沿岸长时间向河体排放超标工业、生活污水所致。</w:t>
      </w:r>
    </w:p>
    <w:p>
      <w:pPr>
        <w:pStyle w:val="BodyText"/>
        <w:spacing w:line="364" w:lineRule="auto"/>
        <w:ind w:left="1538" w:right="2374" w:firstLine="806"/>
        <w:jc w:val="both"/>
      </w:pPr>
      <w:r>
        <w:rPr>
          <w:spacing w:val="-4"/>
        </w:rPr>
        <w:t xml:space="preserve">地下水监测结果由表可知，各项指标均满足 </w:t>
      </w:r>
      <w:r>
        <w:rPr>
          <w:rFonts w:ascii="Arial" w:eastAsia="Arial"/>
        </w:rPr>
        <w:t>GB/T14848-93</w:t>
      </w:r>
      <w:r>
        <w:rPr>
          <w:spacing w:val="-9"/>
        </w:rPr>
        <w:t>《地</w:t>
      </w:r>
      <w:r>
        <w:rPr>
          <w:spacing w:val="12"/>
        </w:rPr>
        <w:t>下水质量标准》中</w:t>
      </w:r>
      <w:r>
        <w:rPr>
          <w:rFonts w:ascii="Arial" w:eastAsia="Arial"/>
        </w:rPr>
        <w:t xml:space="preserve">III </w:t>
      </w:r>
      <w:r>
        <w:t>类标准。</w:t>
      </w:r>
    </w:p>
    <w:p>
      <w:pPr>
        <w:pStyle w:val="BodyText"/>
        <w:spacing w:line="537" w:lineRule="exact"/>
        <w:ind w:left="2344"/>
      </w:pPr>
      <w:r>
        <w:rPr>
          <w:spacing w:val="-6"/>
          <w:w w:val="100"/>
        </w:rPr>
        <w:t>该项目所在地声环境符合</w:t>
      </w:r>
      <w:r>
        <w:rPr>
          <w:spacing w:val="1"/>
          <w:w w:val="100"/>
        </w:rPr>
        <w:t>（</w:t>
      </w:r>
      <w:r>
        <w:rPr>
          <w:rFonts w:ascii="Arial" w:eastAsia="Arial"/>
          <w:w w:val="92"/>
        </w:rPr>
        <w:t>GB3096-200</w:t>
      </w:r>
      <w:r>
        <w:rPr>
          <w:rFonts w:ascii="Arial" w:eastAsia="Arial"/>
          <w:spacing w:val="-9"/>
          <w:w w:val="92"/>
        </w:rPr>
        <w:t>8</w:t>
      </w:r>
      <w:r>
        <w:rPr>
          <w:spacing w:val="-263"/>
          <w:w w:val="100"/>
        </w:rPr>
        <w:t>）</w:t>
      </w:r>
      <w:r>
        <w:rPr>
          <w:spacing w:val="-8"/>
          <w:w w:val="100"/>
        </w:rPr>
        <w:t>《声环境质量标准》中</w:t>
      </w:r>
    </w:p>
    <w:p>
      <w:pPr>
        <w:spacing w:after="0" w:line="537" w:lineRule="exact"/>
        <w:sectPr>
          <w:pgSz w:w="17860" w:h="25260"/>
          <w:pgMar w:top="1700" w:right="0" w:bottom="280" w:left="1440" w:header="708" w:footer="708"/>
          <w:pgNumType w:start="11"/>
          <w:cols w:space="708"/>
        </w:sectPr>
      </w:pPr>
    </w:p>
    <w:p>
      <w:pPr>
        <w:pStyle w:val="BodyText"/>
        <w:spacing w:line="536" w:lineRule="exact"/>
        <w:ind w:left="1538"/>
        <w:rPr>
          <w:rFonts w:ascii="幼圆" w:eastAsia="幼圆" w:hint="eastAsia"/>
        </w:rPr>
      </w:pPr>
      <w:r>
        <w:rPr>
          <w:rFonts w:ascii="幼圆" w:eastAsia="幼圆" w:hint="eastAsia"/>
          <w:spacing w:val="-53"/>
        </w:rPr>
        <w:t xml:space="preserve">的 </w:t>
      </w:r>
      <w:r>
        <w:rPr>
          <w:rFonts w:ascii="幼圆" w:eastAsia="幼圆" w:hint="eastAsia"/>
        </w:rPr>
        <w:t>3</w:t>
      </w:r>
      <w:r>
        <w:rPr>
          <w:rFonts w:ascii="幼圆" w:eastAsia="幼圆" w:hint="eastAsia"/>
          <w:spacing w:val="-11"/>
        </w:rPr>
        <w:t xml:space="preserve"> 类标准，声环境质量现状较好。</w:t>
      </w:r>
    </w:p>
    <w:p>
      <w:pPr>
        <w:pStyle w:val="ListParagraph"/>
        <w:numPr>
          <w:ilvl w:val="0"/>
          <w:numId w:val="14"/>
        </w:numPr>
        <w:tabs>
          <w:tab w:val="left" w:pos="3541"/>
        </w:tabs>
        <w:spacing w:before="279" w:after="0" w:line="364" w:lineRule="auto"/>
        <w:ind w:left="2484" w:right="10352" w:firstLine="0"/>
        <w:jc w:val="left"/>
        <w:rPr>
          <w:rFonts w:ascii="幼圆" w:eastAsia="幼圆" w:hint="eastAsia"/>
          <w:sz w:val="40"/>
        </w:rPr>
      </w:pPr>
      <w:r>
        <w:rPr>
          <w:rFonts w:ascii="幼圆" w:eastAsia="幼圆" w:hint="eastAsia"/>
          <w:spacing w:val="-4"/>
          <w:sz w:val="42"/>
        </w:rPr>
        <w:t>环境影响分析</w:t>
      </w:r>
      <w:r>
        <w:rPr>
          <w:rFonts w:ascii="幼圆" w:eastAsia="幼圆" w:hint="eastAsia"/>
          <w:spacing w:val="-53"/>
          <w:sz w:val="42"/>
        </w:rPr>
        <w:t>1</w:t>
      </w:r>
      <w:r>
        <w:rPr>
          <w:rFonts w:ascii="幼圆" w:eastAsia="幼圆" w:hint="eastAsia"/>
          <w:spacing w:val="-14"/>
          <w:sz w:val="42"/>
        </w:rPr>
        <w:t>.施工期</w:t>
      </w:r>
    </w:p>
    <w:p>
      <w:pPr>
        <w:pStyle w:val="BodyText"/>
        <w:tabs>
          <w:tab w:val="left" w:pos="13196"/>
        </w:tabs>
        <w:spacing w:line="364" w:lineRule="auto"/>
        <w:ind w:left="1538" w:right="2243" w:firstLine="946"/>
        <w:rPr>
          <w:rFonts w:ascii="幼圆" w:eastAsia="幼圆" w:hint="eastAsia"/>
        </w:rPr>
      </w:pPr>
      <w:r>
        <w:rPr>
          <w:rFonts w:ascii="幼圆" w:eastAsia="幼圆" w:hint="eastAsia"/>
        </w:rPr>
        <w:t>项目施工期的排放的主要污染物为建筑扬尘</w:t>
      </w:r>
      <w:r>
        <w:rPr>
          <w:rFonts w:ascii="幼圆" w:eastAsia="幼圆" w:hint="eastAsia"/>
          <w:spacing w:val="-232"/>
        </w:rPr>
        <w:t>、</w:t>
      </w:r>
      <w:r>
        <w:rPr>
          <w:rFonts w:ascii="幼圆" w:eastAsia="幼圆" w:hint="eastAsia"/>
        </w:rPr>
        <w:t>运输车辆产生的扬尘；施工废水、施工人员生活污水；施工机械产生的施工噪声；施</w:t>
      </w:r>
      <w:r>
        <w:rPr>
          <w:rFonts w:ascii="幼圆" w:eastAsia="幼圆" w:hint="eastAsia"/>
          <w:spacing w:val="-18"/>
        </w:rPr>
        <w:t>工</w:t>
      </w:r>
      <w:r>
        <w:rPr>
          <w:rFonts w:ascii="幼圆" w:eastAsia="幼圆" w:hint="eastAsia"/>
        </w:rPr>
        <w:t>弃土、弃渣和施工人员产生的生活垃圾以及拆除原有二级</w:t>
      </w:r>
      <w:r>
        <w:rPr>
          <w:rFonts w:ascii="幼圆" w:eastAsia="幼圆" w:hint="eastAsia"/>
          <w:spacing w:val="-57"/>
        </w:rPr>
        <w:t xml:space="preserve"> </w:t>
      </w:r>
      <w:r>
        <w:rPr>
          <w:rFonts w:ascii="幼圆" w:eastAsia="幼圆" w:hint="eastAsia"/>
        </w:rPr>
        <w:t>CAF</w:t>
        <w:tab/>
        <w:t>设备产生的危险废物。通过加强施工期管理，采取弃土回填、禁止夜间</w:t>
      </w:r>
      <w:r>
        <w:rPr>
          <w:rFonts w:ascii="幼圆" w:eastAsia="幼圆" w:hint="eastAsia"/>
          <w:spacing w:val="-18"/>
        </w:rPr>
        <w:t>施</w:t>
      </w:r>
      <w:r>
        <w:rPr>
          <w:rFonts w:ascii="幼圆" w:eastAsia="幼圆" w:hint="eastAsia"/>
        </w:rPr>
        <w:t>工、有效控制施工机械噪声、及时清运建筑垃圾，降低施工扬尘，</w:t>
      </w:r>
      <w:r>
        <w:rPr>
          <w:rFonts w:ascii="幼圆" w:eastAsia="幼圆" w:hint="eastAsia"/>
          <w:spacing w:val="-18"/>
        </w:rPr>
        <w:t>危</w:t>
      </w:r>
      <w:r>
        <w:rPr>
          <w:rFonts w:ascii="幼圆" w:eastAsia="幼圆" w:hint="eastAsia"/>
        </w:rPr>
        <w:t>险废物交由有资质单位处理</w:t>
      </w:r>
      <w:r>
        <w:rPr>
          <w:rFonts w:ascii="幼圆" w:eastAsia="幼圆" w:hint="eastAsia"/>
          <w:spacing w:val="-116"/>
        </w:rPr>
        <w:t>，</w:t>
      </w:r>
      <w:r>
        <w:rPr>
          <w:rFonts w:ascii="幼圆" w:eastAsia="幼圆" w:hint="eastAsia"/>
        </w:rPr>
        <w:t>在认真落实评价建议的污染防治措施的情况下</w:t>
      </w:r>
      <w:r>
        <w:rPr>
          <w:rFonts w:ascii="幼圆" w:eastAsia="幼圆" w:hint="eastAsia"/>
          <w:spacing w:val="-54"/>
        </w:rPr>
        <w:t>，</w:t>
      </w:r>
      <w:r>
        <w:rPr>
          <w:rFonts w:ascii="幼圆" w:eastAsia="幼圆" w:hint="eastAsia"/>
        </w:rPr>
        <w:t>项目施工对环境的影响会减小，施工期对周围环境的影响较小。</w:t>
      </w:r>
    </w:p>
    <w:p>
      <w:pPr>
        <w:pStyle w:val="BodyText"/>
        <w:spacing w:line="528" w:lineRule="exact"/>
        <w:ind w:left="2484"/>
        <w:rPr>
          <w:rFonts w:ascii="幼圆" w:eastAsia="幼圆" w:hint="eastAsia"/>
        </w:rPr>
      </w:pPr>
      <w:r>
        <w:rPr>
          <w:rFonts w:ascii="幼圆" w:eastAsia="幼圆" w:hint="eastAsia"/>
          <w:spacing w:val="-53"/>
        </w:rPr>
        <w:t>2</w:t>
      </w:r>
      <w:r>
        <w:rPr>
          <w:rFonts w:ascii="幼圆" w:eastAsia="幼圆" w:hint="eastAsia"/>
          <w:spacing w:val="-14"/>
        </w:rPr>
        <w:t>.运行期</w:t>
      </w:r>
    </w:p>
    <w:p>
      <w:pPr>
        <w:pStyle w:val="BodyText"/>
        <w:spacing w:before="279" w:line="364" w:lineRule="auto"/>
        <w:ind w:left="1538" w:right="2359" w:firstLine="946"/>
        <w:rPr>
          <w:rFonts w:ascii="幼圆" w:eastAsia="幼圆" w:hint="eastAsia"/>
        </w:rPr>
      </w:pPr>
      <w:r>
        <w:rPr>
          <w:rFonts w:ascii="幼圆" w:eastAsia="幼圆" w:hint="eastAsia"/>
          <w:spacing w:val="-16"/>
        </w:rPr>
        <w:t>根据环境影响预测与评价，该项目营运期排放的主要污染物为废</w:t>
      </w:r>
      <w:r>
        <w:rPr>
          <w:rFonts w:ascii="幼圆" w:eastAsia="幼圆" w:hint="eastAsia"/>
        </w:rPr>
        <w:t>气、废水、噪声和固体废物。</w:t>
      </w:r>
    </w:p>
    <w:p>
      <w:pPr>
        <w:pStyle w:val="ListParagraph"/>
        <w:numPr>
          <w:ilvl w:val="0"/>
          <w:numId w:val="7"/>
        </w:numPr>
        <w:tabs>
          <w:tab w:val="left" w:pos="3120"/>
        </w:tabs>
        <w:spacing w:before="0" w:after="0" w:line="537" w:lineRule="exact"/>
        <w:ind w:left="3119" w:right="0" w:hanging="636"/>
        <w:jc w:val="left"/>
        <w:rPr>
          <w:rFonts w:ascii="幼圆" w:eastAsia="幼圆" w:hint="eastAsia"/>
          <w:sz w:val="40"/>
        </w:rPr>
      </w:pPr>
      <w:r>
        <w:rPr>
          <w:rFonts w:ascii="幼圆" w:eastAsia="幼圆" w:hint="eastAsia"/>
          <w:sz w:val="42"/>
        </w:rPr>
        <w:t>大气环境影响评价结论：</w:t>
      </w:r>
    </w:p>
    <w:p>
      <w:pPr>
        <w:pStyle w:val="BodyText"/>
        <w:spacing w:before="279"/>
        <w:ind w:left="2484"/>
        <w:rPr>
          <w:rFonts w:ascii="幼圆" w:eastAsia="幼圆" w:hAnsi="幼圆" w:hint="eastAsia"/>
        </w:rPr>
      </w:pPr>
      <w:r>
        <w:rPr>
          <w:rFonts w:ascii="幼圆" w:eastAsia="幼圆" w:hAnsi="幼圆" w:hint="eastAsia"/>
        </w:rPr>
        <w:t>①大气环境影响</w:t>
      </w:r>
    </w:p>
    <w:p>
      <w:pPr>
        <w:pStyle w:val="BodyText"/>
        <w:spacing w:before="45" w:line="818" w:lineRule="exact"/>
        <w:ind w:left="1538" w:right="2243" w:firstLine="946"/>
        <w:jc w:val="both"/>
        <w:rPr>
          <w:rFonts w:ascii="幼圆" w:eastAsia="幼圆" w:hint="eastAsia"/>
        </w:rPr>
      </w:pPr>
      <w:r>
        <w:rPr>
          <w:rFonts w:ascii="幼圆" w:eastAsia="幼圆" w:hint="eastAsia"/>
          <w:spacing w:val="4"/>
        </w:rPr>
        <w:t>通过估算可知，恶臭污染物</w:t>
      </w:r>
      <w:r>
        <w:rPr>
          <w:rFonts w:ascii="幼圆" w:eastAsia="幼圆" w:hint="eastAsia"/>
        </w:rPr>
        <w:t>H</w:t>
      </w:r>
      <w:r>
        <w:rPr>
          <w:rFonts w:ascii="幼圆" w:eastAsia="幼圆" w:hint="eastAsia"/>
          <w:spacing w:val="-113"/>
        </w:rPr>
        <w:t xml:space="preserve"> </w:t>
      </w:r>
      <w:r>
        <w:rPr>
          <w:rFonts w:ascii="幼圆" w:eastAsia="幼圆" w:hint="eastAsia"/>
          <w:spacing w:val="11"/>
          <w:position w:val="-18"/>
          <w:sz w:val="27"/>
        </w:rPr>
        <w:t>2</w:t>
      </w:r>
      <w:r>
        <w:rPr>
          <w:rFonts w:ascii="幼圆" w:eastAsia="幼圆" w:hint="eastAsia"/>
          <w:spacing w:val="11"/>
        </w:rPr>
        <w:t>S</w:t>
      </w:r>
      <w:r>
        <w:rPr>
          <w:rFonts w:ascii="幼圆" w:eastAsia="幼圆" w:hint="eastAsia"/>
          <w:spacing w:val="-37"/>
        </w:rPr>
        <w:t>、</w:t>
      </w:r>
      <w:r>
        <w:rPr>
          <w:rFonts w:ascii="幼圆" w:eastAsia="幼圆" w:hint="eastAsia"/>
        </w:rPr>
        <w:t xml:space="preserve">NH </w:t>
      </w:r>
      <w:r>
        <w:rPr>
          <w:rFonts w:ascii="幼圆" w:eastAsia="幼圆" w:hint="eastAsia"/>
          <w:position w:val="-18"/>
          <w:sz w:val="27"/>
        </w:rPr>
        <w:t>3</w:t>
      </w:r>
      <w:r>
        <w:rPr>
          <w:rFonts w:ascii="幼圆" w:eastAsia="幼圆" w:hint="eastAsia"/>
          <w:spacing w:val="-64"/>
          <w:position w:val="-18"/>
          <w:sz w:val="27"/>
        </w:rPr>
        <w:t xml:space="preserve"> </w:t>
      </w:r>
      <w:r>
        <w:rPr>
          <w:rFonts w:ascii="幼圆" w:eastAsia="幼圆" w:hint="eastAsia"/>
        </w:rPr>
        <w:t>的贡献值较小，落地浓度</w:t>
      </w:r>
      <w:r>
        <w:rPr>
          <w:rFonts w:ascii="幼圆" w:eastAsia="幼圆" w:hint="eastAsia"/>
          <w:spacing w:val="-10"/>
        </w:rPr>
        <w:t>远低于环境标准限值，为保证恶臭厂界达标，要求企业依托原有抽风</w:t>
      </w:r>
      <w:r>
        <w:rPr>
          <w:rFonts w:ascii="幼圆" w:eastAsia="幼圆" w:hint="eastAsia"/>
          <w:spacing w:val="-12"/>
        </w:rPr>
        <w:t>系统和除臭装置，减少污染物对外环境的影响。本项目在保证环评提</w:t>
      </w:r>
      <w:r>
        <w:rPr>
          <w:rFonts w:ascii="幼圆" w:eastAsia="幼圆" w:hint="eastAsia"/>
          <w:spacing w:val="-13"/>
        </w:rPr>
        <w:t>出的大气污染防治措施正常运行的情况下，对环境空气的影响较小。</w:t>
      </w:r>
    </w:p>
    <w:p>
      <w:pPr>
        <w:pStyle w:val="BodyText"/>
        <w:spacing w:before="232"/>
        <w:ind w:left="2484"/>
        <w:rPr>
          <w:rFonts w:ascii="幼圆" w:eastAsia="幼圆" w:hAnsi="幼圆" w:hint="eastAsia"/>
        </w:rPr>
      </w:pPr>
      <w:r>
        <w:rPr>
          <w:rFonts w:ascii="幼圆" w:eastAsia="幼圆" w:hAnsi="幼圆" w:hint="eastAsia"/>
        </w:rPr>
        <w:t>②防护距离</w:t>
      </w:r>
    </w:p>
    <w:p>
      <w:pPr>
        <w:pStyle w:val="BodyText"/>
        <w:spacing w:before="279" w:line="364" w:lineRule="auto"/>
        <w:ind w:left="1538" w:right="2372" w:firstLine="946"/>
        <w:jc w:val="both"/>
        <w:rPr>
          <w:rFonts w:ascii="幼圆" w:eastAsia="幼圆" w:hint="eastAsia"/>
        </w:rPr>
      </w:pPr>
      <w:r>
        <w:rPr>
          <w:rFonts w:ascii="幼圆" w:eastAsia="幼圆" w:hint="eastAsia"/>
        </w:rPr>
        <w:t>由于本项目是在原有污水处理站基础上进行提标改造</w:t>
      </w:r>
      <w:r>
        <w:rPr>
          <w:rFonts w:ascii="幼圆" w:eastAsia="幼圆" w:hint="eastAsia"/>
          <w:spacing w:val="-51"/>
        </w:rPr>
        <w:t>，因此本次</w:t>
      </w:r>
      <w:r>
        <w:rPr>
          <w:rFonts w:ascii="幼圆" w:eastAsia="幼圆" w:hint="eastAsia"/>
          <w:spacing w:val="-8"/>
        </w:rPr>
        <w:t>对厂区内污水处理系统不新设卫生防护距离，卫生防护距离以原环评</w:t>
      </w:r>
      <w:r>
        <w:rPr>
          <w:rFonts w:ascii="幼圆" w:eastAsia="幼圆" w:hint="eastAsia"/>
          <w:spacing w:val="-36"/>
        </w:rPr>
        <w:t xml:space="preserve">中的 </w:t>
      </w:r>
      <w:r>
        <w:rPr>
          <w:rFonts w:ascii="幼圆" w:eastAsia="幼圆" w:hint="eastAsia"/>
        </w:rPr>
        <w:t>500m 卫生防护距离为准。</w:t>
      </w:r>
    </w:p>
    <w:p>
      <w:pPr>
        <w:pStyle w:val="ListParagraph"/>
        <w:numPr>
          <w:ilvl w:val="0"/>
          <w:numId w:val="7"/>
        </w:numPr>
        <w:tabs>
          <w:tab w:val="left" w:pos="3120"/>
        </w:tabs>
        <w:spacing w:before="0" w:after="0" w:line="536" w:lineRule="exact"/>
        <w:ind w:left="3119" w:right="0" w:hanging="636"/>
        <w:jc w:val="left"/>
        <w:rPr>
          <w:rFonts w:ascii="幼圆" w:eastAsia="幼圆" w:hint="eastAsia"/>
          <w:sz w:val="40"/>
        </w:rPr>
      </w:pPr>
      <w:r>
        <w:rPr>
          <w:rFonts w:ascii="幼圆" w:eastAsia="幼圆" w:hint="eastAsia"/>
          <w:sz w:val="42"/>
        </w:rPr>
        <w:t>水环境影响评价结论</w:t>
      </w:r>
    </w:p>
    <w:p>
      <w:pPr>
        <w:spacing w:after="0" w:line="536" w:lineRule="exact"/>
        <w:jc w:val="left"/>
        <w:rPr>
          <w:rFonts w:ascii="幼圆" w:eastAsia="幼圆" w:hint="eastAsia"/>
          <w:sz w:val="40"/>
        </w:rPr>
        <w:sectPr>
          <w:pgSz w:w="17860" w:h="25260"/>
          <w:pgMar w:top="1780" w:right="0" w:bottom="280" w:left="1440" w:header="708" w:footer="708"/>
          <w:pgNumType w:start="12"/>
          <w:cols w:space="708"/>
        </w:sectPr>
      </w:pPr>
    </w:p>
    <w:p>
      <w:pPr>
        <w:pStyle w:val="BodyText"/>
        <w:tabs>
          <w:tab w:val="left" w:pos="11093"/>
        </w:tabs>
        <w:spacing w:before="78" w:line="307" w:lineRule="auto"/>
        <w:ind w:left="1538" w:right="2375" w:firstLine="946"/>
      </w:pPr>
      <w:r>
        <w:t>本项目建成后，污水中石油类</w:t>
      </w:r>
      <w:r>
        <w:rPr>
          <w:spacing w:val="5"/>
        </w:rPr>
        <w:t>、</w:t>
      </w:r>
      <w:r>
        <w:rPr>
          <w:rFonts w:ascii="Times New Roman" w:eastAsia="Times New Roman"/>
        </w:rPr>
        <w:t>COD</w:t>
      </w:r>
      <w:r>
        <w:t>、</w:t>
      </w:r>
      <w:r>
        <w:rPr>
          <w:rFonts w:ascii="Times New Roman" w:eastAsia="Times New Roman"/>
        </w:rPr>
        <w:t>NH</w:t>
      </w:r>
      <w:r>
        <w:rPr>
          <w:rFonts w:ascii="Times New Roman" w:eastAsia="Times New Roman"/>
          <w:position w:val="-18"/>
          <w:sz w:val="27"/>
        </w:rPr>
        <w:t>3</w:t>
      </w:r>
      <w:r>
        <w:rPr>
          <w:rFonts w:ascii="Times New Roman" w:eastAsia="Times New Roman"/>
        </w:rPr>
        <w:t>-N</w:t>
        <w:tab/>
      </w:r>
      <w:r>
        <w:t>的排放量将比</w:t>
      </w:r>
      <w:r>
        <w:rPr>
          <w:spacing w:val="-17"/>
        </w:rPr>
        <w:t>污</w:t>
      </w:r>
      <w:r>
        <w:t>水处理工程建设前有较为明显的削减，其中石油类排放量削减了</w:t>
      </w:r>
    </w:p>
    <w:p>
      <w:pPr>
        <w:pStyle w:val="BodyText"/>
        <w:spacing w:before="127" w:line="307" w:lineRule="auto"/>
        <w:ind w:left="1538" w:right="2350"/>
      </w:pPr>
      <w:r>
        <w:rPr>
          <w:rFonts w:ascii="Times New Roman" w:eastAsia="Times New Roman"/>
          <w:spacing w:val="-7"/>
        </w:rPr>
        <w:t>11.34t/a</w:t>
      </w:r>
      <w:r>
        <w:rPr>
          <w:spacing w:val="-7"/>
        </w:rPr>
        <w:t>，</w:t>
      </w:r>
      <w:r>
        <w:rPr>
          <w:rFonts w:ascii="Times New Roman" w:eastAsia="Times New Roman"/>
          <w:spacing w:val="-7"/>
        </w:rPr>
        <w:t xml:space="preserve">COD </w:t>
      </w:r>
      <w:r>
        <w:rPr>
          <w:spacing w:val="-15"/>
        </w:rPr>
        <w:t xml:space="preserve">排放量削减了 </w:t>
      </w:r>
      <w:r>
        <w:rPr>
          <w:rFonts w:ascii="Times New Roman" w:eastAsia="Times New Roman"/>
          <w:spacing w:val="-5"/>
        </w:rPr>
        <w:t>18.9t/a</w:t>
      </w:r>
      <w:r>
        <w:rPr>
          <w:spacing w:val="-5"/>
        </w:rPr>
        <w:t>，</w:t>
      </w:r>
      <w:r>
        <w:rPr>
          <w:rFonts w:ascii="Times New Roman" w:eastAsia="Times New Roman"/>
          <w:spacing w:val="-5"/>
        </w:rPr>
        <w:t>NH</w:t>
      </w:r>
      <w:r>
        <w:rPr>
          <w:rFonts w:ascii="Times New Roman" w:eastAsia="Times New Roman"/>
          <w:spacing w:val="-5"/>
          <w:position w:val="-18"/>
          <w:sz w:val="27"/>
        </w:rPr>
        <w:t>3</w:t>
      </w:r>
      <w:r>
        <w:rPr>
          <w:rFonts w:ascii="Times New Roman" w:eastAsia="Times New Roman"/>
          <w:spacing w:val="-5"/>
        </w:rPr>
        <w:t xml:space="preserve">-N </w:t>
      </w:r>
      <w:r>
        <w:rPr>
          <w:spacing w:val="-24"/>
        </w:rPr>
        <w:t xml:space="preserve">削减了 </w:t>
      </w:r>
      <w:r>
        <w:rPr>
          <w:rFonts w:ascii="Times New Roman" w:eastAsia="Times New Roman"/>
        </w:rPr>
        <w:t>8.4t/a</w:t>
      </w:r>
      <w:r>
        <w:rPr>
          <w:spacing w:val="-12"/>
        </w:rPr>
        <w:t>。污染物排</w:t>
      </w:r>
      <w:r>
        <w:rPr>
          <w:spacing w:val="-25"/>
        </w:rPr>
        <w:t xml:space="preserve">放达到了 </w:t>
      </w:r>
      <w:r>
        <w:rPr>
          <w:rFonts w:ascii="Times New Roman" w:eastAsia="Times New Roman"/>
        </w:rPr>
        <w:t>DB61/224-2011</w:t>
      </w:r>
      <w:r>
        <w:rPr>
          <w:spacing w:val="-1"/>
        </w:rPr>
        <w:t>《污水综合排放标准》一级标准。因此项目</w:t>
      </w:r>
    </w:p>
    <w:p>
      <w:pPr>
        <w:pStyle w:val="BodyText"/>
        <w:spacing w:before="127"/>
        <w:ind w:left="1538"/>
      </w:pPr>
      <w:r>
        <w:t>建成后对水环境起到改善作用。</w:t>
      </w:r>
    </w:p>
    <w:p>
      <w:pPr>
        <w:pStyle w:val="ListParagraph"/>
        <w:numPr>
          <w:ilvl w:val="0"/>
          <w:numId w:val="15"/>
        </w:numPr>
        <w:tabs>
          <w:tab w:val="left" w:pos="3120"/>
        </w:tabs>
        <w:spacing w:before="279" w:after="0" w:line="240" w:lineRule="auto"/>
        <w:ind w:left="3119" w:right="0" w:hanging="636"/>
        <w:jc w:val="left"/>
        <w:rPr>
          <w:rFonts w:ascii="Times New Roman" w:eastAsia="Times New Roman"/>
          <w:sz w:val="40"/>
        </w:rPr>
      </w:pPr>
      <w:r>
        <w:rPr>
          <w:sz w:val="42"/>
        </w:rPr>
        <w:t>声环境影响评价结论：</w:t>
      </w:r>
    </w:p>
    <w:p>
      <w:pPr>
        <w:pStyle w:val="BodyText"/>
        <w:spacing w:before="279" w:line="364" w:lineRule="auto"/>
        <w:ind w:left="1538" w:right="2147" w:firstLine="946"/>
      </w:pPr>
      <w:r>
        <w:rPr>
          <w:spacing w:val="-14"/>
        </w:rPr>
        <w:t>该项目主要生产噪声设备有风机、机泵等，在落实环评提出的各</w:t>
      </w:r>
      <w:r>
        <w:rPr>
          <w:spacing w:val="-21"/>
        </w:rPr>
        <w:t xml:space="preserve">项措施后，可保证厂界达标，同时本项目周边无居民区等环境敏感点， </w:t>
      </w:r>
      <w:r>
        <w:t>因此声环境影响小。</w:t>
      </w:r>
    </w:p>
    <w:p>
      <w:pPr>
        <w:pStyle w:val="ListParagraph"/>
        <w:numPr>
          <w:ilvl w:val="0"/>
          <w:numId w:val="15"/>
        </w:numPr>
        <w:tabs>
          <w:tab w:val="left" w:pos="3120"/>
        </w:tabs>
        <w:spacing w:before="0" w:after="0" w:line="537" w:lineRule="exact"/>
        <w:ind w:left="3119" w:right="0" w:hanging="636"/>
        <w:jc w:val="left"/>
        <w:rPr>
          <w:rFonts w:ascii="Times New Roman" w:eastAsia="Times New Roman"/>
          <w:sz w:val="40"/>
        </w:rPr>
      </w:pPr>
      <w:r>
        <w:rPr>
          <w:sz w:val="42"/>
        </w:rPr>
        <w:t>固废环境影响评价结论：</w:t>
      </w:r>
    </w:p>
    <w:p>
      <w:pPr>
        <w:pStyle w:val="BodyText"/>
        <w:spacing w:before="279" w:line="364" w:lineRule="auto"/>
        <w:ind w:left="1538" w:right="2243" w:firstLine="946"/>
      </w:pPr>
      <w:r>
        <w:rPr>
          <w:spacing w:val="-10"/>
        </w:rPr>
        <w:t>本工程产生的固废主要是污水处理站产生的气浮渣、油泥、剩余</w:t>
      </w:r>
      <w:r>
        <w:rPr>
          <w:spacing w:val="-11"/>
        </w:rPr>
        <w:t>活性污泥、废催化剂和生活垃圾。其中剩余活性污泥、气浮渣和油泥</w:t>
      </w:r>
      <w:r>
        <w:rPr>
          <w:spacing w:val="-7"/>
        </w:rPr>
        <w:t>交由有资质单位处理，废催化剂送厂家回收利用，生活垃圾由环卫部门统一处理。</w:t>
      </w:r>
    </w:p>
    <w:p>
      <w:pPr>
        <w:pStyle w:val="BodyText"/>
        <w:spacing w:line="532" w:lineRule="exact"/>
        <w:ind w:left="2484"/>
      </w:pPr>
      <w:r>
        <w:t>在采取上述污染防治措施的前提下，固体废物对环境影响较小。</w:t>
      </w:r>
    </w:p>
    <w:p>
      <w:pPr>
        <w:pStyle w:val="ListParagraph"/>
        <w:numPr>
          <w:ilvl w:val="0"/>
          <w:numId w:val="15"/>
        </w:numPr>
        <w:tabs>
          <w:tab w:val="left" w:pos="3120"/>
        </w:tabs>
        <w:spacing w:before="279" w:after="0" w:line="240" w:lineRule="auto"/>
        <w:ind w:left="3119" w:right="0" w:hanging="636"/>
        <w:jc w:val="left"/>
        <w:rPr>
          <w:rFonts w:ascii="Times New Roman" w:eastAsia="Times New Roman"/>
          <w:sz w:val="40"/>
        </w:rPr>
      </w:pPr>
      <w:r>
        <w:rPr>
          <w:sz w:val="42"/>
        </w:rPr>
        <w:t>事故风险分析</w:t>
      </w:r>
    </w:p>
    <w:p>
      <w:pPr>
        <w:pStyle w:val="BodyText"/>
        <w:spacing w:before="279" w:line="364" w:lineRule="auto"/>
        <w:ind w:left="1538" w:right="2162" w:firstLine="946"/>
        <w:jc w:val="both"/>
      </w:pPr>
      <w:r>
        <w:rPr>
          <w:spacing w:val="-12"/>
        </w:rPr>
        <w:t>运营期对外界水环境主要为正面影响，即污水得到有效处理，使</w:t>
      </w:r>
      <w:r>
        <w:rPr>
          <w:spacing w:val="-10"/>
        </w:rPr>
        <w:t>纳污水体</w:t>
      </w:r>
      <w:r>
        <w:rPr>
          <w:rFonts w:ascii="幼圆" w:eastAsia="幼圆" w:hAnsi="幼圆" w:hint="eastAsia"/>
        </w:rPr>
        <w:t>——</w:t>
      </w:r>
      <w:r>
        <w:rPr>
          <w:spacing w:val="-11"/>
        </w:rPr>
        <w:t>渭河水质得到有效改善。但污水处理厂事故情况下会对</w:t>
      </w:r>
      <w:r>
        <w:rPr>
          <w:spacing w:val="-14"/>
        </w:rPr>
        <w:t>纳污水体产生一定的影响。为此要求建设单位应制定严格的操作、检修制度，加强对一线操作人员和维修人员的定期培训，关键设备设置备用设备，保证设备的正常运行；在设计采用双路供电，防止因突发</w:t>
      </w:r>
      <w:r>
        <w:rPr>
          <w:spacing w:val="-25"/>
        </w:rPr>
        <w:t xml:space="preserve">事件而造成污水处理厂停运；在排放口设置自动监测，进行实施监控， </w:t>
      </w:r>
      <w:r>
        <w:t>杜绝污水不经处理直接排放。</w:t>
      </w:r>
    </w:p>
    <w:p>
      <w:pPr>
        <w:pStyle w:val="BodyText"/>
        <w:spacing w:line="364" w:lineRule="auto"/>
        <w:ind w:left="2484" w:right="2139"/>
      </w:pPr>
      <w:r>
        <w:t>在采取上述风险防范措施的前提下，事故风险地环境影响较小。综上所述，中国石油长庆石化公司污水排放标准升级改造项目建</w:t>
      </w:r>
    </w:p>
    <w:p>
      <w:pPr>
        <w:spacing w:after="0" w:line="364" w:lineRule="auto"/>
        <w:sectPr>
          <w:pgSz w:w="17860" w:h="25260"/>
          <w:pgMar w:top="1700" w:right="0" w:bottom="280" w:left="1440" w:header="708" w:footer="708"/>
          <w:pgNumType w:start="13"/>
          <w:cols w:space="708"/>
        </w:sectPr>
      </w:pPr>
    </w:p>
    <w:p>
      <w:pPr>
        <w:pStyle w:val="BodyText"/>
        <w:spacing w:before="78" w:line="307" w:lineRule="auto"/>
        <w:ind w:left="1538" w:right="2358"/>
      </w:pPr>
      <w:r>
        <w:rPr>
          <w:spacing w:val="-16"/>
        </w:rPr>
        <w:t>成后石油类、</w:t>
      </w:r>
      <w:r>
        <w:rPr>
          <w:rFonts w:ascii="Times New Roman" w:eastAsia="Times New Roman"/>
        </w:rPr>
        <w:t>COD</w:t>
      </w:r>
      <w:r>
        <w:rPr>
          <w:spacing w:val="-90"/>
        </w:rPr>
        <w:t>、</w:t>
      </w:r>
      <w:r>
        <w:rPr>
          <w:rFonts w:ascii="Times New Roman" w:eastAsia="Times New Roman"/>
        </w:rPr>
        <w:t>NH</w:t>
      </w:r>
      <w:r>
        <w:rPr>
          <w:rFonts w:ascii="Times New Roman" w:eastAsia="Times New Roman"/>
          <w:position w:val="-18"/>
          <w:sz w:val="27"/>
        </w:rPr>
        <w:t>3</w:t>
      </w:r>
      <w:r>
        <w:rPr>
          <w:rFonts w:ascii="Times New Roman" w:eastAsia="Times New Roman"/>
        </w:rPr>
        <w:t xml:space="preserve">-N </w:t>
      </w:r>
      <w:r>
        <w:rPr>
          <w:spacing w:val="-1"/>
        </w:rPr>
        <w:t>的排放量将比污水处理工程建设前有较为</w:t>
      </w:r>
      <w:r>
        <w:rPr>
          <w:spacing w:val="4"/>
        </w:rPr>
        <w:t>明显的削减，其中石油类排放量削减了</w:t>
      </w:r>
      <w:r>
        <w:rPr>
          <w:rFonts w:ascii="Times New Roman" w:eastAsia="Times New Roman"/>
          <w:spacing w:val="-3"/>
        </w:rPr>
        <w:t>11.34t/a</w:t>
      </w:r>
      <w:r>
        <w:rPr>
          <w:spacing w:val="-3"/>
        </w:rPr>
        <w:t>，</w:t>
      </w:r>
      <w:r>
        <w:rPr>
          <w:rFonts w:ascii="Times New Roman" w:eastAsia="Times New Roman"/>
          <w:spacing w:val="-3"/>
        </w:rPr>
        <w:t xml:space="preserve">COD </w:t>
      </w:r>
      <w:r>
        <w:t>排放量削减了</w:t>
      </w:r>
    </w:p>
    <w:p>
      <w:pPr>
        <w:pStyle w:val="BodyText"/>
        <w:spacing w:before="127" w:line="307" w:lineRule="auto"/>
        <w:ind w:left="1538" w:right="2368"/>
      </w:pPr>
      <w:r>
        <w:rPr>
          <w:rFonts w:ascii="Times New Roman" w:eastAsia="Times New Roman" w:hAnsi="Times New Roman"/>
        </w:rPr>
        <w:t>18.9t/a</w:t>
      </w:r>
      <w:r>
        <w:t>，</w:t>
      </w:r>
      <w:r>
        <w:rPr>
          <w:rFonts w:ascii="Times New Roman" w:eastAsia="Times New Roman" w:hAnsi="Times New Roman"/>
        </w:rPr>
        <w:t>NH</w:t>
      </w:r>
      <w:r>
        <w:rPr>
          <w:rFonts w:ascii="Times New Roman" w:eastAsia="Times New Roman" w:hAnsi="Times New Roman"/>
          <w:position w:val="-18"/>
          <w:sz w:val="27"/>
        </w:rPr>
        <w:t>3</w:t>
      </w:r>
      <w:r>
        <w:rPr>
          <w:rFonts w:ascii="Times New Roman" w:eastAsia="Times New Roman" w:hAnsi="Times New Roman"/>
        </w:rPr>
        <w:t>-N</w:t>
      </w:r>
      <w:r>
        <w:rPr>
          <w:rFonts w:ascii="Times New Roman" w:eastAsia="Times New Roman" w:hAnsi="Times New Roman"/>
          <w:spacing w:val="103"/>
        </w:rPr>
        <w:t xml:space="preserve"> </w:t>
      </w:r>
      <w:r>
        <w:rPr>
          <w:spacing w:val="-1"/>
        </w:rPr>
        <w:t xml:space="preserve">削减了 </w:t>
      </w:r>
      <w:r>
        <w:rPr>
          <w:rFonts w:ascii="Times New Roman" w:eastAsia="Times New Roman" w:hAnsi="Times New Roman"/>
        </w:rPr>
        <w:t>8.4t/a</w:t>
      </w:r>
      <w:r>
        <w:rPr>
          <w:spacing w:val="-2"/>
        </w:rPr>
        <w:t>，减少对纳污水体</w:t>
      </w:r>
      <w:r>
        <w:rPr>
          <w:rFonts w:ascii="Times New Roman" w:eastAsia="Times New Roman" w:hAnsi="Times New Roman"/>
        </w:rPr>
        <w:t>——</w:t>
      </w:r>
      <w:r>
        <w:rPr>
          <w:spacing w:val="-3"/>
        </w:rPr>
        <w:t>渭河的污染，项</w:t>
      </w:r>
      <w:r>
        <w:t>目建设符合国家和地方产业政策、符合《咸阳市城市总体规划》</w:t>
      </w:r>
    </w:p>
    <w:p>
      <w:pPr>
        <w:pStyle w:val="BodyText"/>
        <w:tabs>
          <w:tab w:val="left" w:pos="4007"/>
        </w:tabs>
        <w:spacing w:before="127" w:line="364" w:lineRule="auto"/>
        <w:ind w:left="1538" w:right="2243"/>
      </w:pPr>
      <w:r>
        <w:rPr>
          <w:spacing w:val="7"/>
          <w:w w:val="100"/>
        </w:rPr>
        <w:t>（</w:t>
      </w:r>
      <w:r>
        <w:rPr>
          <w:rFonts w:ascii="Times New Roman" w:eastAsia="Times New Roman" w:hAnsi="Times New Roman"/>
          <w:w w:val="100"/>
        </w:rPr>
        <w:t>2006-2020</w:t>
      </w:r>
      <w:r>
        <w:rPr>
          <w:rFonts w:ascii="Times New Roman" w:eastAsia="Times New Roman" w:hAnsi="Times New Roman"/>
        </w:rPr>
        <w:tab/>
      </w:r>
      <w:r>
        <w:rPr>
          <w:w w:val="100"/>
        </w:rPr>
        <w:t>年</w:t>
      </w:r>
      <w:r>
        <w:rPr>
          <w:spacing w:val="-195"/>
          <w:w w:val="100"/>
        </w:rPr>
        <w:t>）</w:t>
      </w:r>
      <w:r>
        <w:rPr>
          <w:w w:val="100"/>
        </w:rPr>
        <w:t>；项目运行过程中产生的</w:t>
      </w:r>
      <w:r>
        <w:rPr>
          <w:spacing w:val="-125"/>
        </w:rPr>
        <w:t xml:space="preserve"> </w:t>
      </w:r>
      <w:r>
        <w:rPr>
          <w:rFonts w:ascii="Times New Roman" w:eastAsia="Times New Roman" w:hAnsi="Times New Roman"/>
          <w:spacing w:val="3"/>
          <w:w w:val="100"/>
        </w:rPr>
        <w:t>“</w:t>
      </w:r>
      <w:r>
        <w:rPr>
          <w:spacing w:val="7"/>
          <w:w w:val="100"/>
        </w:rPr>
        <w:t>三废</w:t>
      </w:r>
      <w:r>
        <w:rPr>
          <w:rFonts w:ascii="Times New Roman" w:eastAsia="Times New Roman" w:hAnsi="Times New Roman"/>
          <w:spacing w:val="7"/>
          <w:w w:val="100"/>
        </w:rPr>
        <w:t>”</w:t>
      </w:r>
      <w:r>
        <w:rPr>
          <w:w w:val="100"/>
        </w:rPr>
        <w:t>都有相应的处理措</w:t>
      </w:r>
      <w:r>
        <w:rPr>
          <w:spacing w:val="-1"/>
        </w:rPr>
        <w:t>施，排放的污染物均可以达标排放；项目实施后，促进了中水回用的</w:t>
      </w:r>
      <w:r>
        <w:rPr>
          <w:spacing w:val="-10"/>
        </w:rPr>
        <w:t xml:space="preserve">实施，减少了 </w:t>
      </w:r>
      <w:r>
        <w:rPr>
          <w:rFonts w:ascii="Times New Roman" w:eastAsia="Times New Roman" w:hAnsi="Times New Roman"/>
        </w:rPr>
        <w:t>COD</w:t>
      </w:r>
      <w:r>
        <w:rPr>
          <w:rFonts w:ascii="Times New Roman" w:eastAsia="Times New Roman" w:hAnsi="Times New Roman"/>
          <w:spacing w:val="37"/>
        </w:rPr>
        <w:t xml:space="preserve"> </w:t>
      </w:r>
      <w:r>
        <w:t>的排放，降低了污水排放对渭河水质的污染，所</w:t>
      </w:r>
      <w:r>
        <w:rPr>
          <w:spacing w:val="-1"/>
        </w:rPr>
        <w:t>以，在建设单位认真落实相应的环保措施的前提下，加强管理，从环</w:t>
      </w:r>
      <w:r>
        <w:t>保角度考虑，本项目建设是可行的。</w:t>
      </w:r>
    </w:p>
    <w:p>
      <w:pPr>
        <w:pStyle w:val="Heading2"/>
        <w:numPr>
          <w:ilvl w:val="1"/>
          <w:numId w:val="6"/>
        </w:numPr>
        <w:tabs>
          <w:tab w:val="left" w:pos="2168"/>
        </w:tabs>
        <w:spacing w:before="0" w:after="0" w:line="535" w:lineRule="exact"/>
        <w:ind w:left="2167" w:right="0" w:hanging="630"/>
        <w:jc w:val="left"/>
        <w:rPr>
          <w:rFonts w:ascii="Arial" w:eastAsia="Arial"/>
        </w:rPr>
      </w:pPr>
      <w:r>
        <w:t>环境影响评价要求与建议</w:t>
      </w:r>
    </w:p>
    <w:p>
      <w:pPr>
        <w:pStyle w:val="ListParagraph"/>
        <w:numPr>
          <w:ilvl w:val="2"/>
          <w:numId w:val="6"/>
        </w:numPr>
        <w:tabs>
          <w:tab w:val="left" w:pos="3408"/>
        </w:tabs>
        <w:spacing w:before="279" w:after="0" w:line="364" w:lineRule="auto"/>
        <w:ind w:left="1538" w:right="2348" w:firstLine="806"/>
        <w:jc w:val="both"/>
        <w:rPr>
          <w:sz w:val="42"/>
        </w:rPr>
      </w:pPr>
      <w:r>
        <w:rPr>
          <w:sz w:val="42"/>
        </w:rPr>
        <w:t>该项目在建设过程中，必须严格按照国家有关建设项目环</w:t>
      </w:r>
      <w:r>
        <w:rPr>
          <w:spacing w:val="-12"/>
          <w:sz w:val="42"/>
        </w:rPr>
        <w:t>保管理规定，执行建设项目须配套建设的环境保护高施与主体工程同</w:t>
      </w:r>
      <w:r>
        <w:rPr>
          <w:spacing w:val="-4"/>
          <w:sz w:val="42"/>
        </w:rPr>
        <w:t>时设计、同时施工、同时投产使用的</w:t>
      </w:r>
      <w:r>
        <w:rPr>
          <w:rFonts w:ascii="Times New Roman" w:eastAsia="Times New Roman" w:hAnsi="Times New Roman"/>
          <w:spacing w:val="-4"/>
          <w:sz w:val="42"/>
        </w:rPr>
        <w:t>“</w:t>
      </w:r>
      <w:r>
        <w:rPr>
          <w:sz w:val="42"/>
        </w:rPr>
        <w:t>三同时</w:t>
      </w:r>
      <w:r>
        <w:rPr>
          <w:rFonts w:ascii="Times New Roman" w:eastAsia="Times New Roman" w:hAnsi="Times New Roman"/>
          <w:spacing w:val="-4"/>
          <w:sz w:val="42"/>
        </w:rPr>
        <w:t>”</w:t>
      </w:r>
      <w:r>
        <w:rPr>
          <w:spacing w:val="-2"/>
          <w:sz w:val="42"/>
        </w:rPr>
        <w:t>制度。各类污染物的排</w:t>
      </w:r>
      <w:r>
        <w:rPr>
          <w:sz w:val="42"/>
        </w:rPr>
        <w:t>放应执行本次环评规定的标准。</w:t>
      </w:r>
    </w:p>
    <w:p>
      <w:pPr>
        <w:pStyle w:val="ListParagraph"/>
        <w:numPr>
          <w:ilvl w:val="2"/>
          <w:numId w:val="6"/>
        </w:numPr>
        <w:tabs>
          <w:tab w:val="left" w:pos="3408"/>
        </w:tabs>
        <w:spacing w:before="0" w:after="0" w:line="364" w:lineRule="auto"/>
        <w:ind w:left="1538" w:right="2481" w:firstLine="806"/>
        <w:jc w:val="left"/>
        <w:rPr>
          <w:sz w:val="42"/>
        </w:rPr>
      </w:pPr>
      <w:r>
        <w:rPr>
          <w:spacing w:val="-1"/>
          <w:sz w:val="42"/>
        </w:rPr>
        <w:t>在项目施工期间，易产生扬尘的环节要采用洒水消尘等方</w:t>
      </w:r>
      <w:r>
        <w:rPr>
          <w:sz w:val="42"/>
        </w:rPr>
        <w:t>法，以减少因施工而产生的扬尘对附近区域影响。</w:t>
      </w:r>
    </w:p>
    <w:p>
      <w:pPr>
        <w:pStyle w:val="ListParagraph"/>
        <w:numPr>
          <w:ilvl w:val="2"/>
          <w:numId w:val="6"/>
        </w:numPr>
        <w:tabs>
          <w:tab w:val="left" w:pos="3408"/>
        </w:tabs>
        <w:spacing w:before="0" w:after="0" w:line="364" w:lineRule="auto"/>
        <w:ind w:left="1538" w:right="2243" w:firstLine="806"/>
        <w:jc w:val="left"/>
        <w:rPr>
          <w:sz w:val="42"/>
        </w:rPr>
      </w:pPr>
      <w:r>
        <w:rPr>
          <w:sz w:val="42"/>
        </w:rPr>
        <w:t>选用低噪声设备、减振、隔声措施；对高噪声设备安装消声器、防振垫；利用建（构）</w:t>
      </w:r>
      <w:r>
        <w:rPr>
          <w:spacing w:val="-2"/>
          <w:sz w:val="42"/>
        </w:rPr>
        <w:t>筑物及绿化隔声降噪。加强管理，减少</w:t>
      </w:r>
      <w:r>
        <w:rPr>
          <w:spacing w:val="-1"/>
          <w:sz w:val="42"/>
        </w:rPr>
        <w:t xml:space="preserve">机械设备、铲车、运输车辆突发噪声排放，切实落实噪声防治措施， </w:t>
      </w:r>
      <w:r>
        <w:rPr>
          <w:sz w:val="42"/>
        </w:rPr>
        <w:t>保证噪声厂界达标排放，尽量避免夜间生产。</w:t>
      </w:r>
    </w:p>
    <w:p>
      <w:pPr>
        <w:pStyle w:val="ListParagraph"/>
        <w:numPr>
          <w:ilvl w:val="2"/>
          <w:numId w:val="6"/>
        </w:numPr>
        <w:tabs>
          <w:tab w:val="left" w:pos="3408"/>
        </w:tabs>
        <w:spacing w:before="0" w:after="0" w:line="364" w:lineRule="auto"/>
        <w:ind w:left="1538" w:right="2243" w:firstLine="806"/>
        <w:jc w:val="left"/>
        <w:rPr>
          <w:sz w:val="42"/>
        </w:rPr>
      </w:pPr>
      <w:r>
        <w:rPr>
          <w:sz w:val="42"/>
        </w:rPr>
        <w:t>尽量缩短污水处理站施工工期，施工期间厂区生产和生活废水排放须满足《黄河流域（陕西段）</w:t>
      </w:r>
      <w:r>
        <w:rPr>
          <w:spacing w:val="-2"/>
          <w:sz w:val="42"/>
        </w:rPr>
        <w:t>污水综合排放标准》中的一级</w:t>
      </w:r>
      <w:r>
        <w:rPr>
          <w:spacing w:val="34"/>
          <w:sz w:val="42"/>
        </w:rPr>
        <w:t>标准和</w:t>
      </w:r>
      <w:r>
        <w:rPr>
          <w:rFonts w:ascii="Times New Roman" w:eastAsia="Times New Roman"/>
          <w:sz w:val="42"/>
        </w:rPr>
        <w:t>GB8978-96</w:t>
      </w:r>
      <w:r>
        <w:rPr>
          <w:sz w:val="42"/>
        </w:rPr>
        <w:t>《污水综合排放标准》一级标准。</w:t>
      </w:r>
    </w:p>
    <w:p>
      <w:pPr>
        <w:pStyle w:val="ListParagraph"/>
        <w:numPr>
          <w:ilvl w:val="2"/>
          <w:numId w:val="6"/>
        </w:numPr>
        <w:tabs>
          <w:tab w:val="left" w:pos="3408"/>
        </w:tabs>
        <w:spacing w:before="0" w:after="0" w:line="364" w:lineRule="auto"/>
        <w:ind w:left="1538" w:right="2163" w:firstLine="806"/>
        <w:jc w:val="left"/>
        <w:rPr>
          <w:sz w:val="42"/>
        </w:rPr>
      </w:pPr>
      <w:r>
        <w:rPr>
          <w:sz w:val="42"/>
        </w:rPr>
        <w:t>厂区及其周边区域的绿化对减缓该项目对周边环境污染具</w:t>
      </w:r>
      <w:r>
        <w:rPr>
          <w:spacing w:val="-21"/>
          <w:sz w:val="42"/>
        </w:rPr>
        <w:t>有重要的意义；企业应加强厂区、厂界的绿化工作，合理种植乔灌木，</w:t>
      </w:r>
    </w:p>
    <w:p>
      <w:pPr>
        <w:spacing w:after="0" w:line="364" w:lineRule="auto"/>
        <w:jc w:val="left"/>
        <w:rPr>
          <w:sz w:val="42"/>
        </w:rPr>
        <w:sectPr>
          <w:pgSz w:w="17860" w:h="25260"/>
          <w:pgMar w:top="1700" w:right="0" w:bottom="280" w:left="1440" w:header="708" w:footer="708"/>
          <w:pgNumType w:start="14"/>
          <w:cols w:space="708"/>
        </w:sectPr>
      </w:pPr>
    </w:p>
    <w:p>
      <w:pPr>
        <w:pStyle w:val="BodyText"/>
        <w:spacing w:before="18"/>
        <w:ind w:left="1538"/>
      </w:pPr>
      <w:r>
        <w:t>争取建成为花园式工厂。</w:t>
      </w:r>
    </w:p>
    <w:p>
      <w:pPr>
        <w:pStyle w:val="ListParagraph"/>
        <w:numPr>
          <w:ilvl w:val="1"/>
          <w:numId w:val="6"/>
        </w:numPr>
        <w:tabs>
          <w:tab w:val="left" w:pos="2168"/>
        </w:tabs>
        <w:spacing w:before="280" w:after="0" w:line="364" w:lineRule="auto"/>
        <w:ind w:left="2344" w:right="10880" w:hanging="807"/>
        <w:jc w:val="left"/>
        <w:rPr>
          <w:rFonts w:ascii="Arial" w:eastAsia="Arial"/>
          <w:sz w:val="42"/>
        </w:rPr>
      </w:pPr>
      <w:r>
        <w:rPr>
          <w:b/>
          <w:sz w:val="42"/>
        </w:rPr>
        <w:t>环评批复（全文</w:t>
      </w:r>
      <w:r>
        <w:rPr>
          <w:b/>
          <w:spacing w:val="-17"/>
          <w:sz w:val="42"/>
        </w:rPr>
        <w:t xml:space="preserve">） </w:t>
      </w:r>
      <w:r>
        <w:rPr>
          <w:sz w:val="42"/>
        </w:rPr>
        <w:t>一、项目概况</w:t>
      </w:r>
    </w:p>
    <w:p>
      <w:pPr>
        <w:pStyle w:val="BodyText"/>
        <w:spacing w:line="364" w:lineRule="auto"/>
        <w:ind w:left="1538" w:right="2162" w:firstLine="806"/>
        <w:jc w:val="both"/>
      </w:pPr>
      <w:r>
        <w:t xml:space="preserve">中国石油长庆石化公司对现有的污水处理设施站进行技术改造， </w:t>
      </w:r>
      <w:r>
        <w:rPr>
          <w:spacing w:val="-18"/>
        </w:rPr>
        <w:t xml:space="preserve">技术改造内容包括：改造二级气浮设施，新增 </w:t>
      </w:r>
      <w:r>
        <w:rPr>
          <w:rFonts w:ascii="Arial" w:eastAsia="Arial" w:hAnsi="Arial"/>
        </w:rPr>
        <w:t>ADAF</w:t>
      </w:r>
      <w:r>
        <w:rPr>
          <w:rFonts w:ascii="Arial" w:eastAsia="Arial" w:hAnsi="Arial"/>
          <w:spacing w:val="-12"/>
        </w:rPr>
        <w:t xml:space="preserve"> </w:t>
      </w:r>
      <w:r>
        <w:rPr>
          <w:spacing w:val="-26"/>
        </w:rPr>
        <w:t xml:space="preserve">气浮机 </w:t>
      </w:r>
      <w:r>
        <w:rPr>
          <w:rFonts w:ascii="Arial" w:eastAsia="Arial" w:hAnsi="Arial"/>
        </w:rPr>
        <w:t>4</w:t>
      </w:r>
      <w:r>
        <w:rPr>
          <w:rFonts w:ascii="Arial" w:eastAsia="Arial" w:hAnsi="Arial"/>
          <w:spacing w:val="-5"/>
        </w:rPr>
        <w:t xml:space="preserve"> </w:t>
      </w:r>
      <w:r>
        <w:rPr>
          <w:spacing w:val="-69"/>
        </w:rPr>
        <w:t>套</w:t>
      </w:r>
      <w:r>
        <w:t>（处</w:t>
      </w:r>
      <w:r>
        <w:rPr>
          <w:w w:val="100"/>
        </w:rPr>
        <w:t>理能力为</w:t>
      </w:r>
      <w:r>
        <w:rPr>
          <w:spacing w:val="-110"/>
        </w:rPr>
        <w:t xml:space="preserve"> </w:t>
      </w:r>
      <w:r>
        <w:rPr>
          <w:rFonts w:ascii="Arial" w:eastAsia="Arial" w:hAnsi="Arial"/>
          <w:w w:val="93"/>
        </w:rPr>
        <w:t>4</w:t>
      </w:r>
      <w:r>
        <w:rPr>
          <w:rFonts w:ascii="Arial" w:eastAsia="Arial" w:hAnsi="Arial"/>
          <w:spacing w:val="-2"/>
          <w:w w:val="93"/>
        </w:rPr>
        <w:t>×</w:t>
      </w:r>
      <w:r>
        <w:rPr>
          <w:rFonts w:ascii="Arial" w:eastAsia="Arial" w:hAnsi="Arial"/>
          <w:w w:val="90"/>
        </w:rPr>
        <w:t>100</w:t>
      </w:r>
      <w:r>
        <w:rPr>
          <w:rFonts w:ascii="Arial" w:eastAsia="Arial" w:hAnsi="Arial"/>
          <w:spacing w:val="-12"/>
        </w:rPr>
        <w:t xml:space="preserve"> </w:t>
      </w:r>
      <w:r>
        <w:rPr>
          <w:rFonts w:ascii="Arial" w:eastAsia="Arial" w:hAnsi="Arial"/>
          <w:spacing w:val="-6"/>
          <w:w w:val="93"/>
        </w:rPr>
        <w:t>m</w:t>
      </w:r>
      <w:r>
        <w:rPr>
          <w:rFonts w:ascii="Arial" w:eastAsia="Arial" w:hAnsi="Arial"/>
          <w:spacing w:val="2"/>
          <w:w w:val="89"/>
          <w:position w:val="6"/>
          <w:sz w:val="27"/>
        </w:rPr>
        <w:t>3</w:t>
      </w:r>
      <w:r>
        <w:rPr>
          <w:rFonts w:ascii="Arial" w:eastAsia="Arial" w:hAnsi="Arial"/>
          <w:w w:val="93"/>
        </w:rPr>
        <w:t>/</w:t>
      </w:r>
      <w:r>
        <w:rPr>
          <w:rFonts w:ascii="Arial" w:eastAsia="Arial" w:hAnsi="Arial"/>
          <w:spacing w:val="3"/>
          <w:w w:val="93"/>
        </w:rPr>
        <w:t>d</w:t>
      </w:r>
      <w:r>
        <w:rPr>
          <w:spacing w:val="-202"/>
          <w:w w:val="100"/>
        </w:rPr>
        <w:t>）</w:t>
      </w:r>
      <w:r>
        <w:rPr>
          <w:w w:val="100"/>
        </w:rPr>
        <w:t>及新建</w:t>
      </w:r>
      <w:r>
        <w:rPr>
          <w:spacing w:val="-106"/>
        </w:rPr>
        <w:t xml:space="preserve"> </w:t>
      </w:r>
      <w:r>
        <w:rPr>
          <w:rFonts w:ascii="Arial" w:eastAsia="Arial" w:hAnsi="Arial"/>
          <w:w w:val="92"/>
        </w:rPr>
        <w:t>RO</w:t>
      </w:r>
      <w:r>
        <w:rPr>
          <w:rFonts w:ascii="Arial" w:eastAsia="Arial" w:hAnsi="Arial"/>
          <w:spacing w:val="-15"/>
        </w:rPr>
        <w:t xml:space="preserve"> </w:t>
      </w:r>
      <w:r>
        <w:rPr>
          <w:spacing w:val="-35"/>
          <w:w w:val="100"/>
        </w:rPr>
        <w:t>浓水处理装置</w:t>
      </w:r>
      <w:r>
        <w:rPr>
          <w:w w:val="100"/>
        </w:rPr>
        <w:t>（处理能力</w:t>
      </w:r>
      <w:r>
        <w:rPr>
          <w:spacing w:val="-111"/>
        </w:rPr>
        <w:t xml:space="preserve"> </w:t>
      </w:r>
      <w:r>
        <w:rPr>
          <w:rFonts w:ascii="Arial" w:eastAsia="Arial" w:hAnsi="Arial"/>
          <w:w w:val="90"/>
        </w:rPr>
        <w:t>120</w:t>
      </w:r>
      <w:r>
        <w:rPr>
          <w:rFonts w:ascii="Arial" w:eastAsia="Arial" w:hAnsi="Arial"/>
          <w:spacing w:val="-12"/>
        </w:rPr>
        <w:t xml:space="preserve"> </w:t>
      </w:r>
      <w:r>
        <w:rPr>
          <w:rFonts w:ascii="Arial" w:eastAsia="Arial" w:hAnsi="Arial"/>
          <w:spacing w:val="-9"/>
          <w:w w:val="93"/>
        </w:rPr>
        <w:t>m</w:t>
      </w:r>
      <w:r>
        <w:rPr>
          <w:rFonts w:ascii="Arial" w:eastAsia="Arial" w:hAnsi="Arial"/>
          <w:spacing w:val="-1"/>
          <w:w w:val="89"/>
          <w:position w:val="6"/>
          <w:sz w:val="27"/>
        </w:rPr>
        <w:t>3</w:t>
      </w:r>
      <w:r>
        <w:rPr>
          <w:rFonts w:ascii="Arial" w:eastAsia="Arial" w:hAnsi="Arial"/>
          <w:spacing w:val="-2"/>
          <w:w w:val="93"/>
        </w:rPr>
        <w:t>/</w:t>
      </w:r>
      <w:r>
        <w:rPr>
          <w:rFonts w:ascii="Arial" w:eastAsia="Arial" w:hAnsi="Arial"/>
          <w:spacing w:val="-3"/>
          <w:w w:val="93"/>
        </w:rPr>
        <w:t>d</w:t>
      </w:r>
      <w:r>
        <w:rPr>
          <w:spacing w:val="-211"/>
          <w:w w:val="100"/>
        </w:rPr>
        <w:t>）</w:t>
      </w:r>
      <w:r>
        <w:rPr>
          <w:spacing w:val="-2"/>
          <w:w w:val="100"/>
        </w:rPr>
        <w:t>，</w:t>
      </w:r>
      <w:r>
        <w:t>给排水、循环水、供电、供风等系统全部依托现有设施，项目总投资</w:t>
      </w:r>
      <w:r>
        <w:rPr>
          <w:rFonts w:ascii="Arial" w:eastAsia="Arial" w:hAnsi="Arial"/>
        </w:rPr>
        <w:t>2625.44</w:t>
      </w:r>
      <w:r>
        <w:rPr>
          <w:rFonts w:ascii="Arial" w:eastAsia="Arial" w:hAnsi="Arial"/>
          <w:spacing w:val="-17"/>
        </w:rPr>
        <w:t xml:space="preserve"> </w:t>
      </w:r>
      <w:r>
        <w:t>万元，总投资全部记为环保投资。</w:t>
      </w:r>
    </w:p>
    <w:p>
      <w:pPr>
        <w:pStyle w:val="BodyText"/>
        <w:spacing w:line="364" w:lineRule="auto"/>
        <w:ind w:left="1538" w:right="2243" w:firstLine="806"/>
        <w:jc w:val="both"/>
      </w:pPr>
      <w:r>
        <w:rPr>
          <w:spacing w:val="-34"/>
        </w:rPr>
        <w:t xml:space="preserve">依据 </w:t>
      </w:r>
      <w:r>
        <w:rPr>
          <w:rFonts w:ascii="Arial" w:eastAsia="Arial"/>
        </w:rPr>
        <w:t xml:space="preserve">2013 </w:t>
      </w:r>
      <w:r>
        <w:rPr>
          <w:spacing w:val="-50"/>
        </w:rPr>
        <w:t xml:space="preserve">年 </w:t>
      </w:r>
      <w:r>
        <w:rPr>
          <w:rFonts w:ascii="Arial" w:eastAsia="Arial"/>
        </w:rPr>
        <w:t xml:space="preserve">7 </w:t>
      </w:r>
      <w:r>
        <w:rPr>
          <w:spacing w:val="-50"/>
        </w:rPr>
        <w:t xml:space="preserve">月 </w:t>
      </w:r>
      <w:r>
        <w:rPr>
          <w:rFonts w:ascii="Arial" w:eastAsia="Arial"/>
        </w:rPr>
        <w:t xml:space="preserve">7 </w:t>
      </w:r>
      <w:r>
        <w:t>日专家技术评审会专家意见和渭城区环保分</w:t>
      </w:r>
      <w:r>
        <w:rPr>
          <w:spacing w:val="-1"/>
        </w:rPr>
        <w:t>局出具的建设的预审意见，项目在全面落实《报告表》提出的各项环</w:t>
      </w:r>
      <w:r>
        <w:t>境污染防治措施和本批复要求的前提下，我局同意项目建设。</w:t>
      </w:r>
    </w:p>
    <w:p>
      <w:pPr>
        <w:pStyle w:val="BodyText"/>
        <w:spacing w:line="532" w:lineRule="exact"/>
        <w:ind w:left="2344"/>
      </w:pPr>
      <w:r>
        <w:t>二、项目在设计、建设、运营过程中必须重点落实的几项工作</w:t>
      </w:r>
    </w:p>
    <w:p>
      <w:pPr>
        <w:pStyle w:val="BodyText"/>
        <w:spacing w:before="274" w:line="364" w:lineRule="auto"/>
        <w:ind w:left="1538" w:right="2145" w:firstLine="806"/>
      </w:pPr>
      <w:r>
        <w:t>（一）强化施工期环境管理措施。按照规定的作业时间作业，确</w:t>
      </w:r>
      <w:r>
        <w:rPr>
          <w:spacing w:val="-14"/>
          <w:w w:val="100"/>
        </w:rPr>
        <w:t>保施工噪声达到</w:t>
      </w:r>
      <w:r>
        <w:rPr>
          <w:spacing w:val="1"/>
          <w:w w:val="100"/>
        </w:rPr>
        <w:t>（</w:t>
      </w:r>
      <w:r>
        <w:rPr>
          <w:rFonts w:ascii="Arial" w:eastAsia="Arial"/>
          <w:w w:val="92"/>
        </w:rPr>
        <w:t>GB12523-201</w:t>
      </w:r>
      <w:r>
        <w:rPr>
          <w:rFonts w:ascii="Arial" w:eastAsia="Arial"/>
          <w:spacing w:val="-25"/>
          <w:w w:val="90"/>
        </w:rPr>
        <w:t>1</w:t>
      </w:r>
      <w:r>
        <w:rPr>
          <w:spacing w:val="-299"/>
          <w:w w:val="100"/>
        </w:rPr>
        <w:t>）</w:t>
      </w:r>
      <w:r>
        <w:rPr>
          <w:spacing w:val="-2"/>
          <w:w w:val="100"/>
        </w:rPr>
        <w:t>《建筑施工场界环境噪声排放标准》</w:t>
      </w:r>
      <w:r>
        <w:rPr>
          <w:spacing w:val="-4"/>
        </w:rPr>
        <w:t xml:space="preserve">要求，施工区域要及时进行清扫，拆除 </w:t>
      </w:r>
      <w:r>
        <w:rPr>
          <w:rFonts w:ascii="Arial" w:eastAsia="Arial"/>
        </w:rPr>
        <w:t>CAF</w:t>
      </w:r>
      <w:r>
        <w:rPr>
          <w:rFonts w:ascii="Arial" w:eastAsia="Arial"/>
          <w:spacing w:val="53"/>
        </w:rPr>
        <w:t xml:space="preserve"> </w:t>
      </w:r>
      <w:r>
        <w:t>设备，产生的危险废物</w:t>
      </w:r>
      <w:r>
        <w:rPr>
          <w:spacing w:val="-9"/>
        </w:rPr>
        <w:t>必须交有资质的单位进行处置，强化污水设施正常运行并确保施工期污水达标排放。</w:t>
      </w:r>
    </w:p>
    <w:p>
      <w:pPr>
        <w:pStyle w:val="BodyText"/>
        <w:spacing w:line="364" w:lineRule="auto"/>
        <w:ind w:left="1538" w:right="2165" w:firstLine="806"/>
        <w:jc w:val="both"/>
      </w:pPr>
      <w:r>
        <w:t>（二）严格按照设计规范要求进行项目技改建设。优化项目设计</w:t>
      </w:r>
      <w:r>
        <w:rPr>
          <w:spacing w:val="-19"/>
        </w:rPr>
        <w:t xml:space="preserve">方案，严格按照设计要求曾设 </w:t>
      </w:r>
      <w:r>
        <w:rPr>
          <w:rFonts w:ascii="Arial" w:eastAsia="Arial"/>
        </w:rPr>
        <w:t xml:space="preserve">4 </w:t>
      </w:r>
      <w:r>
        <w:rPr>
          <w:spacing w:val="104"/>
        </w:rPr>
        <w:t>套</w:t>
      </w:r>
      <w:r>
        <w:rPr>
          <w:rFonts w:ascii="Arial" w:eastAsia="Arial"/>
        </w:rPr>
        <w:t xml:space="preserve">ADAF </w:t>
      </w:r>
      <w:r>
        <w:rPr>
          <w:spacing w:val="-11"/>
        </w:rPr>
        <w:t>气浮机。对二级气浮设施进</w:t>
      </w:r>
      <w:r>
        <w:rPr>
          <w:spacing w:val="-19"/>
        </w:rPr>
        <w:t xml:space="preserve">行技改，同时新建一套处理能力为 </w:t>
      </w:r>
      <w:r>
        <w:rPr>
          <w:rFonts w:ascii="Arial" w:eastAsia="Arial"/>
        </w:rPr>
        <w:t>120 m</w:t>
      </w:r>
      <w:r>
        <w:rPr>
          <w:rFonts w:ascii="Arial" w:eastAsia="Arial"/>
          <w:position w:val="6"/>
          <w:sz w:val="27"/>
        </w:rPr>
        <w:t>3</w:t>
      </w:r>
      <w:r>
        <w:rPr>
          <w:rFonts w:ascii="Arial" w:eastAsia="Arial"/>
        </w:rPr>
        <w:t xml:space="preserve">/d </w:t>
      </w:r>
      <w:r>
        <w:rPr>
          <w:spacing w:val="104"/>
        </w:rPr>
        <w:t>的</w:t>
      </w:r>
      <w:r>
        <w:rPr>
          <w:rFonts w:ascii="Arial" w:eastAsia="Arial"/>
        </w:rPr>
        <w:t xml:space="preserve">RO </w:t>
      </w:r>
      <w:r>
        <w:rPr>
          <w:spacing w:val="-9"/>
        </w:rPr>
        <w:t>浓水处理装置，确</w:t>
      </w:r>
      <w:r>
        <w:rPr>
          <w:spacing w:val="-9"/>
          <w:w w:val="100"/>
        </w:rPr>
        <w:t>保污染物排放达到</w:t>
      </w:r>
      <w:r>
        <w:rPr>
          <w:spacing w:val="-32"/>
          <w:w w:val="100"/>
        </w:rPr>
        <w:t>（</w:t>
      </w:r>
      <w:r>
        <w:rPr>
          <w:rFonts w:ascii="Arial" w:eastAsia="Arial"/>
          <w:w w:val="93"/>
        </w:rPr>
        <w:t>DB61/224-201</w:t>
      </w:r>
      <w:r>
        <w:rPr>
          <w:rFonts w:ascii="Arial" w:eastAsia="Arial"/>
          <w:spacing w:val="-23"/>
          <w:w w:val="90"/>
        </w:rPr>
        <w:t>1</w:t>
      </w:r>
      <w:r>
        <w:rPr>
          <w:spacing w:val="-235"/>
          <w:w w:val="100"/>
        </w:rPr>
        <w:t>）</w:t>
      </w:r>
      <w:r>
        <w:rPr>
          <w:w w:val="100"/>
        </w:rPr>
        <w:t>《黄河流域（陕西段）污水综合</w:t>
      </w:r>
      <w:r>
        <w:rPr>
          <w:spacing w:val="-32"/>
          <w:w w:val="95"/>
        </w:rPr>
        <w:t>排放标准》一级标准，该标准未涉及的污染物种类执行</w:t>
      </w:r>
      <w:r>
        <w:rPr>
          <w:spacing w:val="-3"/>
          <w:w w:val="95"/>
        </w:rPr>
        <w:t>（</w:t>
      </w:r>
      <w:r>
        <w:rPr>
          <w:rFonts w:ascii="Arial" w:eastAsia="Arial"/>
          <w:spacing w:val="-3"/>
          <w:w w:val="95"/>
        </w:rPr>
        <w:t>GB8979-1996</w:t>
      </w:r>
      <w:r>
        <w:rPr>
          <w:spacing w:val="-3"/>
          <w:w w:val="95"/>
        </w:rPr>
        <w:t>）</w:t>
      </w:r>
    </w:p>
    <w:p>
      <w:pPr>
        <w:pStyle w:val="BodyText"/>
        <w:spacing w:line="535" w:lineRule="exact"/>
        <w:ind w:left="1538"/>
      </w:pPr>
      <w:r>
        <w:t>《污水综合排放标准》一级标准。</w:t>
      </w:r>
    </w:p>
    <w:p>
      <w:pPr>
        <w:pStyle w:val="BodyText"/>
        <w:spacing w:before="276" w:line="364" w:lineRule="auto"/>
        <w:ind w:left="1538" w:right="2165" w:firstLine="806"/>
      </w:pPr>
      <w:r>
        <w:t>（三）落实恶臭气体污染防治措施。依托原有抽风，采用全过程</w:t>
      </w:r>
      <w:r>
        <w:rPr>
          <w:spacing w:val="-17"/>
          <w:w w:val="100"/>
        </w:rPr>
        <w:t>除臭工艺，恶臭去除率达到</w:t>
      </w:r>
      <w:r>
        <w:rPr>
          <w:spacing w:val="-112"/>
        </w:rPr>
        <w:t xml:space="preserve"> </w:t>
      </w:r>
      <w:r>
        <w:rPr>
          <w:rFonts w:ascii="Arial" w:eastAsia="Arial"/>
          <w:w w:val="90"/>
        </w:rPr>
        <w:t>9</w:t>
      </w:r>
      <w:r>
        <w:rPr>
          <w:rFonts w:ascii="Arial" w:eastAsia="Arial"/>
          <w:spacing w:val="-1"/>
          <w:w w:val="90"/>
        </w:rPr>
        <w:t>5</w:t>
      </w:r>
      <w:r>
        <w:rPr>
          <w:spacing w:val="-37"/>
          <w:w w:val="100"/>
        </w:rPr>
        <w:t>％，确保废气排放符合</w:t>
      </w:r>
      <w:r>
        <w:rPr>
          <w:spacing w:val="-1"/>
          <w:w w:val="100"/>
        </w:rPr>
        <w:t>（</w:t>
      </w:r>
      <w:r>
        <w:rPr>
          <w:rFonts w:ascii="Arial" w:eastAsia="Arial"/>
          <w:spacing w:val="-2"/>
          <w:w w:val="91"/>
        </w:rPr>
        <w:t>GB18918-200</w:t>
      </w:r>
      <w:r>
        <w:rPr>
          <w:rFonts w:ascii="Arial" w:eastAsia="Arial"/>
          <w:spacing w:val="-12"/>
          <w:w w:val="91"/>
        </w:rPr>
        <w:t>2</w:t>
      </w:r>
      <w:r>
        <w:rPr>
          <w:spacing w:val="-2"/>
          <w:w w:val="100"/>
        </w:rPr>
        <w:t>）</w:t>
      </w:r>
    </w:p>
    <w:p>
      <w:pPr>
        <w:spacing w:after="0" w:line="36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https://d.book118.com/405134142203011041</w:t>
        </w:r>
      </w:hyperlink>
    </w:p>
    <w:p>
      <w:pPr>
        <w:spacing w:after="0" w:line="364" w:lineRule="auto"/>
      </w:pPr>
    </w:p>
    <w:sectPr>
      <w:pgSz w:w="17860" w:h="25260"/>
      <w:pgMar w:top="1760" w:right="0" w:bottom="280" w:left="1440" w:header="708" w:footer="708"/>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Bookman Old Style">
    <w:altName w:val="Bookman Old Style"/>
    <w:charset w:val="00"/>
    <w:family w:val="roman"/>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FCCB"/>
    <w:multiLevelType w:val="hybridMultilevel"/>
    <w:tmpl w:val="00000000"/>
    <w:lvl w:ilvl="0">
      <w:start w:val="26"/>
      <w:numFmt w:val="decimal"/>
      <w:lvlText w:val="%1"/>
      <w:lvlJc w:val="left"/>
      <w:pPr>
        <w:ind w:left="1685" w:hanging="573"/>
        <w:jc w:val="left"/>
      </w:pPr>
      <w:rPr>
        <w:rFonts w:ascii="Times New Roman" w:eastAsia="Times New Roman" w:hAnsi="Times New Roman" w:cs="Times New Roman" w:hint="default"/>
        <w:w w:val="100"/>
        <w:sz w:val="42"/>
        <w:szCs w:val="42"/>
      </w:rPr>
    </w:lvl>
    <w:lvl w:ilvl="1">
      <w:start w:val="1"/>
      <w:numFmt w:val="decimal"/>
      <w:lvlText w:val="%1.%2"/>
      <w:lvlJc w:val="left"/>
      <w:pPr>
        <w:ind w:left="2610" w:hanging="659"/>
        <w:jc w:val="left"/>
      </w:pPr>
      <w:rPr>
        <w:rFonts w:hint="default"/>
        <w:w w:val="90"/>
      </w:rPr>
    </w:lvl>
    <w:lvl w:ilvl="2">
      <w:start w:val="0"/>
      <w:numFmt w:val="bullet"/>
      <w:lvlText w:val="•"/>
      <w:lvlJc w:val="left"/>
      <w:pPr>
        <w:ind w:left="4153" w:hanging="659"/>
      </w:pPr>
      <w:rPr>
        <w:rFonts w:hint="default"/>
      </w:rPr>
    </w:lvl>
    <w:lvl w:ilvl="3">
      <w:start w:val="0"/>
      <w:numFmt w:val="bullet"/>
      <w:lvlText w:val="•"/>
      <w:lvlJc w:val="left"/>
      <w:pPr>
        <w:ind w:left="5686" w:hanging="659"/>
      </w:pPr>
      <w:rPr>
        <w:rFonts w:hint="default"/>
      </w:rPr>
    </w:lvl>
    <w:lvl w:ilvl="4">
      <w:start w:val="0"/>
      <w:numFmt w:val="bullet"/>
      <w:lvlText w:val="•"/>
      <w:lvlJc w:val="left"/>
      <w:pPr>
        <w:ind w:left="7219" w:hanging="659"/>
      </w:pPr>
      <w:rPr>
        <w:rFonts w:hint="default"/>
      </w:rPr>
    </w:lvl>
    <w:lvl w:ilvl="5">
      <w:start w:val="0"/>
      <w:numFmt w:val="bullet"/>
      <w:lvlText w:val="•"/>
      <w:lvlJc w:val="left"/>
      <w:pPr>
        <w:ind w:left="8753" w:hanging="659"/>
      </w:pPr>
      <w:rPr>
        <w:rFonts w:hint="default"/>
      </w:rPr>
    </w:lvl>
    <w:lvl w:ilvl="6">
      <w:start w:val="0"/>
      <w:numFmt w:val="bullet"/>
      <w:lvlText w:val="•"/>
      <w:lvlJc w:val="left"/>
      <w:pPr>
        <w:ind w:left="10286" w:hanging="659"/>
      </w:pPr>
      <w:rPr>
        <w:rFonts w:hint="default"/>
      </w:rPr>
    </w:lvl>
    <w:lvl w:ilvl="7">
      <w:start w:val="0"/>
      <w:numFmt w:val="bullet"/>
      <w:lvlText w:val="•"/>
      <w:lvlJc w:val="left"/>
      <w:pPr>
        <w:ind w:left="11819" w:hanging="659"/>
      </w:pPr>
      <w:rPr>
        <w:rFonts w:hint="default"/>
      </w:rPr>
    </w:lvl>
    <w:lvl w:ilvl="8">
      <w:start w:val="0"/>
      <w:numFmt w:val="bullet"/>
      <w:lvlText w:val="•"/>
      <w:lvlJc w:val="left"/>
      <w:pPr>
        <w:ind w:left="13353" w:hanging="659"/>
      </w:pPr>
      <w:rPr>
        <w:rFonts w:hint="default"/>
      </w:rPr>
    </w:lvl>
  </w:abstractNum>
  <w:abstractNum w:abstractNumId="1">
    <w:nsid w:val="021223B4"/>
    <w:multiLevelType w:val="hybridMultilevel"/>
    <w:tmpl w:val="00000000"/>
    <w:lvl w:ilvl="0">
      <w:start w:val="10"/>
      <w:numFmt w:val="decimal"/>
      <w:lvlText w:val="%1"/>
      <w:lvlJc w:val="left"/>
      <w:pPr>
        <w:ind w:left="2319" w:hanging="843"/>
        <w:jc w:val="left"/>
      </w:pPr>
      <w:rPr>
        <w:rFonts w:hint="default"/>
      </w:rPr>
    </w:lvl>
    <w:lvl w:ilvl="1">
      <w:start w:val="1"/>
      <w:numFmt w:val="decimal"/>
      <w:lvlText w:val="%1.%2"/>
      <w:lvlJc w:val="left"/>
      <w:pPr>
        <w:ind w:left="2319" w:hanging="843"/>
        <w:jc w:val="left"/>
      </w:pPr>
      <w:rPr>
        <w:rFonts w:hint="default"/>
        <w:b/>
        <w:bCs/>
        <w:w w:val="90"/>
      </w:rPr>
    </w:lvl>
    <w:lvl w:ilvl="2">
      <w:start w:val="1"/>
      <w:numFmt w:val="decimal"/>
      <w:lvlText w:val="%1.%2.%3"/>
      <w:lvlJc w:val="left"/>
      <w:pPr>
        <w:ind w:left="1538" w:hanging="1160"/>
        <w:jc w:val="right"/>
      </w:pPr>
      <w:rPr>
        <w:rFonts w:ascii="Arial" w:eastAsia="Arial" w:hAnsi="Arial" w:cs="Arial" w:hint="default"/>
        <w:w w:val="90"/>
        <w:sz w:val="42"/>
        <w:szCs w:val="42"/>
      </w:rPr>
    </w:lvl>
    <w:lvl w:ilvl="3">
      <w:start w:val="0"/>
      <w:numFmt w:val="bullet"/>
      <w:lvlText w:val="•"/>
      <w:lvlJc w:val="left"/>
      <w:pPr>
        <w:ind w:left="5453" w:hanging="1160"/>
      </w:pPr>
      <w:rPr>
        <w:rFonts w:hint="default"/>
      </w:rPr>
    </w:lvl>
    <w:lvl w:ilvl="4">
      <w:start w:val="0"/>
      <w:numFmt w:val="bullet"/>
      <w:lvlText w:val="•"/>
      <w:lvlJc w:val="left"/>
      <w:pPr>
        <w:ind w:left="7019" w:hanging="1160"/>
      </w:pPr>
      <w:rPr>
        <w:rFonts w:hint="default"/>
      </w:rPr>
    </w:lvl>
    <w:lvl w:ilvl="5">
      <w:start w:val="0"/>
      <w:numFmt w:val="bullet"/>
      <w:lvlText w:val="•"/>
      <w:lvlJc w:val="left"/>
      <w:pPr>
        <w:ind w:left="8586" w:hanging="1160"/>
      </w:pPr>
      <w:rPr>
        <w:rFonts w:hint="default"/>
      </w:rPr>
    </w:lvl>
    <w:lvl w:ilvl="6">
      <w:start w:val="0"/>
      <w:numFmt w:val="bullet"/>
      <w:lvlText w:val="•"/>
      <w:lvlJc w:val="left"/>
      <w:pPr>
        <w:ind w:left="10153" w:hanging="1160"/>
      </w:pPr>
      <w:rPr>
        <w:rFonts w:hint="default"/>
      </w:rPr>
    </w:lvl>
    <w:lvl w:ilvl="7">
      <w:start w:val="0"/>
      <w:numFmt w:val="bullet"/>
      <w:lvlText w:val="•"/>
      <w:lvlJc w:val="left"/>
      <w:pPr>
        <w:ind w:left="11719" w:hanging="1160"/>
      </w:pPr>
      <w:rPr>
        <w:rFonts w:hint="default"/>
      </w:rPr>
    </w:lvl>
    <w:lvl w:ilvl="8">
      <w:start w:val="0"/>
      <w:numFmt w:val="bullet"/>
      <w:lvlText w:val="•"/>
      <w:lvlJc w:val="left"/>
      <w:pPr>
        <w:ind w:left="13286" w:hanging="1160"/>
      </w:pPr>
      <w:rPr>
        <w:rFonts w:hint="default"/>
      </w:rPr>
    </w:lvl>
  </w:abstractNum>
  <w:abstractNum w:abstractNumId="2">
    <w:nsid w:val="07318CE4"/>
    <w:multiLevelType w:val="hybridMultilevel"/>
    <w:tmpl w:val="00000000"/>
    <w:lvl w:ilvl="0">
      <w:start w:val="26"/>
      <w:numFmt w:val="decimal"/>
      <w:lvlText w:val="%1"/>
      <w:lvlJc w:val="left"/>
      <w:pPr>
        <w:ind w:left="1685" w:hanging="573"/>
        <w:jc w:val="left"/>
      </w:pPr>
      <w:rPr>
        <w:rFonts w:ascii="Times New Roman" w:eastAsia="Times New Roman" w:hAnsi="Times New Roman" w:cs="Times New Roman" w:hint="default"/>
        <w:w w:val="100"/>
        <w:sz w:val="42"/>
        <w:szCs w:val="42"/>
      </w:rPr>
    </w:lvl>
    <w:lvl w:ilvl="1">
      <w:start w:val="1"/>
      <w:numFmt w:val="decimal"/>
      <w:lvlText w:val="%1.%2"/>
      <w:lvlJc w:val="left"/>
      <w:pPr>
        <w:ind w:left="2610" w:hanging="659"/>
        <w:jc w:val="left"/>
      </w:pPr>
      <w:rPr>
        <w:rFonts w:hint="default"/>
        <w:w w:val="90"/>
      </w:rPr>
    </w:lvl>
    <w:lvl w:ilvl="2">
      <w:start w:val="0"/>
      <w:numFmt w:val="bullet"/>
      <w:lvlText w:val="•"/>
      <w:lvlJc w:val="left"/>
      <w:pPr>
        <w:ind w:left="4153" w:hanging="659"/>
      </w:pPr>
      <w:rPr>
        <w:rFonts w:hint="default"/>
      </w:rPr>
    </w:lvl>
    <w:lvl w:ilvl="3">
      <w:start w:val="0"/>
      <w:numFmt w:val="bullet"/>
      <w:lvlText w:val="•"/>
      <w:lvlJc w:val="left"/>
      <w:pPr>
        <w:ind w:left="5686" w:hanging="659"/>
      </w:pPr>
      <w:rPr>
        <w:rFonts w:hint="default"/>
      </w:rPr>
    </w:lvl>
    <w:lvl w:ilvl="4">
      <w:start w:val="0"/>
      <w:numFmt w:val="bullet"/>
      <w:lvlText w:val="•"/>
      <w:lvlJc w:val="left"/>
      <w:pPr>
        <w:ind w:left="7219" w:hanging="659"/>
      </w:pPr>
      <w:rPr>
        <w:rFonts w:hint="default"/>
      </w:rPr>
    </w:lvl>
    <w:lvl w:ilvl="5">
      <w:start w:val="0"/>
      <w:numFmt w:val="bullet"/>
      <w:lvlText w:val="•"/>
      <w:lvlJc w:val="left"/>
      <w:pPr>
        <w:ind w:left="8753" w:hanging="659"/>
      </w:pPr>
      <w:rPr>
        <w:rFonts w:hint="default"/>
      </w:rPr>
    </w:lvl>
    <w:lvl w:ilvl="6">
      <w:start w:val="0"/>
      <w:numFmt w:val="bullet"/>
      <w:lvlText w:val="•"/>
      <w:lvlJc w:val="left"/>
      <w:pPr>
        <w:ind w:left="10286" w:hanging="659"/>
      </w:pPr>
      <w:rPr>
        <w:rFonts w:hint="default"/>
      </w:rPr>
    </w:lvl>
    <w:lvl w:ilvl="7">
      <w:start w:val="0"/>
      <w:numFmt w:val="bullet"/>
      <w:lvlText w:val="•"/>
      <w:lvlJc w:val="left"/>
      <w:pPr>
        <w:ind w:left="11819" w:hanging="659"/>
      </w:pPr>
      <w:rPr>
        <w:rFonts w:hint="default"/>
      </w:rPr>
    </w:lvl>
    <w:lvl w:ilvl="8">
      <w:start w:val="0"/>
      <w:numFmt w:val="bullet"/>
      <w:lvlText w:val="•"/>
      <w:lvlJc w:val="left"/>
      <w:pPr>
        <w:ind w:left="13353" w:hanging="659"/>
      </w:pPr>
      <w:rPr>
        <w:rFonts w:hint="default"/>
      </w:rPr>
    </w:lvl>
  </w:abstractNum>
  <w:abstractNum w:abstractNumId="3">
    <w:nsid w:val="0BA5FFB6"/>
    <w:multiLevelType w:val="hybridMultilevel"/>
    <w:tmpl w:val="00000000"/>
    <w:lvl w:ilvl="0">
      <w:start w:val="11"/>
      <w:numFmt w:val="decimal"/>
      <w:lvlText w:val="%1"/>
      <w:lvlJc w:val="left"/>
      <w:pPr>
        <w:ind w:left="1930" w:hanging="817"/>
        <w:jc w:val="left"/>
      </w:pPr>
      <w:rPr>
        <w:rFonts w:hint="default"/>
      </w:rPr>
    </w:lvl>
    <w:lvl w:ilvl="1">
      <w:start w:val="1"/>
      <w:numFmt w:val="decimal"/>
      <w:lvlText w:val="%1.%2"/>
      <w:lvlJc w:val="left"/>
      <w:pPr>
        <w:ind w:left="1930" w:hanging="817"/>
        <w:jc w:val="left"/>
      </w:pPr>
      <w:rPr>
        <w:rFonts w:ascii="Arial" w:eastAsia="Arial" w:hAnsi="Arial" w:cs="Arial" w:hint="default"/>
        <w:b/>
        <w:bCs/>
        <w:w w:val="90"/>
        <w:sz w:val="42"/>
        <w:szCs w:val="42"/>
      </w:rPr>
    </w:lvl>
    <w:lvl w:ilvl="2">
      <w:start w:val="0"/>
      <w:numFmt w:val="bullet"/>
      <w:lvlText w:val="•"/>
      <w:lvlJc w:val="left"/>
      <w:pPr>
        <w:ind w:left="4835" w:hanging="817"/>
      </w:pPr>
      <w:rPr>
        <w:rFonts w:hint="default"/>
      </w:rPr>
    </w:lvl>
    <w:lvl w:ilvl="3">
      <w:start w:val="0"/>
      <w:numFmt w:val="bullet"/>
      <w:lvlText w:val="•"/>
      <w:lvlJc w:val="left"/>
      <w:pPr>
        <w:ind w:left="6283" w:hanging="817"/>
      </w:pPr>
      <w:rPr>
        <w:rFonts w:hint="default"/>
      </w:rPr>
    </w:lvl>
    <w:lvl w:ilvl="4">
      <w:start w:val="0"/>
      <w:numFmt w:val="bullet"/>
      <w:lvlText w:val="•"/>
      <w:lvlJc w:val="left"/>
      <w:pPr>
        <w:ind w:left="7731" w:hanging="817"/>
      </w:pPr>
      <w:rPr>
        <w:rFonts w:hint="default"/>
      </w:rPr>
    </w:lvl>
    <w:lvl w:ilvl="5">
      <w:start w:val="0"/>
      <w:numFmt w:val="bullet"/>
      <w:lvlText w:val="•"/>
      <w:lvlJc w:val="left"/>
      <w:pPr>
        <w:ind w:left="9179" w:hanging="817"/>
      </w:pPr>
      <w:rPr>
        <w:rFonts w:hint="default"/>
      </w:rPr>
    </w:lvl>
    <w:lvl w:ilvl="6">
      <w:start w:val="0"/>
      <w:numFmt w:val="bullet"/>
      <w:lvlText w:val="•"/>
      <w:lvlJc w:val="left"/>
      <w:pPr>
        <w:ind w:left="10627" w:hanging="817"/>
      </w:pPr>
      <w:rPr>
        <w:rFonts w:hint="default"/>
      </w:rPr>
    </w:lvl>
    <w:lvl w:ilvl="7">
      <w:start w:val="0"/>
      <w:numFmt w:val="bullet"/>
      <w:lvlText w:val="•"/>
      <w:lvlJc w:val="left"/>
      <w:pPr>
        <w:ind w:left="12075" w:hanging="817"/>
      </w:pPr>
      <w:rPr>
        <w:rFonts w:hint="default"/>
      </w:rPr>
    </w:lvl>
    <w:lvl w:ilvl="8">
      <w:start w:val="0"/>
      <w:numFmt w:val="bullet"/>
      <w:lvlText w:val="•"/>
      <w:lvlJc w:val="left"/>
      <w:pPr>
        <w:ind w:left="13523" w:hanging="817"/>
      </w:pPr>
      <w:rPr>
        <w:rFonts w:hint="default"/>
      </w:rPr>
    </w:lvl>
  </w:abstractNum>
  <w:abstractNum w:abstractNumId="4">
    <w:nsid w:val="0E7C7D26"/>
    <w:multiLevelType w:val="hybridMultilevel"/>
    <w:tmpl w:val="00000000"/>
    <w:lvl w:ilvl="0">
      <w:start w:val="3"/>
      <w:numFmt w:val="decimal"/>
      <w:lvlText w:val="%1"/>
      <w:lvlJc w:val="left"/>
      <w:pPr>
        <w:ind w:left="1743" w:hanging="630"/>
        <w:jc w:val="left"/>
      </w:pPr>
      <w:rPr>
        <w:rFonts w:hint="default"/>
      </w:rPr>
    </w:lvl>
    <w:lvl w:ilvl="1">
      <w:start w:val="1"/>
      <w:numFmt w:val="decimal"/>
      <w:lvlText w:val="%1.%2"/>
      <w:lvlJc w:val="left"/>
      <w:pPr>
        <w:ind w:left="1743" w:hanging="630"/>
        <w:jc w:val="left"/>
      </w:pPr>
      <w:rPr>
        <w:rFonts w:hint="default"/>
        <w:b/>
        <w:bCs/>
        <w:w w:val="90"/>
      </w:rPr>
    </w:lvl>
    <w:lvl w:ilvl="2">
      <w:start w:val="1"/>
      <w:numFmt w:val="decimal"/>
      <w:lvlText w:val="%1.%2.%3"/>
      <w:lvlJc w:val="left"/>
      <w:pPr>
        <w:ind w:left="2866" w:hanging="947"/>
        <w:jc w:val="left"/>
      </w:pPr>
      <w:rPr>
        <w:rFonts w:ascii="Times New Roman" w:eastAsia="Times New Roman" w:hAnsi="Times New Roman" w:cs="Times New Roman" w:hint="default"/>
        <w:w w:val="100"/>
        <w:sz w:val="42"/>
        <w:szCs w:val="42"/>
      </w:rPr>
    </w:lvl>
    <w:lvl w:ilvl="3">
      <w:start w:val="0"/>
      <w:numFmt w:val="bullet"/>
      <w:lvlText w:val="•"/>
      <w:lvlJc w:val="left"/>
      <w:pPr>
        <w:ind w:left="5873" w:hanging="947"/>
      </w:pPr>
      <w:rPr>
        <w:rFonts w:hint="default"/>
      </w:rPr>
    </w:lvl>
    <w:lvl w:ilvl="4">
      <w:start w:val="0"/>
      <w:numFmt w:val="bullet"/>
      <w:lvlText w:val="•"/>
      <w:lvlJc w:val="left"/>
      <w:pPr>
        <w:ind w:left="7379" w:hanging="947"/>
      </w:pPr>
      <w:rPr>
        <w:rFonts w:hint="default"/>
      </w:rPr>
    </w:lvl>
    <w:lvl w:ilvl="5">
      <w:start w:val="0"/>
      <w:numFmt w:val="bullet"/>
      <w:lvlText w:val="•"/>
      <w:lvlJc w:val="left"/>
      <w:pPr>
        <w:ind w:left="8886" w:hanging="947"/>
      </w:pPr>
      <w:rPr>
        <w:rFonts w:hint="default"/>
      </w:rPr>
    </w:lvl>
    <w:lvl w:ilvl="6">
      <w:start w:val="0"/>
      <w:numFmt w:val="bullet"/>
      <w:lvlText w:val="•"/>
      <w:lvlJc w:val="left"/>
      <w:pPr>
        <w:ind w:left="10393" w:hanging="947"/>
      </w:pPr>
      <w:rPr>
        <w:rFonts w:hint="default"/>
      </w:rPr>
    </w:lvl>
    <w:lvl w:ilvl="7">
      <w:start w:val="0"/>
      <w:numFmt w:val="bullet"/>
      <w:lvlText w:val="•"/>
      <w:lvlJc w:val="left"/>
      <w:pPr>
        <w:ind w:left="11899" w:hanging="947"/>
      </w:pPr>
      <w:rPr>
        <w:rFonts w:hint="default"/>
      </w:rPr>
    </w:lvl>
    <w:lvl w:ilvl="8">
      <w:start w:val="0"/>
      <w:numFmt w:val="bullet"/>
      <w:lvlText w:val="•"/>
      <w:lvlJc w:val="left"/>
      <w:pPr>
        <w:ind w:left="13406" w:hanging="947"/>
      </w:pPr>
      <w:rPr>
        <w:rFonts w:hint="default"/>
      </w:rPr>
    </w:lvl>
  </w:abstractNum>
  <w:abstractNum w:abstractNumId="5">
    <w:nsid w:val="10453C33"/>
    <w:multiLevelType w:val="hybridMultilevel"/>
    <w:tmpl w:val="00000000"/>
    <w:lvl w:ilvl="0">
      <w:start w:val="1"/>
      <w:numFmt w:val="decimal"/>
      <w:lvlText w:val="（%1）"/>
      <w:lvlJc w:val="left"/>
      <w:pPr>
        <w:ind w:left="3540" w:hanging="1056"/>
        <w:jc w:val="right"/>
      </w:pPr>
      <w:rPr>
        <w:rFonts w:hint="default"/>
        <w:w w:val="90"/>
      </w:rPr>
    </w:lvl>
    <w:lvl w:ilvl="1">
      <w:start w:val="0"/>
      <w:numFmt w:val="bullet"/>
      <w:lvlText w:val="•"/>
      <w:lvlJc w:val="left"/>
      <w:pPr>
        <w:ind w:left="4827" w:hanging="1056"/>
      </w:pPr>
      <w:rPr>
        <w:rFonts w:hint="default"/>
      </w:rPr>
    </w:lvl>
    <w:lvl w:ilvl="2">
      <w:start w:val="0"/>
      <w:numFmt w:val="bullet"/>
      <w:lvlText w:val="•"/>
      <w:lvlJc w:val="left"/>
      <w:pPr>
        <w:ind w:left="6115" w:hanging="1056"/>
      </w:pPr>
      <w:rPr>
        <w:rFonts w:hint="default"/>
      </w:rPr>
    </w:lvl>
    <w:lvl w:ilvl="3">
      <w:start w:val="0"/>
      <w:numFmt w:val="bullet"/>
      <w:lvlText w:val="•"/>
      <w:lvlJc w:val="left"/>
      <w:pPr>
        <w:ind w:left="7403" w:hanging="1056"/>
      </w:pPr>
      <w:rPr>
        <w:rFonts w:hint="default"/>
      </w:rPr>
    </w:lvl>
    <w:lvl w:ilvl="4">
      <w:start w:val="0"/>
      <w:numFmt w:val="bullet"/>
      <w:lvlText w:val="•"/>
      <w:lvlJc w:val="left"/>
      <w:pPr>
        <w:ind w:left="8691" w:hanging="1056"/>
      </w:pPr>
      <w:rPr>
        <w:rFonts w:hint="default"/>
      </w:rPr>
    </w:lvl>
    <w:lvl w:ilvl="5">
      <w:start w:val="0"/>
      <w:numFmt w:val="bullet"/>
      <w:lvlText w:val="•"/>
      <w:lvlJc w:val="left"/>
      <w:pPr>
        <w:ind w:left="9979" w:hanging="1056"/>
      </w:pPr>
      <w:rPr>
        <w:rFonts w:hint="default"/>
      </w:rPr>
    </w:lvl>
    <w:lvl w:ilvl="6">
      <w:start w:val="0"/>
      <w:numFmt w:val="bullet"/>
      <w:lvlText w:val="•"/>
      <w:lvlJc w:val="left"/>
      <w:pPr>
        <w:ind w:left="11267" w:hanging="1056"/>
      </w:pPr>
      <w:rPr>
        <w:rFonts w:hint="default"/>
      </w:rPr>
    </w:lvl>
    <w:lvl w:ilvl="7">
      <w:start w:val="0"/>
      <w:numFmt w:val="bullet"/>
      <w:lvlText w:val="•"/>
      <w:lvlJc w:val="left"/>
      <w:pPr>
        <w:ind w:left="12555" w:hanging="1056"/>
      </w:pPr>
      <w:rPr>
        <w:rFonts w:hint="default"/>
      </w:rPr>
    </w:lvl>
    <w:lvl w:ilvl="8">
      <w:start w:val="0"/>
      <w:numFmt w:val="bullet"/>
      <w:lvlText w:val="•"/>
      <w:lvlJc w:val="left"/>
      <w:pPr>
        <w:ind w:left="13843" w:hanging="1056"/>
      </w:pPr>
      <w:rPr>
        <w:rFonts w:hint="default"/>
      </w:rPr>
    </w:lvl>
  </w:abstractNum>
  <w:abstractNum w:abstractNumId="6">
    <w:nsid w:val="2FAB8CAC"/>
    <w:multiLevelType w:val="hybridMultilevel"/>
    <w:tmpl w:val="00000000"/>
    <w:lvl w:ilvl="0">
      <w:start w:val="5"/>
      <w:numFmt w:val="decimal"/>
      <w:lvlText w:val="%1"/>
      <w:lvlJc w:val="left"/>
      <w:pPr>
        <w:ind w:left="2167" w:hanging="630"/>
        <w:jc w:val="left"/>
      </w:pPr>
      <w:rPr>
        <w:rFonts w:hint="default"/>
      </w:rPr>
    </w:lvl>
    <w:lvl w:ilvl="1">
      <w:start w:val="2"/>
      <w:numFmt w:val="decimal"/>
      <w:lvlText w:val="%1.%2"/>
      <w:lvlJc w:val="left"/>
      <w:pPr>
        <w:ind w:left="2167" w:hanging="630"/>
        <w:jc w:val="left"/>
      </w:pPr>
      <w:rPr>
        <w:rFonts w:hint="default"/>
        <w:b/>
        <w:bCs/>
        <w:i/>
        <w:w w:val="90"/>
      </w:rPr>
    </w:lvl>
    <w:lvl w:ilvl="2">
      <w:start w:val="1"/>
      <w:numFmt w:val="decimal"/>
      <w:lvlText w:val="（%3）"/>
      <w:lvlJc w:val="left"/>
      <w:pPr>
        <w:ind w:left="1538" w:hanging="1063"/>
        <w:jc w:val="left"/>
      </w:pPr>
      <w:rPr>
        <w:rFonts w:ascii="宋体" w:eastAsia="宋体" w:hAnsi="宋体" w:cs="宋体" w:hint="default"/>
        <w:spacing w:val="0"/>
        <w:w w:val="100"/>
        <w:sz w:val="40"/>
        <w:szCs w:val="40"/>
      </w:rPr>
    </w:lvl>
    <w:lvl w:ilvl="3">
      <w:start w:val="0"/>
      <w:numFmt w:val="bullet"/>
      <w:lvlText w:val="•"/>
      <w:lvlJc w:val="left"/>
      <w:pPr>
        <w:ind w:left="5328" w:hanging="1063"/>
      </w:pPr>
      <w:rPr>
        <w:rFonts w:hint="default"/>
      </w:rPr>
    </w:lvl>
    <w:lvl w:ilvl="4">
      <w:start w:val="0"/>
      <w:numFmt w:val="bullet"/>
      <w:lvlText w:val="•"/>
      <w:lvlJc w:val="left"/>
      <w:pPr>
        <w:ind w:left="6913" w:hanging="1063"/>
      </w:pPr>
      <w:rPr>
        <w:rFonts w:hint="default"/>
      </w:rPr>
    </w:lvl>
    <w:lvl w:ilvl="5">
      <w:start w:val="0"/>
      <w:numFmt w:val="bullet"/>
      <w:lvlText w:val="•"/>
      <w:lvlJc w:val="left"/>
      <w:pPr>
        <w:ind w:left="8497" w:hanging="1063"/>
      </w:pPr>
      <w:rPr>
        <w:rFonts w:hint="default"/>
      </w:rPr>
    </w:lvl>
    <w:lvl w:ilvl="6">
      <w:start w:val="0"/>
      <w:numFmt w:val="bullet"/>
      <w:lvlText w:val="•"/>
      <w:lvlJc w:val="left"/>
      <w:pPr>
        <w:ind w:left="10082" w:hanging="1063"/>
      </w:pPr>
      <w:rPr>
        <w:rFonts w:hint="default"/>
      </w:rPr>
    </w:lvl>
    <w:lvl w:ilvl="7">
      <w:start w:val="0"/>
      <w:numFmt w:val="bullet"/>
      <w:lvlText w:val="•"/>
      <w:lvlJc w:val="left"/>
      <w:pPr>
        <w:ind w:left="11666" w:hanging="1063"/>
      </w:pPr>
      <w:rPr>
        <w:rFonts w:hint="default"/>
      </w:rPr>
    </w:lvl>
    <w:lvl w:ilvl="8">
      <w:start w:val="0"/>
      <w:numFmt w:val="bullet"/>
      <w:lvlText w:val="•"/>
      <w:lvlJc w:val="left"/>
      <w:pPr>
        <w:ind w:left="13250" w:hanging="1063"/>
      </w:pPr>
      <w:rPr>
        <w:rFonts w:hint="default"/>
      </w:rPr>
    </w:lvl>
  </w:abstractNum>
  <w:abstractNum w:abstractNumId="7">
    <w:nsid w:val="37B017B0"/>
    <w:multiLevelType w:val="hybridMultilevel"/>
    <w:tmpl w:val="00000000"/>
    <w:lvl w:ilvl="0">
      <w:start w:val="7"/>
      <w:numFmt w:val="decimal"/>
      <w:lvlText w:val="%1"/>
      <w:lvlJc w:val="left"/>
      <w:pPr>
        <w:ind w:left="2167" w:hanging="630"/>
        <w:jc w:val="left"/>
      </w:pPr>
      <w:rPr>
        <w:rFonts w:hint="default"/>
      </w:rPr>
    </w:lvl>
    <w:lvl w:ilvl="1">
      <w:start w:val="1"/>
      <w:numFmt w:val="decimal"/>
      <w:lvlText w:val="%1.%2"/>
      <w:lvlJc w:val="left"/>
      <w:pPr>
        <w:ind w:left="2167" w:hanging="630"/>
        <w:jc w:val="left"/>
      </w:pPr>
      <w:rPr>
        <w:rFonts w:ascii="Arial" w:eastAsia="Arial" w:hAnsi="Arial" w:cs="Arial" w:hint="default"/>
        <w:b/>
        <w:bCs/>
        <w:w w:val="90"/>
        <w:sz w:val="42"/>
        <w:szCs w:val="42"/>
      </w:rPr>
    </w:lvl>
    <w:lvl w:ilvl="2">
      <w:start w:val="0"/>
      <w:numFmt w:val="bullet"/>
      <w:lvlText w:val="•"/>
      <w:lvlJc w:val="left"/>
      <w:pPr>
        <w:ind w:left="5011" w:hanging="630"/>
      </w:pPr>
      <w:rPr>
        <w:rFonts w:hint="default"/>
      </w:rPr>
    </w:lvl>
    <w:lvl w:ilvl="3">
      <w:start w:val="0"/>
      <w:numFmt w:val="bullet"/>
      <w:lvlText w:val="•"/>
      <w:lvlJc w:val="left"/>
      <w:pPr>
        <w:ind w:left="6437" w:hanging="630"/>
      </w:pPr>
      <w:rPr>
        <w:rFonts w:hint="default"/>
      </w:rPr>
    </w:lvl>
    <w:lvl w:ilvl="4">
      <w:start w:val="0"/>
      <w:numFmt w:val="bullet"/>
      <w:lvlText w:val="•"/>
      <w:lvlJc w:val="left"/>
      <w:pPr>
        <w:ind w:left="7863" w:hanging="630"/>
      </w:pPr>
      <w:rPr>
        <w:rFonts w:hint="default"/>
      </w:rPr>
    </w:lvl>
    <w:lvl w:ilvl="5">
      <w:start w:val="0"/>
      <w:numFmt w:val="bullet"/>
      <w:lvlText w:val="•"/>
      <w:lvlJc w:val="left"/>
      <w:pPr>
        <w:ind w:left="9289" w:hanging="630"/>
      </w:pPr>
      <w:rPr>
        <w:rFonts w:hint="default"/>
      </w:rPr>
    </w:lvl>
    <w:lvl w:ilvl="6">
      <w:start w:val="0"/>
      <w:numFmt w:val="bullet"/>
      <w:lvlText w:val="•"/>
      <w:lvlJc w:val="left"/>
      <w:pPr>
        <w:ind w:left="10715" w:hanging="630"/>
      </w:pPr>
      <w:rPr>
        <w:rFonts w:hint="default"/>
      </w:rPr>
    </w:lvl>
    <w:lvl w:ilvl="7">
      <w:start w:val="0"/>
      <w:numFmt w:val="bullet"/>
      <w:lvlText w:val="•"/>
      <w:lvlJc w:val="left"/>
      <w:pPr>
        <w:ind w:left="12141" w:hanging="630"/>
      </w:pPr>
      <w:rPr>
        <w:rFonts w:hint="default"/>
      </w:rPr>
    </w:lvl>
    <w:lvl w:ilvl="8">
      <w:start w:val="0"/>
      <w:numFmt w:val="bullet"/>
      <w:lvlText w:val="•"/>
      <w:lvlJc w:val="left"/>
      <w:pPr>
        <w:ind w:left="13567" w:hanging="630"/>
      </w:pPr>
      <w:rPr>
        <w:rFonts w:hint="default"/>
      </w:rPr>
    </w:lvl>
  </w:abstractNum>
  <w:abstractNum w:abstractNumId="8">
    <w:nsid w:val="398021C0"/>
    <w:multiLevelType w:val="hybridMultilevel"/>
    <w:tmpl w:val="00000000"/>
    <w:lvl w:ilvl="0">
      <w:start w:val="1"/>
      <w:numFmt w:val="decimal"/>
      <w:lvlText w:val="（%1）"/>
      <w:lvlJc w:val="left"/>
      <w:pPr>
        <w:ind w:left="3540" w:hanging="1056"/>
        <w:jc w:val="right"/>
      </w:pPr>
      <w:rPr>
        <w:rFonts w:hint="default"/>
        <w:w w:val="90"/>
      </w:rPr>
    </w:lvl>
    <w:lvl w:ilvl="1">
      <w:start w:val="0"/>
      <w:numFmt w:val="bullet"/>
      <w:lvlText w:val="•"/>
      <w:lvlJc w:val="left"/>
      <w:pPr>
        <w:ind w:left="4827" w:hanging="1056"/>
      </w:pPr>
      <w:rPr>
        <w:rFonts w:hint="default"/>
      </w:rPr>
    </w:lvl>
    <w:lvl w:ilvl="2">
      <w:start w:val="0"/>
      <w:numFmt w:val="bullet"/>
      <w:lvlText w:val="•"/>
      <w:lvlJc w:val="left"/>
      <w:pPr>
        <w:ind w:left="6115" w:hanging="1056"/>
      </w:pPr>
      <w:rPr>
        <w:rFonts w:hint="default"/>
      </w:rPr>
    </w:lvl>
    <w:lvl w:ilvl="3">
      <w:start w:val="0"/>
      <w:numFmt w:val="bullet"/>
      <w:lvlText w:val="•"/>
      <w:lvlJc w:val="left"/>
      <w:pPr>
        <w:ind w:left="7403" w:hanging="1056"/>
      </w:pPr>
      <w:rPr>
        <w:rFonts w:hint="default"/>
      </w:rPr>
    </w:lvl>
    <w:lvl w:ilvl="4">
      <w:start w:val="0"/>
      <w:numFmt w:val="bullet"/>
      <w:lvlText w:val="•"/>
      <w:lvlJc w:val="left"/>
      <w:pPr>
        <w:ind w:left="8691" w:hanging="1056"/>
      </w:pPr>
      <w:rPr>
        <w:rFonts w:hint="default"/>
      </w:rPr>
    </w:lvl>
    <w:lvl w:ilvl="5">
      <w:start w:val="0"/>
      <w:numFmt w:val="bullet"/>
      <w:lvlText w:val="•"/>
      <w:lvlJc w:val="left"/>
      <w:pPr>
        <w:ind w:left="9979" w:hanging="1056"/>
      </w:pPr>
      <w:rPr>
        <w:rFonts w:hint="default"/>
      </w:rPr>
    </w:lvl>
    <w:lvl w:ilvl="6">
      <w:start w:val="0"/>
      <w:numFmt w:val="bullet"/>
      <w:lvlText w:val="•"/>
      <w:lvlJc w:val="left"/>
      <w:pPr>
        <w:ind w:left="11267" w:hanging="1056"/>
      </w:pPr>
      <w:rPr>
        <w:rFonts w:hint="default"/>
      </w:rPr>
    </w:lvl>
    <w:lvl w:ilvl="7">
      <w:start w:val="0"/>
      <w:numFmt w:val="bullet"/>
      <w:lvlText w:val="•"/>
      <w:lvlJc w:val="left"/>
      <w:pPr>
        <w:ind w:left="12555" w:hanging="1056"/>
      </w:pPr>
      <w:rPr>
        <w:rFonts w:hint="default"/>
      </w:rPr>
    </w:lvl>
    <w:lvl w:ilvl="8">
      <w:start w:val="0"/>
      <w:numFmt w:val="bullet"/>
      <w:lvlText w:val="•"/>
      <w:lvlJc w:val="left"/>
      <w:pPr>
        <w:ind w:left="13843" w:hanging="1056"/>
      </w:pPr>
      <w:rPr>
        <w:rFonts w:hint="default"/>
      </w:rPr>
    </w:lvl>
  </w:abstractNum>
  <w:abstractNum w:abstractNumId="9">
    <w:nsid w:val="561BCA4E"/>
    <w:multiLevelType w:val="hybridMultilevel"/>
    <w:tmpl w:val="00000000"/>
    <w:lvl w:ilvl="0">
      <w:start w:val="1"/>
      <w:numFmt w:val="decimal"/>
      <w:lvlText w:val="（%1）"/>
      <w:lvlJc w:val="left"/>
      <w:pPr>
        <w:ind w:left="3540" w:hanging="1056"/>
        <w:jc w:val="right"/>
      </w:pPr>
      <w:rPr>
        <w:rFonts w:hint="default"/>
        <w:w w:val="90"/>
      </w:rPr>
    </w:lvl>
    <w:lvl w:ilvl="1">
      <w:start w:val="0"/>
      <w:numFmt w:val="bullet"/>
      <w:lvlText w:val="•"/>
      <w:lvlJc w:val="left"/>
      <w:pPr>
        <w:ind w:left="4827" w:hanging="1056"/>
      </w:pPr>
      <w:rPr>
        <w:rFonts w:hint="default"/>
      </w:rPr>
    </w:lvl>
    <w:lvl w:ilvl="2">
      <w:start w:val="0"/>
      <w:numFmt w:val="bullet"/>
      <w:lvlText w:val="•"/>
      <w:lvlJc w:val="left"/>
      <w:pPr>
        <w:ind w:left="6115" w:hanging="1056"/>
      </w:pPr>
      <w:rPr>
        <w:rFonts w:hint="default"/>
      </w:rPr>
    </w:lvl>
    <w:lvl w:ilvl="3">
      <w:start w:val="0"/>
      <w:numFmt w:val="bullet"/>
      <w:lvlText w:val="•"/>
      <w:lvlJc w:val="left"/>
      <w:pPr>
        <w:ind w:left="7403" w:hanging="1056"/>
      </w:pPr>
      <w:rPr>
        <w:rFonts w:hint="default"/>
      </w:rPr>
    </w:lvl>
    <w:lvl w:ilvl="4">
      <w:start w:val="0"/>
      <w:numFmt w:val="bullet"/>
      <w:lvlText w:val="•"/>
      <w:lvlJc w:val="left"/>
      <w:pPr>
        <w:ind w:left="8691" w:hanging="1056"/>
      </w:pPr>
      <w:rPr>
        <w:rFonts w:hint="default"/>
      </w:rPr>
    </w:lvl>
    <w:lvl w:ilvl="5">
      <w:start w:val="0"/>
      <w:numFmt w:val="bullet"/>
      <w:lvlText w:val="•"/>
      <w:lvlJc w:val="left"/>
      <w:pPr>
        <w:ind w:left="9979" w:hanging="1056"/>
      </w:pPr>
      <w:rPr>
        <w:rFonts w:hint="default"/>
      </w:rPr>
    </w:lvl>
    <w:lvl w:ilvl="6">
      <w:start w:val="0"/>
      <w:numFmt w:val="bullet"/>
      <w:lvlText w:val="•"/>
      <w:lvlJc w:val="left"/>
      <w:pPr>
        <w:ind w:left="11267" w:hanging="1056"/>
      </w:pPr>
      <w:rPr>
        <w:rFonts w:hint="default"/>
      </w:rPr>
    </w:lvl>
    <w:lvl w:ilvl="7">
      <w:start w:val="0"/>
      <w:numFmt w:val="bullet"/>
      <w:lvlText w:val="•"/>
      <w:lvlJc w:val="left"/>
      <w:pPr>
        <w:ind w:left="12555" w:hanging="1056"/>
      </w:pPr>
      <w:rPr>
        <w:rFonts w:hint="default"/>
      </w:rPr>
    </w:lvl>
    <w:lvl w:ilvl="8">
      <w:start w:val="0"/>
      <w:numFmt w:val="bullet"/>
      <w:lvlText w:val="•"/>
      <w:lvlJc w:val="left"/>
      <w:pPr>
        <w:ind w:left="13843" w:hanging="1056"/>
      </w:pPr>
      <w:rPr>
        <w:rFonts w:hint="default"/>
      </w:rPr>
    </w:lvl>
  </w:abstractNum>
  <w:abstractNum w:abstractNumId="10">
    <w:nsid w:val="5D3A4B38"/>
    <w:multiLevelType w:val="hybridMultilevel"/>
    <w:tmpl w:val="00000000"/>
    <w:lvl w:ilvl="0">
      <w:start w:val="1"/>
      <w:numFmt w:val="decimal"/>
      <w:lvlText w:val="%1）"/>
      <w:lvlJc w:val="left"/>
      <w:pPr>
        <w:ind w:left="3119" w:hanging="635"/>
        <w:jc w:val="left"/>
      </w:pPr>
      <w:rPr>
        <w:rFonts w:hint="default"/>
        <w:spacing w:val="0"/>
        <w:w w:val="100"/>
      </w:rPr>
    </w:lvl>
    <w:lvl w:ilvl="1">
      <w:start w:val="0"/>
      <w:numFmt w:val="bullet"/>
      <w:lvlText w:val="•"/>
      <w:lvlJc w:val="left"/>
      <w:pPr>
        <w:ind w:left="4449" w:hanging="635"/>
      </w:pPr>
      <w:rPr>
        <w:rFonts w:hint="default"/>
      </w:rPr>
    </w:lvl>
    <w:lvl w:ilvl="2">
      <w:start w:val="0"/>
      <w:numFmt w:val="bullet"/>
      <w:lvlText w:val="•"/>
      <w:lvlJc w:val="left"/>
      <w:pPr>
        <w:ind w:left="5779" w:hanging="635"/>
      </w:pPr>
      <w:rPr>
        <w:rFonts w:hint="default"/>
      </w:rPr>
    </w:lvl>
    <w:lvl w:ilvl="3">
      <w:start w:val="0"/>
      <w:numFmt w:val="bullet"/>
      <w:lvlText w:val="•"/>
      <w:lvlJc w:val="left"/>
      <w:pPr>
        <w:ind w:left="7109" w:hanging="635"/>
      </w:pPr>
      <w:rPr>
        <w:rFonts w:hint="default"/>
      </w:rPr>
    </w:lvl>
    <w:lvl w:ilvl="4">
      <w:start w:val="0"/>
      <w:numFmt w:val="bullet"/>
      <w:lvlText w:val="•"/>
      <w:lvlJc w:val="left"/>
      <w:pPr>
        <w:ind w:left="8439" w:hanging="635"/>
      </w:pPr>
      <w:rPr>
        <w:rFonts w:hint="default"/>
      </w:rPr>
    </w:lvl>
    <w:lvl w:ilvl="5">
      <w:start w:val="0"/>
      <w:numFmt w:val="bullet"/>
      <w:lvlText w:val="•"/>
      <w:lvlJc w:val="left"/>
      <w:pPr>
        <w:ind w:left="9769" w:hanging="635"/>
      </w:pPr>
      <w:rPr>
        <w:rFonts w:hint="default"/>
      </w:rPr>
    </w:lvl>
    <w:lvl w:ilvl="6">
      <w:start w:val="0"/>
      <w:numFmt w:val="bullet"/>
      <w:lvlText w:val="•"/>
      <w:lvlJc w:val="left"/>
      <w:pPr>
        <w:ind w:left="11099" w:hanging="635"/>
      </w:pPr>
      <w:rPr>
        <w:rFonts w:hint="default"/>
      </w:rPr>
    </w:lvl>
    <w:lvl w:ilvl="7">
      <w:start w:val="0"/>
      <w:numFmt w:val="bullet"/>
      <w:lvlText w:val="•"/>
      <w:lvlJc w:val="left"/>
      <w:pPr>
        <w:ind w:left="12429" w:hanging="635"/>
      </w:pPr>
      <w:rPr>
        <w:rFonts w:hint="default"/>
      </w:rPr>
    </w:lvl>
    <w:lvl w:ilvl="8">
      <w:start w:val="0"/>
      <w:numFmt w:val="bullet"/>
      <w:lvlText w:val="•"/>
      <w:lvlJc w:val="left"/>
      <w:pPr>
        <w:ind w:left="13759" w:hanging="635"/>
      </w:pPr>
      <w:rPr>
        <w:rFonts w:hint="default"/>
      </w:rPr>
    </w:lvl>
  </w:abstractNum>
  <w:abstractNum w:abstractNumId="11">
    <w:nsid w:val="71BCDE5C"/>
    <w:multiLevelType w:val="hybridMultilevel"/>
    <w:tmpl w:val="00000000"/>
    <w:lvl w:ilvl="0">
      <w:start w:val="4"/>
      <w:numFmt w:val="decimal"/>
      <w:lvlText w:val="%1"/>
      <w:lvlJc w:val="left"/>
      <w:pPr>
        <w:ind w:left="2167" w:hanging="630"/>
        <w:jc w:val="left"/>
      </w:pPr>
      <w:rPr>
        <w:rFonts w:hint="default"/>
      </w:rPr>
    </w:lvl>
    <w:lvl w:ilvl="1">
      <w:start w:val="1"/>
      <w:numFmt w:val="decimal"/>
      <w:lvlText w:val="%1.%2"/>
      <w:lvlJc w:val="left"/>
      <w:pPr>
        <w:ind w:left="2167" w:hanging="630"/>
        <w:jc w:val="left"/>
      </w:pPr>
      <w:rPr>
        <w:rFonts w:ascii="Arial" w:eastAsia="Arial" w:hAnsi="Arial" w:cs="Arial" w:hint="default"/>
        <w:b/>
        <w:bCs/>
        <w:w w:val="90"/>
        <w:sz w:val="42"/>
        <w:szCs w:val="42"/>
      </w:rPr>
    </w:lvl>
    <w:lvl w:ilvl="2">
      <w:start w:val="0"/>
      <w:numFmt w:val="bullet"/>
      <w:lvlText w:val="•"/>
      <w:lvlJc w:val="left"/>
      <w:pPr>
        <w:ind w:left="5011" w:hanging="630"/>
      </w:pPr>
      <w:rPr>
        <w:rFonts w:hint="default"/>
      </w:rPr>
    </w:lvl>
    <w:lvl w:ilvl="3">
      <w:start w:val="0"/>
      <w:numFmt w:val="bullet"/>
      <w:lvlText w:val="•"/>
      <w:lvlJc w:val="left"/>
      <w:pPr>
        <w:ind w:left="6437" w:hanging="630"/>
      </w:pPr>
      <w:rPr>
        <w:rFonts w:hint="default"/>
      </w:rPr>
    </w:lvl>
    <w:lvl w:ilvl="4">
      <w:start w:val="0"/>
      <w:numFmt w:val="bullet"/>
      <w:lvlText w:val="•"/>
      <w:lvlJc w:val="left"/>
      <w:pPr>
        <w:ind w:left="7863" w:hanging="630"/>
      </w:pPr>
      <w:rPr>
        <w:rFonts w:hint="default"/>
      </w:rPr>
    </w:lvl>
    <w:lvl w:ilvl="5">
      <w:start w:val="0"/>
      <w:numFmt w:val="bullet"/>
      <w:lvlText w:val="•"/>
      <w:lvlJc w:val="left"/>
      <w:pPr>
        <w:ind w:left="9289" w:hanging="630"/>
      </w:pPr>
      <w:rPr>
        <w:rFonts w:hint="default"/>
      </w:rPr>
    </w:lvl>
    <w:lvl w:ilvl="6">
      <w:start w:val="0"/>
      <w:numFmt w:val="bullet"/>
      <w:lvlText w:val="•"/>
      <w:lvlJc w:val="left"/>
      <w:pPr>
        <w:ind w:left="10715" w:hanging="630"/>
      </w:pPr>
      <w:rPr>
        <w:rFonts w:hint="default"/>
      </w:rPr>
    </w:lvl>
    <w:lvl w:ilvl="7">
      <w:start w:val="0"/>
      <w:numFmt w:val="bullet"/>
      <w:lvlText w:val="•"/>
      <w:lvlJc w:val="left"/>
      <w:pPr>
        <w:ind w:left="12141" w:hanging="630"/>
      </w:pPr>
      <w:rPr>
        <w:rFonts w:hint="default"/>
      </w:rPr>
    </w:lvl>
    <w:lvl w:ilvl="8">
      <w:start w:val="0"/>
      <w:numFmt w:val="bullet"/>
      <w:lvlText w:val="•"/>
      <w:lvlJc w:val="left"/>
      <w:pPr>
        <w:ind w:left="13567" w:hanging="630"/>
      </w:pPr>
      <w:rPr>
        <w:rFonts w:hint="default"/>
      </w:rPr>
    </w:lvl>
  </w:abstractNum>
  <w:abstractNum w:abstractNumId="12">
    <w:nsid w:val="76A9524C"/>
    <w:multiLevelType w:val="hybridMultilevel"/>
    <w:tmpl w:val="00000000"/>
    <w:lvl w:ilvl="0">
      <w:start w:val="1"/>
      <w:numFmt w:val="decimal"/>
      <w:lvlText w:val="%1）"/>
      <w:lvlJc w:val="left"/>
      <w:pPr>
        <w:ind w:left="3119" w:hanging="635"/>
        <w:jc w:val="left"/>
      </w:pPr>
      <w:rPr>
        <w:rFonts w:hint="default"/>
        <w:spacing w:val="0"/>
        <w:w w:val="100"/>
      </w:rPr>
    </w:lvl>
    <w:lvl w:ilvl="1">
      <w:start w:val="0"/>
      <w:numFmt w:val="bullet"/>
      <w:lvlText w:val="•"/>
      <w:lvlJc w:val="left"/>
      <w:pPr>
        <w:ind w:left="4449" w:hanging="635"/>
      </w:pPr>
      <w:rPr>
        <w:rFonts w:hint="default"/>
      </w:rPr>
    </w:lvl>
    <w:lvl w:ilvl="2">
      <w:start w:val="0"/>
      <w:numFmt w:val="bullet"/>
      <w:lvlText w:val="•"/>
      <w:lvlJc w:val="left"/>
      <w:pPr>
        <w:ind w:left="5779" w:hanging="635"/>
      </w:pPr>
      <w:rPr>
        <w:rFonts w:hint="default"/>
      </w:rPr>
    </w:lvl>
    <w:lvl w:ilvl="3">
      <w:start w:val="0"/>
      <w:numFmt w:val="bullet"/>
      <w:lvlText w:val="•"/>
      <w:lvlJc w:val="left"/>
      <w:pPr>
        <w:ind w:left="7109" w:hanging="635"/>
      </w:pPr>
      <w:rPr>
        <w:rFonts w:hint="default"/>
      </w:rPr>
    </w:lvl>
    <w:lvl w:ilvl="4">
      <w:start w:val="0"/>
      <w:numFmt w:val="bullet"/>
      <w:lvlText w:val="•"/>
      <w:lvlJc w:val="left"/>
      <w:pPr>
        <w:ind w:left="8439" w:hanging="635"/>
      </w:pPr>
      <w:rPr>
        <w:rFonts w:hint="default"/>
      </w:rPr>
    </w:lvl>
    <w:lvl w:ilvl="5">
      <w:start w:val="0"/>
      <w:numFmt w:val="bullet"/>
      <w:lvlText w:val="•"/>
      <w:lvlJc w:val="left"/>
      <w:pPr>
        <w:ind w:left="9769" w:hanging="635"/>
      </w:pPr>
      <w:rPr>
        <w:rFonts w:hint="default"/>
      </w:rPr>
    </w:lvl>
    <w:lvl w:ilvl="6">
      <w:start w:val="0"/>
      <w:numFmt w:val="bullet"/>
      <w:lvlText w:val="•"/>
      <w:lvlJc w:val="left"/>
      <w:pPr>
        <w:ind w:left="11099" w:hanging="635"/>
      </w:pPr>
      <w:rPr>
        <w:rFonts w:hint="default"/>
      </w:rPr>
    </w:lvl>
    <w:lvl w:ilvl="7">
      <w:start w:val="0"/>
      <w:numFmt w:val="bullet"/>
      <w:lvlText w:val="•"/>
      <w:lvlJc w:val="left"/>
      <w:pPr>
        <w:ind w:left="12429" w:hanging="635"/>
      </w:pPr>
      <w:rPr>
        <w:rFonts w:hint="default"/>
      </w:rPr>
    </w:lvl>
    <w:lvl w:ilvl="8">
      <w:start w:val="0"/>
      <w:numFmt w:val="bullet"/>
      <w:lvlText w:val="•"/>
      <w:lvlJc w:val="left"/>
      <w:pPr>
        <w:ind w:left="13759" w:hanging="635"/>
      </w:pPr>
      <w:rPr>
        <w:rFonts w:hint="default"/>
      </w:rPr>
    </w:lvl>
  </w:abstractNum>
  <w:abstractNum w:abstractNumId="13">
    <w:nsid w:val="7CD65454"/>
    <w:multiLevelType w:val="hybridMultilevel"/>
    <w:tmpl w:val="00000000"/>
    <w:lvl w:ilvl="0">
      <w:start w:val="9"/>
      <w:numFmt w:val="decimal"/>
      <w:lvlText w:val="%1"/>
      <w:lvlJc w:val="left"/>
      <w:pPr>
        <w:ind w:left="2167" w:hanging="630"/>
        <w:jc w:val="left"/>
      </w:pPr>
      <w:rPr>
        <w:rFonts w:hint="default"/>
      </w:rPr>
    </w:lvl>
    <w:lvl w:ilvl="1">
      <w:start w:val="1"/>
      <w:numFmt w:val="decimal"/>
      <w:lvlText w:val="%1.%2"/>
      <w:lvlJc w:val="left"/>
      <w:pPr>
        <w:ind w:left="2167" w:hanging="630"/>
        <w:jc w:val="left"/>
      </w:pPr>
      <w:rPr>
        <w:rFonts w:hint="default"/>
        <w:b/>
        <w:bCs/>
        <w:w w:val="90"/>
      </w:rPr>
    </w:lvl>
    <w:lvl w:ilvl="2">
      <w:start w:val="0"/>
      <w:numFmt w:val="bullet"/>
      <w:lvlText w:val="•"/>
      <w:lvlJc w:val="left"/>
      <w:pPr>
        <w:ind w:left="5011" w:hanging="630"/>
      </w:pPr>
      <w:rPr>
        <w:rFonts w:hint="default"/>
      </w:rPr>
    </w:lvl>
    <w:lvl w:ilvl="3">
      <w:start w:val="0"/>
      <w:numFmt w:val="bullet"/>
      <w:lvlText w:val="•"/>
      <w:lvlJc w:val="left"/>
      <w:pPr>
        <w:ind w:left="6437" w:hanging="630"/>
      </w:pPr>
      <w:rPr>
        <w:rFonts w:hint="default"/>
      </w:rPr>
    </w:lvl>
    <w:lvl w:ilvl="4">
      <w:start w:val="0"/>
      <w:numFmt w:val="bullet"/>
      <w:lvlText w:val="•"/>
      <w:lvlJc w:val="left"/>
      <w:pPr>
        <w:ind w:left="7863" w:hanging="630"/>
      </w:pPr>
      <w:rPr>
        <w:rFonts w:hint="default"/>
      </w:rPr>
    </w:lvl>
    <w:lvl w:ilvl="5">
      <w:start w:val="0"/>
      <w:numFmt w:val="bullet"/>
      <w:lvlText w:val="•"/>
      <w:lvlJc w:val="left"/>
      <w:pPr>
        <w:ind w:left="9289" w:hanging="630"/>
      </w:pPr>
      <w:rPr>
        <w:rFonts w:hint="default"/>
      </w:rPr>
    </w:lvl>
    <w:lvl w:ilvl="6">
      <w:start w:val="0"/>
      <w:numFmt w:val="bullet"/>
      <w:lvlText w:val="•"/>
      <w:lvlJc w:val="left"/>
      <w:pPr>
        <w:ind w:left="10715" w:hanging="630"/>
      </w:pPr>
      <w:rPr>
        <w:rFonts w:hint="default"/>
      </w:rPr>
    </w:lvl>
    <w:lvl w:ilvl="7">
      <w:start w:val="0"/>
      <w:numFmt w:val="bullet"/>
      <w:lvlText w:val="•"/>
      <w:lvlJc w:val="left"/>
      <w:pPr>
        <w:ind w:left="12141" w:hanging="630"/>
      </w:pPr>
      <w:rPr>
        <w:rFonts w:hint="default"/>
      </w:rPr>
    </w:lvl>
    <w:lvl w:ilvl="8">
      <w:start w:val="0"/>
      <w:numFmt w:val="bullet"/>
      <w:lvlText w:val="•"/>
      <w:lvlJc w:val="left"/>
      <w:pPr>
        <w:ind w:left="13567" w:hanging="630"/>
      </w:pPr>
      <w:rPr>
        <w:rFonts w:hint="default"/>
      </w:rPr>
    </w:lvl>
  </w:abstractNum>
  <w:abstractNum w:abstractNumId="14">
    <w:nsid w:val="7D99354D"/>
    <w:multiLevelType w:val="hybridMultilevel"/>
    <w:tmpl w:val="00000000"/>
    <w:lvl w:ilvl="0">
      <w:start w:val="6"/>
      <w:numFmt w:val="decimal"/>
      <w:lvlText w:val="%1"/>
      <w:lvlJc w:val="left"/>
      <w:pPr>
        <w:ind w:left="2167" w:hanging="630"/>
        <w:jc w:val="left"/>
      </w:pPr>
      <w:rPr>
        <w:rFonts w:hint="default"/>
      </w:rPr>
    </w:lvl>
    <w:lvl w:ilvl="1">
      <w:start w:val="1"/>
      <w:numFmt w:val="decimal"/>
      <w:lvlText w:val="%1.%2"/>
      <w:lvlJc w:val="left"/>
      <w:pPr>
        <w:ind w:left="2167" w:hanging="630"/>
        <w:jc w:val="left"/>
      </w:pPr>
      <w:rPr>
        <w:rFonts w:ascii="Arial" w:eastAsia="Arial" w:hAnsi="Arial" w:cs="Arial" w:hint="default"/>
        <w:b/>
        <w:bCs/>
        <w:w w:val="90"/>
        <w:sz w:val="42"/>
        <w:szCs w:val="42"/>
      </w:rPr>
    </w:lvl>
    <w:lvl w:ilvl="2">
      <w:start w:val="0"/>
      <w:numFmt w:val="bullet"/>
      <w:lvlText w:val="•"/>
      <w:lvlJc w:val="left"/>
      <w:pPr>
        <w:ind w:left="5011" w:hanging="630"/>
      </w:pPr>
      <w:rPr>
        <w:rFonts w:hint="default"/>
      </w:rPr>
    </w:lvl>
    <w:lvl w:ilvl="3">
      <w:start w:val="0"/>
      <w:numFmt w:val="bullet"/>
      <w:lvlText w:val="•"/>
      <w:lvlJc w:val="left"/>
      <w:pPr>
        <w:ind w:left="6437" w:hanging="630"/>
      </w:pPr>
      <w:rPr>
        <w:rFonts w:hint="default"/>
      </w:rPr>
    </w:lvl>
    <w:lvl w:ilvl="4">
      <w:start w:val="0"/>
      <w:numFmt w:val="bullet"/>
      <w:lvlText w:val="•"/>
      <w:lvlJc w:val="left"/>
      <w:pPr>
        <w:ind w:left="7863" w:hanging="630"/>
      </w:pPr>
      <w:rPr>
        <w:rFonts w:hint="default"/>
      </w:rPr>
    </w:lvl>
    <w:lvl w:ilvl="5">
      <w:start w:val="0"/>
      <w:numFmt w:val="bullet"/>
      <w:lvlText w:val="•"/>
      <w:lvlJc w:val="left"/>
      <w:pPr>
        <w:ind w:left="9289" w:hanging="630"/>
      </w:pPr>
      <w:rPr>
        <w:rFonts w:hint="default"/>
      </w:rPr>
    </w:lvl>
    <w:lvl w:ilvl="6">
      <w:start w:val="0"/>
      <w:numFmt w:val="bullet"/>
      <w:lvlText w:val="•"/>
      <w:lvlJc w:val="left"/>
      <w:pPr>
        <w:ind w:left="10715" w:hanging="630"/>
      </w:pPr>
      <w:rPr>
        <w:rFonts w:hint="default"/>
      </w:rPr>
    </w:lvl>
    <w:lvl w:ilvl="7">
      <w:start w:val="0"/>
      <w:numFmt w:val="bullet"/>
      <w:lvlText w:val="•"/>
      <w:lvlJc w:val="left"/>
      <w:pPr>
        <w:ind w:left="12141" w:hanging="630"/>
      </w:pPr>
      <w:rPr>
        <w:rFonts w:hint="default"/>
      </w:rPr>
    </w:lvl>
    <w:lvl w:ilvl="8">
      <w:start w:val="0"/>
      <w:numFmt w:val="bullet"/>
      <w:lvlText w:val="•"/>
      <w:lvlJc w:val="left"/>
      <w:pPr>
        <w:ind w:left="13567" w:hanging="630"/>
      </w:pPr>
      <w:rPr>
        <w:rFonts w:hint="default"/>
      </w:rPr>
    </w:lvl>
  </w:abstractNum>
  <w:num w:numId="1">
    <w:abstractNumId w:val="3"/>
  </w:num>
  <w:num w:numId="2">
    <w:abstractNumId w:val="1"/>
  </w:num>
  <w:num w:numId="3">
    <w:abstractNumId w:val="13"/>
  </w:num>
  <w:num w:numId="4">
    <w:abstractNumId w:val="7"/>
  </w:num>
  <w:num w:numId="5">
    <w:abstractNumId w:val="14"/>
  </w:num>
  <w:num w:numId="6">
    <w:abstractNumId w:val="6"/>
  </w:num>
  <w:num w:numId="7">
    <w:abstractNumId w:val="10"/>
  </w:num>
  <w:num w:numId="8">
    <w:abstractNumId w:val="5"/>
  </w:num>
  <w:num w:numId="9">
    <w:abstractNumId w:val="11"/>
  </w:num>
  <w:num w:numId="10">
    <w:abstractNumId w:val="4"/>
  </w:num>
  <w:num w:numId="11">
    <w:abstractNumId w:val="0"/>
  </w:num>
  <w:num w:numId="12">
    <w:abstractNumId w:val="2"/>
  </w:num>
  <w:num w:numId="13">
    <w:abstractNumId w:val="8"/>
  </w:num>
  <w:num w:numId="14">
    <w:abstractNumId w:val="9"/>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538"/>
      <w:outlineLvl w:val="0"/>
    </w:pPr>
    <w:rPr>
      <w:rFonts w:ascii="幼圆" w:eastAsia="幼圆" w:hAnsi="幼圆" w:cs="幼圆"/>
      <w:sz w:val="48"/>
      <w:szCs w:val="48"/>
    </w:rPr>
  </w:style>
  <w:style w:type="paragraph" w:styleId="Heading2">
    <w:name w:val="heading 2"/>
    <w:basedOn w:val="Normal"/>
    <w:uiPriority w:val="1"/>
    <w:qFormat/>
    <w:pPr>
      <w:ind w:left="2167" w:hanging="630"/>
      <w:outlineLvl w:val="1"/>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2"/>
      <w:szCs w:val="42"/>
    </w:rPr>
  </w:style>
  <w:style w:type="paragraph" w:styleId="Title">
    <w:name w:val="Title"/>
    <w:basedOn w:val="Normal"/>
    <w:uiPriority w:val="1"/>
    <w:qFormat/>
    <w:pPr>
      <w:spacing w:before="24"/>
      <w:ind w:left="1303"/>
    </w:pPr>
    <w:rPr>
      <w:rFonts w:ascii="宋体" w:eastAsia="宋体" w:hAnsi="宋体" w:cs="宋体"/>
      <w:b/>
      <w:bCs/>
      <w:sz w:val="54"/>
      <w:szCs w:val="54"/>
    </w:rPr>
  </w:style>
  <w:style w:type="paragraph" w:styleId="ListParagraph">
    <w:name w:val="List Paragraph"/>
    <w:basedOn w:val="Normal"/>
    <w:uiPriority w:val="1"/>
    <w:qFormat/>
    <w:pPr>
      <w:ind w:left="2167" w:hanging="630"/>
    </w:pPr>
    <w:rPr>
      <w:rFonts w:ascii="宋体" w:eastAsia="宋体" w:hAnsi="宋体" w:cs="宋体"/>
    </w:rPr>
  </w:style>
  <w:style w:type="paragraph" w:customStyle="1" w:styleId="TableParagraph">
    <w:name w:val="Table Paragraph"/>
    <w:basedOn w:val="Normal"/>
    <w:uiPriority w:val="1"/>
    <w:qFormat/>
    <w:pPr>
      <w:jc w:val="center"/>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405134142203011041"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2023-12-20T18:16:49Z</dcterms:created>
  <dcterms:modified xsi:type="dcterms:W3CDTF">2023-12-20T18:16:49Z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2022-10-16T00:00:00Z</vt:filetime>
  </property>
  <property fmtid="{D5CDD505-2E9C-101B-9397-08002B2CF9AE}" pid="3" name="LastSaved">
    <vt:filetime>2023-12-20T00:00:00Z</vt:filetime>
  </property>
</Properties>
</file>