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220F7" w:rsidP="008220F7" w14:paraId="4E80951A" w14:textId="77777777">
      <w:pPr>
        <w:spacing w:before="48" w:beforeLines="20" w:after="360" w:afterLines="150" w:line="360" w:lineRule="auto"/>
        <w:jc w:val="center"/>
        <w:rPr>
          <w:rFonts w:ascii="华文中宋" w:eastAsia="华文中宋" w:hAnsi="华文中宋"/>
          <w:b/>
          <w:sz w:val="30"/>
        </w:rPr>
      </w:pPr>
      <w:r w:rsidRPr="008220F7">
        <w:rPr>
          <w:rFonts w:ascii="华文中宋" w:eastAsia="华文中宋" w:hAnsi="华文中宋"/>
          <w:b/>
          <w:sz w:val="30"/>
        </w:rPr>
        <w:t>2024</w:t>
      </w:r>
      <w:r w:rsidRPr="008220F7">
        <w:rPr>
          <w:rFonts w:ascii="华文中宋" w:eastAsia="华文中宋" w:hAnsi="华文中宋"/>
          <w:b/>
          <w:sz w:val="30"/>
        </w:rPr>
        <w:t>年中国联通广西壮族自治区分公司人员招聘模拟考试试题及答案解析</w:t>
      </w:r>
    </w:p>
    <w:p w:rsidR="00A77B3E" w14:paraId="35E4DF5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85933D9" w14:textId="77777777">
      <w:pPr>
        <w:spacing w:after="260" w:line="360" w:lineRule="auto"/>
      </w:pPr>
      <w:r>
        <w:rPr>
          <w:rFonts w:eastAsia="微软雅黑" w:cs="宋体"/>
          <w:b/>
        </w:rPr>
        <w:t>一、言语理解与表达</w:t>
      </w:r>
    </w:p>
    <w:p w:rsidR="00E0697D" w14:paraId="0126CF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食品药品安全追溯体系是依赖现代信息技术，对可能存在的食品药品安全隐患发出预警的一项制度。它之所以被一些国家广泛采用，是因为一方面能降低监管部门信息获取成本，提升监管效率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rsidR="00E0697D" w14:paraId="48F2EF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AD86D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、我国的食品药品安全追溯制度仍有待完善</w:t>
      </w:r>
    </w:p>
    <w:p w:rsidR="00E0697D" w14:paraId="4BE5676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、完善的食品药品安全追溯体系有重要价值</w:t>
      </w:r>
    </w:p>
    <w:p w:rsidR="00E0697D" w14:paraId="3ABCCB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、相关部门应该加强对食品药品安全的监管</w:t>
      </w:r>
    </w:p>
    <w:p w:rsidR="00E0697D" w14:paraId="77C8D2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、多方合作是解决食品药品安全问题的关键</w:t>
      </w:r>
    </w:p>
    <w:p w:rsidR="00E0697D" w14:paraId="6E34F7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0101DEE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文段开篇介绍食品药品安全追溯体系这一制度，并分析了它被一些国家广泛采用的原因，同时说明我国已引进该制度。紧接着通过转折关联词“但”，重点指出实践中所遇的问题，即“区域分割、部门分治”、“没有形成高效的地方联动、部门合</w:t>
      </w:r>
      <w:r w:rsidRPr="00E0697D">
        <w:rPr>
          <w:rFonts w:ascii="Times New Roman" w:eastAsia="微软雅黑" w:hAnsi="微软雅黑" w:cs="宋体" w:hint="eastAsia"/>
          <w:szCs w:val="18"/>
        </w:rPr>
        <w:t>力”，故文段意在针对这一问题提出对策，即解决食品药品安全问题需要各方联动形成合力。故选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FD05D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当站在童年面前的时候，我们是童年的</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——在各自的城市和村庄，在各自的爱心树下捡过叶子、吃过果子、把自己装扮成假想的森林之王。我们会欢悦地说，童年真有趣。</w:t>
      </w:r>
    </w:p>
    <w:p w:rsidR="00E0697D" w14:paraId="37B0B8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198479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、欣赏者</w:t>
      </w:r>
    </w:p>
    <w:p w:rsidR="00E0697D" w14:paraId="19FE25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、回忆者</w:t>
      </w:r>
    </w:p>
    <w:p w:rsidR="00E0697D" w14:paraId="45F240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、苦恼者</w:t>
      </w:r>
    </w:p>
    <w:p w:rsidR="00E0697D" w14:paraId="79A9D82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、见证者</w:t>
      </w:r>
    </w:p>
    <w:p w:rsidR="00E0697D" w14:paraId="03D5BC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9A33E0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破折号的作用是对前面内容的解释说明，破折号后面讲的是对童年的回忆，故此处填入“回忆者”最恰当。故选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468EC85D"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低利率政策的初衷是刺激美国人迅速消费，以弥补危机带来的需求萎缩。但经历了数年的储蓄资产贬值后，相信低利率的刺激作用的边际效应已缩减到了几近于无。危机之初，开启低利率的另一个目的是为流动性紧张的金融机构提供“免费”资金，并帮助金融业补充资本。凭借零利率的借贷，银行可投资于政府债券，获得稳定而无风险的回报。可正因为此，银行丧失了为企业提供信贷这一风险和收益并存的业务和动力，从而未能够帮助中小企业创造就业岗位。</w:t>
      </w:r>
    </w:p>
    <w:p w:rsidR="00E0697D" w14:paraId="6EA9785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67B8D2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、暗示低利率政策必须做出调整</w:t>
      </w:r>
    </w:p>
    <w:p w:rsidR="00E0697D" w14:paraId="7CE31D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、分析实行低利率政策的弊端</w:t>
      </w:r>
    </w:p>
    <w:p w:rsidR="00E0697D" w14:paraId="2FF5A6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、强调应鼓励银行开展企业信贷业务</w:t>
      </w:r>
    </w:p>
    <w:p w:rsidR="00E0697D" w14:paraId="7DF009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、说明低利率政策刺激消费的作用有限</w:t>
      </w:r>
    </w:p>
    <w:p w:rsidR="00E0697D" w14:paraId="7CA875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65AF690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的第一句话点明低利率政策的初衷。第二句说明低利率的刺激作用已经缩减到了几近于无。后三句分析低利率的实行所带来的问题并列举银行的例子来说明。主旨是在分析低利率政策的弊端。本文段为主旨概括，优选主旨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项即为文段的主旨。</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项属于引申，为无中生有项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项是文段中例子的对策</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项刺激消费作用有限无法从文中得知。故选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155C920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1B59D1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FD1BF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https://d.book118.com/405203300333011041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rsidP="00D07274" w14:paraId="4ADAA4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0F7" w14:paraId="6EECB9D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rsidP="00D07274" w14:paraId="40F7F764" w14:textId="22684E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220F7" w14:paraId="7187B1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paraId="68EFFB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0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rsidP="00D07274" w14:textId="22684E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220F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0F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rsidP="00D07274" w14:textId="22684E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220F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paraId="4EC05C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paraId="67C5475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paraId="5D3E72B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F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8220F7"/>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E2C312"/>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8220F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220F7"/>
    <w:rPr>
      <w:sz w:val="18"/>
      <w:szCs w:val="18"/>
    </w:rPr>
  </w:style>
  <w:style w:type="paragraph" w:styleId="Footer">
    <w:name w:val="footer"/>
    <w:basedOn w:val="Normal"/>
    <w:link w:val="a0"/>
    <w:rsid w:val="008220F7"/>
    <w:pPr>
      <w:tabs>
        <w:tab w:val="center" w:pos="4153"/>
        <w:tab w:val="right" w:pos="8306"/>
      </w:tabs>
      <w:snapToGrid w:val="0"/>
    </w:pPr>
    <w:rPr>
      <w:sz w:val="18"/>
      <w:szCs w:val="18"/>
    </w:rPr>
  </w:style>
  <w:style w:type="character" w:customStyle="1" w:styleId="a0">
    <w:name w:val="页脚 字符"/>
    <w:basedOn w:val="DefaultParagraphFont"/>
    <w:link w:val="Footer"/>
    <w:rsid w:val="008220F7"/>
    <w:rPr>
      <w:sz w:val="18"/>
      <w:szCs w:val="18"/>
    </w:rPr>
  </w:style>
  <w:style w:type="character" w:styleId="PageNumber">
    <w:name w:val="page number"/>
    <w:basedOn w:val="DefaultParagraphFont"/>
    <w:rsid w:val="008220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05203300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3994</Words>
  <Characters>22767</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