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抗冲击剂相关行业公司成立方案及可行性研究报告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一、抗冲击剂筹建公司基本信息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二、抗冲击剂项目概况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(二)、抗冲击剂项目提出的理由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(三)、抗冲击剂项目选址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(六)、抗冲击剂项目投资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(七)、抗冲击剂项目进度规划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(九)、抗冲击剂项目综合评价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(七)、抗冲击剂项目建设必要性分析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(五)、抗冲击剂项目总投资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七、抗冲击剂项目经济效益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(三)、抗冲击剂项目盈利能力分析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(一)、抗冲击剂项目背景分析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(二)、抗冲击剂项目建设必要性分析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(一)、抗冲击剂项目进度安排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eastAsia="zh-CN"/>
          </w:rPr>
          <w:t>(二)、抗冲击剂项目实施保障措施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03"/>
      <w:r>
        <w:rPr>
          <w:rFonts w:ascii="仿宋" w:eastAsia="仿宋" w:hAnsi="仿宋" w:cs="仿宋" w:hint="eastAsia"/>
          <w:sz w:val="28"/>
          <w:lang w:eastAsia="zh-CN"/>
        </w:rPr>
        <w:t>一、抗冲击剂筹建公司基本信息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4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1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59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51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14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经营范围：从事XXX相关业务(企业依法自主选择经营抗冲击剂项目，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开展经营活动；依法须经批准的抗冲击剂项目，经相关部门批准后依批准的内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容开展经营活动；不得从事本市产业政策禁止和限制类抗冲击剂项目的经营活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09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https://d.book118.com/406100102225010050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抗冲击剂相关行业公司成立方案及可行性研究报告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抗冲击剂相关行业公司成立方案及可行性研究报告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抗冲击剂相关行业公司成立方案及可行性研究报告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抗冲击剂相关行业公司成立方案及可行性研究报告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抗冲击剂相关行业公司成立方案及可行性研究报告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6100102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2024-02-03T10:24:00Z</dcterms:created>
  <dcterms:modified xsi:type="dcterms:W3CDTF">2024-02-03T10:25:07Z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870D2E5050AA436BA9864D2BDAE3B01C_11</vt:lpwstr>
  </property>
  <property fmtid="{D5CDD505-2E9C-101B-9397-08002B2CF9AE}" pid="3" name="KSOProductBuildVer">
    <vt:lpwstr>2052-12.1.0.16250</vt:lpwstr>
  </property>
</Properties>
</file>