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69" w:line="225" w:lineRule="auto"/>
        <w:ind w:left="8131"/>
      </w:pPr>
      <w:r>
        <w:drawing>
          <wp:anchor distT="0" distB="0" distL="0" distR="0" simplePos="0" relativeHeight="251658240" behindDoc="0" locked="0" layoutInCell="0" allowOverlap="1">
            <wp:simplePos x="0" y="0"/>
            <wp:positionH relativeFrom="page">
              <wp:posOffset>463296</wp:posOffset>
            </wp:positionH>
            <wp:positionV relativeFrom="page">
              <wp:posOffset>216407</wp:posOffset>
            </wp:positionV>
            <wp:extent cx="1260347" cy="30175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260347" cy="301752"/>
                    </a:xfrm>
                    <a:prstGeom prst="rect">
                      <a:avLst/>
                    </a:prstGeom>
                  </pic:spPr>
                </pic:pic>
              </a:graphicData>
            </a:graphic>
          </wp:anchor>
        </w:drawing>
      </w:r>
      <w:r>
        <w:rPr>
          <w:spacing w:val="3"/>
          <w14:textOutline w14:w="3795" w14:cap="sq">
            <w14:solidFill>
              <w14:srgbClr w14:val="000000"/>
            </w14:solidFill>
            <w14:prstDash w14:val="solid"/>
            <w14:bevel/>
          </w14:textOutline>
        </w:rPr>
        <w:t>证券研究报告</w:t>
      </w:r>
      <w:r>
        <w:rPr>
          <w:spacing w:val="66"/>
        </w:rPr>
        <w:t xml:space="preserve"> </w:t>
      </w:r>
      <w:r>
        <w:rPr>
          <w:spacing w:val="3"/>
          <w14:textOutline w14:w="3795" w14:cap="sq">
            <w14:solidFill>
              <w14:srgbClr w14:val="000000"/>
            </w14:solidFill>
            <w14:prstDash w14:val="solid"/>
            <w14:bevel/>
          </w14:textOutline>
        </w:rPr>
        <w:t>|</w:t>
      </w:r>
      <w:r>
        <w:rPr>
          <w:spacing w:val="3"/>
        </w:rPr>
        <w:t xml:space="preserve"> </w:t>
      </w:r>
      <w:r>
        <w:rPr>
          <w:spacing w:val="3"/>
          <w14:textOutline w14:w="3795" w14:cap="sq">
            <w14:solidFill>
              <w14:srgbClr w14:val="000000"/>
            </w14:solidFill>
            <w14:prstDash w14:val="solid"/>
            <w14:bevel/>
          </w14:textOutline>
        </w:rPr>
        <w:t>2024年02月27日</w:t>
      </w:r>
    </w:p>
    <w:p>
      <w:pPr>
        <w:pStyle w:val="BodyText"/>
        <w:spacing w:before="206" w:line="1896" w:lineRule="exact"/>
      </w:pPr>
      <w:r>
        <w:rPr>
          <w:position w:val="-37"/>
        </w:rPr>
        <w:pict>
          <v:group id="_x0000_i1025" style="width:595.3pt;height:94.8pt;mso-position-horizontal-relative:char;mso-position-vertical-relative:line" coordorigin="0,0" coordsize="11905,1896"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905;height:1896;position:absolute" filled="f" stroked="f">
              <v:imagedata r:id="rId5" o:title=""/>
            </v:shape>
            <v:shapetype id="_x0000_t202" coordsize="21600,21600" o:spt="202" path="m,l,21600r21600,l21600,xe">
              <v:stroke joinstyle="miter"/>
              <v:path gradientshapeok="t" o:connecttype="rect"/>
            </v:shapetype>
            <v:shape id="_x0000_s1027" type="#_x0000_t202" style="width:11945;height:1936;left:-20;position:absolute;top:-20" filled="f" stroked="f">
              <o:lock v:ext="edit" aspectratio="f"/>
              <v:textbox inset="0,0,0,0">
                <w:txbxContent>
                  <w:p>
                    <w:pPr>
                      <w:spacing w:line="374" w:lineRule="auto"/>
                      <w:rPr>
                        <w:rFonts w:ascii="Arial"/>
                        <w:sz w:val="21"/>
                      </w:rPr>
                    </w:pPr>
                  </w:p>
                  <w:p>
                    <w:pPr>
                      <w:spacing w:before="139" w:line="225" w:lineRule="auto"/>
                      <w:ind w:left="726"/>
                      <w:outlineLvl w:val="0"/>
                      <w:rPr>
                        <w:rFonts w:ascii="SimHei" w:eastAsia="SimHei" w:hAnsi="SimHei" w:cs="SimHei"/>
                        <w:sz w:val="43"/>
                        <w:szCs w:val="43"/>
                      </w:rPr>
                    </w:pPr>
                    <w:bookmarkStart w:id="0" w:name="bookmark1"/>
                    <w:bookmarkEnd w:id="0"/>
                    <w:r>
                      <w:rPr>
                        <w:rFonts w:ascii="SimHei" w:eastAsia="SimHei" w:hAnsi="SimHei" w:cs="SimHei"/>
                        <w:color w:val="FFFFFF"/>
                        <w:spacing w:val="8"/>
                        <w:sz w:val="43"/>
                        <w:szCs w:val="43"/>
                        <w14:textOutline w14:w="7972" w14:cap="sq">
                          <w14:solidFill>
                            <w14:srgbClr w14:val="FFFFFF"/>
                          </w14:solidFill>
                          <w14:prstDash w14:val="solid"/>
                          <w14:bevel/>
                        </w14:textOutline>
                      </w:rPr>
                      <w:t>宏观经济专题研究</w:t>
                    </w:r>
                  </w:p>
                  <w:p>
                    <w:pPr>
                      <w:spacing w:before="80" w:line="226" w:lineRule="auto"/>
                      <w:ind w:left="734"/>
                      <w:rPr>
                        <w:rFonts w:ascii="SimHei" w:eastAsia="SimHei" w:hAnsi="SimHei" w:cs="SimHei"/>
                        <w:sz w:val="35"/>
                        <w:szCs w:val="35"/>
                      </w:rPr>
                    </w:pPr>
                    <w:r>
                      <w:rPr>
                        <w:rFonts w:ascii="SimHei" w:eastAsia="SimHei" w:hAnsi="SimHei" w:cs="SimHei"/>
                        <w:color w:val="FFFFFF"/>
                        <w:spacing w:val="9"/>
                        <w:sz w:val="35"/>
                        <w:szCs w:val="35"/>
                        <w14:textOutline w14:w="6537" w14:cap="sq">
                          <w14:solidFill>
                            <w14:srgbClr w14:val="FFFFFF"/>
                          </w14:solidFill>
                          <w14:prstDash w14:val="solid"/>
                          <w14:bevel/>
                        </w14:textOutline>
                      </w:rPr>
                      <w:t>国信宏观扩散指数对于短频股债交易的指引</w:t>
                    </w:r>
                  </w:p>
                </w:txbxContent>
              </v:textbox>
            </v:shape>
            <w10:wrap type="none"/>
          </v:group>
        </w:pict>
      </w:r>
    </w:p>
    <w:p>
      <w:pPr>
        <w:spacing w:line="184" w:lineRule="exact"/>
      </w:pPr>
    </w:p>
    <w:p>
      <w:pPr>
        <w:spacing w:line="184" w:lineRule="exact"/>
        <w:sectPr>
          <w:footerReference w:type="default" r:id="rId6"/>
          <w:pgSz w:w="11906" w:h="16839"/>
          <w:pgMar w:top="340" w:right="0" w:bottom="1108" w:left="0" w:header="0" w:footer="863" w:gutter="0"/>
          <w:cols w:num="1" w:space="708" w:equalWidth="0">
            <w:col w:w="11906" w:space="0"/>
          </w:cols>
        </w:sectPr>
      </w:pPr>
    </w:p>
    <w:p>
      <w:pPr>
        <w:pStyle w:val="BodyText"/>
        <w:spacing w:before="56" w:line="223" w:lineRule="auto"/>
        <w:ind w:left="687"/>
        <w:rPr>
          <w:sz w:val="28"/>
          <w:szCs w:val="28"/>
        </w:rPr>
      </w:pPr>
      <w:r>
        <w:rPr>
          <w:color w:val="004477"/>
          <w:spacing w:val="-2"/>
          <w:sz w:val="28"/>
          <w:szCs w:val="28"/>
          <w14:textOutline w14:w="5103" w14:cap="sq">
            <w14:solidFill>
              <w14:srgbClr w14:val="004477"/>
            </w14:solidFill>
            <w14:prstDash w14:val="solid"/>
            <w14:bevel/>
          </w14:textOutline>
        </w:rPr>
        <w:t>核心观点</w:t>
      </w:r>
    </w:p>
    <w:p>
      <w:pPr>
        <w:pStyle w:val="BodyText"/>
        <w:spacing w:before="109" w:line="246" w:lineRule="auto"/>
        <w:ind w:left="687" w:right="276" w:firstLine="7"/>
        <w:jc w:val="both"/>
      </w:pPr>
      <w:r>
        <w:rPr>
          <w:color w:val="004477"/>
          <w:spacing w:val="-3"/>
          <w14:textOutline w14:w="3795" w14:cap="sq">
            <w14:solidFill>
              <w14:srgbClr w14:val="004477"/>
            </w14:solidFill>
            <w14:prstDash w14:val="solid"/>
            <w14:bevel/>
          </w14:textOutline>
        </w:rPr>
        <w:t>资产价格拟合以及胜率测算框架。</w:t>
      </w:r>
      <w:r>
        <w:rPr>
          <w:spacing w:val="-3"/>
        </w:rPr>
        <w:t>按“周六至下周五”的时间区间取十年期</w:t>
      </w:r>
      <w:r>
        <w:rPr>
          <w:spacing w:val="3"/>
        </w:rPr>
        <w:t xml:space="preserve"> </w:t>
      </w:r>
      <w:r>
        <w:rPr>
          <w:spacing w:val="-3"/>
        </w:rPr>
        <w:t>国债利率、上证综指、南华工业品指数、美元兑人民币汇率中间价的周度平</w:t>
      </w:r>
      <w:r>
        <w:rPr>
          <w:spacing w:val="10"/>
        </w:rPr>
        <w:t xml:space="preserve"> </w:t>
      </w:r>
      <w:r>
        <w:rPr>
          <w:spacing w:val="-2"/>
        </w:rPr>
        <w:t>均值，得到周度资产价格序列。</w:t>
      </w:r>
    </w:p>
    <w:p>
      <w:pPr>
        <w:pStyle w:val="BodyText"/>
        <w:spacing w:before="135" w:line="246" w:lineRule="auto"/>
        <w:ind w:left="686" w:right="276" w:hanging="1"/>
        <w:jc w:val="both"/>
      </w:pPr>
      <w:r>
        <w:rPr>
          <w:spacing w:val="-3"/>
        </w:rPr>
        <w:t>按周度资产价格序列的时间区间，计算国信高频宏观扩散指数</w:t>
      </w:r>
      <w:r>
        <w:rPr>
          <w:spacing w:val="-50"/>
        </w:rPr>
        <w:t xml:space="preserve"> </w:t>
      </w:r>
      <w:r>
        <w:rPr>
          <w:spacing w:val="-3"/>
        </w:rPr>
        <w:t>B</w:t>
      </w:r>
      <w:r>
        <w:rPr>
          <w:spacing w:val="-36"/>
        </w:rPr>
        <w:t xml:space="preserve"> </w:t>
      </w:r>
      <w:r>
        <w:rPr>
          <w:spacing w:val="-3"/>
        </w:rPr>
        <w:t>的周度</w:t>
      </w:r>
      <w:r>
        <w:rPr>
          <w:spacing w:val="-4"/>
        </w:rPr>
        <w:t>平均</w:t>
      </w:r>
      <w:r>
        <w:t xml:space="preserve"> </w:t>
      </w:r>
      <w:r>
        <w:rPr>
          <w:spacing w:val="-3"/>
        </w:rPr>
        <w:t>值，可以得到周度高频指标序列（注：在计算周度高频指标序列过程中，若</w:t>
      </w:r>
      <w:r>
        <w:rPr>
          <w:spacing w:val="10"/>
        </w:rPr>
        <w:t xml:space="preserve"> </w:t>
      </w:r>
      <w:r>
        <w:rPr>
          <w:spacing w:val="-2"/>
        </w:rPr>
        <w:t>遇到高频数据缺失的情况，则假定缺失的数据等于上一周的数值</w:t>
      </w:r>
      <w:r>
        <w:rPr>
          <w:spacing w:val="-3"/>
        </w:rPr>
        <w:t>）。</w:t>
      </w:r>
    </w:p>
    <w:p>
      <w:pPr>
        <w:pStyle w:val="BodyText"/>
        <w:spacing w:before="136" w:line="251" w:lineRule="auto"/>
        <w:ind w:left="685" w:right="276"/>
        <w:jc w:val="both"/>
      </w:pPr>
      <w:r>
        <w:rPr>
          <w:spacing w:val="-3"/>
        </w:rPr>
        <w:t>进一步地，采用国信高频宏观扩散指数周度同比数据来拟合资产价格。考虑</w:t>
      </w:r>
      <w:r>
        <w:rPr>
          <w:spacing w:val="10"/>
        </w:rPr>
        <w:t xml:space="preserve"> </w:t>
      </w:r>
      <w:r>
        <w:rPr>
          <w:spacing w:val="-3"/>
        </w:rPr>
        <w:t>到周度基本面数据的采集到周末才结束，本周的基本面数据大概率在下周才</w:t>
      </w:r>
      <w:r>
        <w:rPr>
          <w:spacing w:val="12"/>
        </w:rPr>
        <w:t xml:space="preserve"> </w:t>
      </w:r>
      <w:r>
        <w:rPr>
          <w:spacing w:val="-3"/>
        </w:rPr>
        <w:t>会被资产价格所消化，因此采用国信高频宏观扩散指数周度同比拟合下一周</w:t>
      </w:r>
      <w:r>
        <w:rPr>
          <w:spacing w:val="12"/>
        </w:rPr>
        <w:t xml:space="preserve"> </w:t>
      </w:r>
      <w:r>
        <w:rPr>
          <w:spacing w:val="-1"/>
        </w:rPr>
        <w:t>的资产价格。</w:t>
      </w:r>
    </w:p>
    <w:p>
      <w:pPr>
        <w:pStyle w:val="BodyText"/>
        <w:spacing w:before="124" w:line="249" w:lineRule="auto"/>
        <w:ind w:left="685" w:right="276" w:firstLine="14"/>
        <w:jc w:val="both"/>
      </w:pPr>
      <w:r>
        <w:rPr>
          <w:color w:val="004477"/>
          <w:spacing w:val="-3"/>
          <w14:textOutline w14:w="3795" w14:cap="sq">
            <w14:solidFill>
              <w14:srgbClr w14:val="004477"/>
            </w14:solidFill>
            <w14:prstDash w14:val="solid"/>
            <w14:bevel/>
          </w14:textOutline>
        </w:rPr>
        <w:t>国信高频宏观扩散指数对资产价格的拟合结果。</w:t>
      </w:r>
      <w:r>
        <w:rPr>
          <w:spacing w:val="-3"/>
        </w:rPr>
        <w:t>运用上述框架，我们可</w:t>
      </w:r>
      <w:r>
        <w:rPr>
          <w:spacing w:val="-4"/>
        </w:rPr>
        <w:t>得到</w:t>
      </w:r>
      <w:r>
        <w:t xml:space="preserve"> </w:t>
      </w:r>
      <w:r>
        <w:rPr>
          <w:spacing w:val="-3"/>
        </w:rPr>
        <w:t>国信宏观扩散指数对各类资产价格的拟合模型。十年期国债收益率，上证综</w:t>
      </w:r>
      <w:r>
        <w:rPr>
          <w:spacing w:val="12"/>
        </w:rPr>
        <w:t xml:space="preserve"> </w:t>
      </w:r>
      <w:r>
        <w:rPr>
          <w:spacing w:val="3"/>
        </w:rPr>
        <w:t>合指数、南华工业品指数、美元兑人民币汇率拟合模型的相关系数分别为</w:t>
      </w:r>
      <w:r>
        <w:rPr>
          <w:spacing w:val="15"/>
        </w:rPr>
        <w:t xml:space="preserve"> </w:t>
      </w:r>
      <w:r>
        <w:rPr>
          <w:spacing w:val="-1"/>
        </w:rPr>
        <w:t>0.848、0.483、0.288、-0.533。</w:t>
      </w:r>
    </w:p>
    <w:p>
      <w:pPr>
        <w:pStyle w:val="BodyText"/>
        <w:spacing w:before="138" w:line="248" w:lineRule="auto"/>
        <w:ind w:left="692" w:right="276" w:firstLine="6"/>
        <w:jc w:val="both"/>
      </w:pPr>
      <w:r>
        <w:rPr>
          <w:color w:val="004477"/>
          <w:spacing w:val="-3"/>
          <w14:textOutline w14:w="3795" w14:cap="sq">
            <w14:solidFill>
              <w14:srgbClr w14:val="004477"/>
            </w14:solidFill>
            <w14:prstDash w14:val="solid"/>
            <w14:bevel/>
          </w14:textOutline>
        </w:rPr>
        <w:t>国信高频宏观扩散指数拟合资产价格的胜率分析。</w:t>
      </w:r>
      <w:r>
        <w:rPr>
          <w:spacing w:val="-3"/>
        </w:rPr>
        <w:t>我们使用方向胜率来</w:t>
      </w:r>
      <w:r>
        <w:rPr>
          <w:spacing w:val="-4"/>
        </w:rPr>
        <w:t>判定</w:t>
      </w:r>
      <w:r>
        <w:t xml:space="preserve"> </w:t>
      </w:r>
      <w:r>
        <w:t>国信高频宏观扩散指数拟合资产价格的好坏（方向胜率=拟合值相对上周真</w:t>
      </w:r>
      <w:r>
        <w:rPr>
          <w:spacing w:val="3"/>
        </w:rPr>
        <w:t xml:space="preserve"> </w:t>
      </w:r>
      <w:r>
        <w:rPr>
          <w:spacing w:val="-3"/>
        </w:rPr>
        <w:t>实值的变动方向与实际资产价格运行方向一致的概率大小）。</w:t>
      </w:r>
    </w:p>
    <w:p>
      <w:pPr>
        <w:pStyle w:val="BodyText"/>
        <w:spacing w:before="128" w:line="248" w:lineRule="auto"/>
        <w:ind w:left="686" w:right="277"/>
      </w:pPr>
      <w:r>
        <w:rPr>
          <w:spacing w:val="-3"/>
        </w:rPr>
        <w:t>从结果来看，国信高频宏观扩散指数拟合十年期国债利率以及上证综指的方</w:t>
      </w:r>
      <w:r>
        <w:rPr>
          <w:spacing w:val="10"/>
        </w:rPr>
        <w:t xml:space="preserve"> </w:t>
      </w:r>
      <w:r>
        <w:rPr>
          <w:spacing w:val="-3"/>
        </w:rPr>
        <w:t>向胜率较高，拟合南华工业品指数以及美元兑人民币汇率的方向胜率偏低，</w:t>
      </w:r>
      <w:r>
        <w:rPr>
          <w:spacing w:val="11"/>
        </w:rPr>
        <w:t xml:space="preserve"> </w:t>
      </w:r>
      <w:r>
        <w:rPr>
          <w:spacing w:val="-2"/>
        </w:rPr>
        <w:t>特别是拟合美元兑人民币汇率的方向胜率明显低于</w:t>
      </w:r>
      <w:r>
        <w:rPr>
          <w:spacing w:val="-44"/>
        </w:rPr>
        <w:t xml:space="preserve"> </w:t>
      </w:r>
      <w:r>
        <w:rPr>
          <w:spacing w:val="-2"/>
        </w:rPr>
        <w:t>50%。</w:t>
      </w:r>
    </w:p>
    <w:p>
      <w:pPr>
        <w:pStyle w:val="BodyText"/>
        <w:spacing w:before="124" w:line="254" w:lineRule="auto"/>
        <w:ind w:left="685" w:right="276" w:firstLine="6"/>
        <w:jc w:val="both"/>
      </w:pPr>
      <w:r>
        <w:rPr>
          <w:spacing w:val="-3"/>
        </w:rPr>
        <w:t>此外，方向胜率的稳健性需要较长的时间来验证。此处十年国债收益率的方</w:t>
      </w:r>
      <w:r>
        <w:rPr>
          <w:spacing w:val="5"/>
        </w:rPr>
        <w:t xml:space="preserve"> </w:t>
      </w:r>
      <w:r>
        <w:t>向胜率是从</w:t>
      </w:r>
      <w:r>
        <w:rPr>
          <w:spacing w:val="-51"/>
        </w:rPr>
        <w:t xml:space="preserve"> </w:t>
      </w:r>
      <w:r>
        <w:t>2019</w:t>
      </w:r>
      <w:r>
        <w:rPr>
          <w:spacing w:val="-49"/>
        </w:rPr>
        <w:t xml:space="preserve"> </w:t>
      </w:r>
      <w:r>
        <w:t>年</w:t>
      </w:r>
      <w:r>
        <w:rPr>
          <w:spacing w:val="-40"/>
        </w:rPr>
        <w:t xml:space="preserve"> </w:t>
      </w:r>
      <w:r>
        <w:t>10</w:t>
      </w:r>
      <w:r>
        <w:rPr>
          <w:spacing w:val="-43"/>
        </w:rPr>
        <w:t xml:space="preserve"> </w:t>
      </w:r>
      <w:r>
        <w:t>月开始统计，上证综合</w:t>
      </w:r>
      <w:r>
        <w:rPr>
          <w:spacing w:val="-1"/>
        </w:rPr>
        <w:t>指数是</w:t>
      </w:r>
      <w:r>
        <w:rPr>
          <w:spacing w:val="-50"/>
        </w:rPr>
        <w:t xml:space="preserve"> </w:t>
      </w:r>
      <w:r>
        <w:rPr>
          <w:spacing w:val="-1"/>
        </w:rPr>
        <w:t>2021</w:t>
      </w:r>
      <w:r>
        <w:rPr>
          <w:spacing w:val="-49"/>
        </w:rPr>
        <w:t xml:space="preserve"> </w:t>
      </w:r>
      <w:r>
        <w:rPr>
          <w:spacing w:val="-1"/>
        </w:rPr>
        <w:t>年</w:t>
      </w:r>
      <w:r>
        <w:rPr>
          <w:spacing w:val="-53"/>
        </w:rPr>
        <w:t xml:space="preserve"> </w:t>
      </w:r>
      <w:r>
        <w:rPr>
          <w:spacing w:val="-1"/>
        </w:rPr>
        <w:t>2</w:t>
      </w:r>
      <w:r>
        <w:rPr>
          <w:spacing w:val="-40"/>
        </w:rPr>
        <w:t xml:space="preserve"> </w:t>
      </w:r>
      <w:r>
        <w:rPr>
          <w:spacing w:val="-1"/>
        </w:rPr>
        <w:t>月，南华工</w:t>
      </w:r>
      <w:r>
        <w:t xml:space="preserve"> </w:t>
      </w:r>
      <w:r>
        <w:t>业品指数是</w:t>
      </w:r>
      <w:r>
        <w:rPr>
          <w:spacing w:val="-49"/>
        </w:rPr>
        <w:t xml:space="preserve"> </w:t>
      </w:r>
      <w:r>
        <w:t>2023</w:t>
      </w:r>
      <w:r>
        <w:rPr>
          <w:spacing w:val="-47"/>
        </w:rPr>
        <w:t xml:space="preserve"> </w:t>
      </w:r>
      <w:r>
        <w:t>年</w:t>
      </w:r>
      <w:r>
        <w:rPr>
          <w:spacing w:val="-51"/>
        </w:rPr>
        <w:t xml:space="preserve"> </w:t>
      </w:r>
      <w:r>
        <w:t>3</w:t>
      </w:r>
      <w:r>
        <w:rPr>
          <w:spacing w:val="-40"/>
        </w:rPr>
        <w:t xml:space="preserve"> </w:t>
      </w:r>
      <w:r>
        <w:t>月。此处十年期国债收益率和上证综合指数的方向胜</w:t>
      </w:r>
      <w:r>
        <w:t xml:space="preserve"> </w:t>
      </w:r>
      <w:r>
        <w:rPr>
          <w:spacing w:val="-3"/>
        </w:rPr>
        <w:t>率较高且验证的时间较长，因此预测结果的稳健性值得信赖，但南华工业品</w:t>
      </w:r>
      <w:r>
        <w:rPr>
          <w:spacing w:val="10"/>
        </w:rPr>
        <w:t xml:space="preserve"> </w:t>
      </w:r>
      <w:r>
        <w:rPr>
          <w:spacing w:val="-1"/>
        </w:rPr>
        <w:t>指数方向胜率验证的时间尚短，其方向胜率维持在</w:t>
      </w:r>
      <w:r>
        <w:rPr>
          <w:spacing w:val="-53"/>
        </w:rPr>
        <w:t xml:space="preserve"> </w:t>
      </w:r>
      <w:r>
        <w:rPr>
          <w:spacing w:val="-1"/>
        </w:rPr>
        <w:t>54%以上的不确定性还比</w:t>
      </w:r>
      <w:r>
        <w:t xml:space="preserve"> </w:t>
      </w:r>
      <w:r>
        <w:rPr>
          <w:spacing w:val="-1"/>
        </w:rPr>
        <w:t>较大。</w:t>
      </w:r>
    </w:p>
    <w:p>
      <w:pPr>
        <w:pStyle w:val="BodyText"/>
        <w:spacing w:before="125" w:line="251" w:lineRule="auto"/>
        <w:ind w:left="686" w:right="279" w:firstLine="14"/>
      </w:pPr>
      <w:r>
        <w:rPr>
          <w:color w:val="004477"/>
          <w:spacing w:val="-2"/>
          <w14:textOutline w14:w="3795" w14:cap="sq">
            <w14:solidFill>
              <w14:srgbClr w14:val="004477"/>
            </w14:solidFill>
            <w14:prstDash w14:val="solid"/>
            <w14:bevel/>
          </w14:textOutline>
        </w:rPr>
        <w:t>当前国内利率和股票价格或明显偏离国内基本面。</w:t>
      </w:r>
      <w:r>
        <w:rPr>
          <w:spacing w:val="-3"/>
        </w:rPr>
        <w:t>本周（2024</w:t>
      </w:r>
      <w:r>
        <w:rPr>
          <w:spacing w:val="-49"/>
        </w:rPr>
        <w:t xml:space="preserve"> </w:t>
      </w:r>
      <w:r>
        <w:rPr>
          <w:spacing w:val="-3"/>
        </w:rPr>
        <w:t>年</w:t>
      </w:r>
      <w:r>
        <w:rPr>
          <w:spacing w:val="-55"/>
        </w:rPr>
        <w:t xml:space="preserve"> </w:t>
      </w:r>
      <w:r>
        <w:rPr>
          <w:spacing w:val="-3"/>
        </w:rPr>
        <w:t>2</w:t>
      </w:r>
      <w:r>
        <w:rPr>
          <w:spacing w:val="-43"/>
        </w:rPr>
        <w:t xml:space="preserve"> </w:t>
      </w:r>
      <w:r>
        <w:rPr>
          <w:spacing w:val="-3"/>
        </w:rPr>
        <w:t>月</w:t>
      </w:r>
      <w:r>
        <w:rPr>
          <w:spacing w:val="-55"/>
        </w:rPr>
        <w:t xml:space="preserve"> </w:t>
      </w:r>
      <w:r>
        <w:rPr>
          <w:spacing w:val="-3"/>
        </w:rPr>
        <w:t>23</w:t>
      </w:r>
      <w:r>
        <w:rPr>
          <w:spacing w:val="-20"/>
        </w:rPr>
        <w:t xml:space="preserve"> </w:t>
      </w:r>
      <w:r>
        <w:rPr>
          <w:spacing w:val="-3"/>
        </w:rPr>
        <w:t>日</w:t>
      </w:r>
      <w:r>
        <w:t xml:space="preserve"> </w:t>
      </w:r>
      <w:r>
        <w:rPr>
          <w:spacing w:val="-3"/>
        </w:rPr>
        <w:t>所在周）十年期国债收益率、上证综合指数的预测值明显高于实际发生值，</w:t>
      </w:r>
      <w:r>
        <w:rPr>
          <w:spacing w:val="9"/>
        </w:rPr>
        <w:t xml:space="preserve"> </w:t>
      </w:r>
      <w:r>
        <w:rPr>
          <w:spacing w:val="-1"/>
        </w:rPr>
        <w:t>预测值与实际发生值的偏差历史分位数达到</w:t>
      </w:r>
      <w:r>
        <w:rPr>
          <w:spacing w:val="-56"/>
        </w:rPr>
        <w:t xml:space="preserve"> </w:t>
      </w:r>
      <w:r>
        <w:rPr>
          <w:spacing w:val="-1"/>
        </w:rPr>
        <w:t>90%以上，表明当前国内利率和</w:t>
      </w:r>
      <w:r>
        <w:t xml:space="preserve"> </w:t>
      </w:r>
      <w:r>
        <w:rPr>
          <w:spacing w:val="-2"/>
        </w:rPr>
        <w:t>股票价格明显偏离了国信宏观扩散指数所捕抓到的国内基本面情况。</w:t>
      </w:r>
    </w:p>
    <w:p>
      <w:pPr>
        <w:pStyle w:val="BodyText"/>
        <w:spacing w:before="125" w:line="249" w:lineRule="auto"/>
        <w:ind w:left="685" w:right="235"/>
        <w:jc w:val="both"/>
      </w:pPr>
      <w:r>
        <w:rPr>
          <w:spacing w:val="-4"/>
        </w:rPr>
        <w:t>模型的预测结果显示，下周（2024</w:t>
      </w:r>
      <w:r>
        <w:rPr>
          <w:spacing w:val="-52"/>
        </w:rPr>
        <w:t xml:space="preserve"> </w:t>
      </w:r>
      <w:r>
        <w:rPr>
          <w:spacing w:val="-4"/>
        </w:rPr>
        <w:t>年</w:t>
      </w:r>
      <w:r>
        <w:rPr>
          <w:spacing w:val="-51"/>
        </w:rPr>
        <w:t xml:space="preserve"> </w:t>
      </w:r>
      <w:r>
        <w:rPr>
          <w:spacing w:val="-4"/>
        </w:rPr>
        <w:t>3</w:t>
      </w:r>
      <w:r>
        <w:rPr>
          <w:spacing w:val="-45"/>
        </w:rPr>
        <w:t xml:space="preserve"> </w:t>
      </w:r>
      <w:r>
        <w:rPr>
          <w:spacing w:val="-4"/>
        </w:rPr>
        <w:t>月</w:t>
      </w:r>
      <w:r>
        <w:rPr>
          <w:spacing w:val="-41"/>
        </w:rPr>
        <w:t xml:space="preserve"> </w:t>
      </w:r>
      <w:r>
        <w:rPr>
          <w:spacing w:val="-4"/>
        </w:rPr>
        <w:t>1</w:t>
      </w:r>
      <w:r>
        <w:rPr>
          <w:spacing w:val="-4"/>
        </w:rPr>
        <w:t xml:space="preserve"> </w:t>
      </w:r>
      <w:r>
        <w:rPr>
          <w:spacing w:val="-4"/>
        </w:rPr>
        <w:t>日</w:t>
      </w:r>
      <w:r>
        <w:rPr>
          <w:spacing w:val="-5"/>
        </w:rPr>
        <w:t>所在周）十年期国债收益率、</w:t>
      </w:r>
      <w:r>
        <w:t xml:space="preserve"> </w:t>
      </w:r>
      <w:r>
        <w:rPr>
          <w:spacing w:val="-3"/>
        </w:rPr>
        <w:t>上证综合指数预测值仍明显高于本周数值，预计下周十年期国债收益率、上</w:t>
      </w:r>
      <w:r>
        <w:rPr>
          <w:spacing w:val="11"/>
        </w:rPr>
        <w:t xml:space="preserve"> </w:t>
      </w:r>
      <w:r>
        <w:rPr>
          <w:spacing w:val="-2"/>
        </w:rPr>
        <w:t>证综合指数将上行并向模型拟合值靠拢。</w:t>
      </w:r>
    </w:p>
    <w:p>
      <w:pPr>
        <w:pStyle w:val="BodyText"/>
        <w:spacing w:before="125" w:line="196" w:lineRule="auto"/>
        <w:ind w:left="688"/>
      </w:pPr>
      <w:r>
        <w:rPr>
          <w:color w:val="004477"/>
          <w:spacing w:val="-2"/>
          <w14:textOutline w14:w="3795" w14:cap="sq">
            <w14:solidFill>
              <w14:srgbClr w14:val="004477"/>
            </w14:solidFill>
            <w14:prstDash w14:val="solid"/>
            <w14:bevel/>
          </w14:textOutline>
        </w:rPr>
        <w:t>风险提示：</w:t>
      </w:r>
      <w:r>
        <w:rPr>
          <w:spacing w:val="-2"/>
        </w:rPr>
        <w:t>拟合模型失去稳健性，政府经济刺激力度下降，经济增速下滑。</w:t>
      </w:r>
    </w:p>
    <w:p>
      <w:pPr>
        <w:spacing w:line="14" w:lineRule="auto"/>
        <w:rPr>
          <w:rFonts w:ascii="Arial"/>
          <w:sz w:val="2"/>
        </w:rPr>
      </w:pPr>
      <w:r>
        <w:rPr>
          <w:rFonts w:ascii="Arial" w:eastAsia="Arial" w:hAnsi="Arial" w:cs="Arial"/>
          <w:sz w:val="2"/>
          <w:szCs w:val="2"/>
        </w:rPr>
        <w:br w:type="column"/>
      </w:r>
    </w:p>
    <w:p>
      <w:pPr>
        <w:pStyle w:val="BodyText"/>
        <w:spacing w:before="115" w:line="230" w:lineRule="auto"/>
        <w:ind w:left="41"/>
      </w:pPr>
      <w:r>
        <w:rPr>
          <w:color w:val="004477"/>
          <w:spacing w:val="9"/>
          <w14:textOutline w14:w="3795" w14:cap="sq">
            <w14:solidFill>
              <w14:srgbClr w14:val="004477"/>
            </w14:solidFill>
            <w14:prstDash w14:val="solid"/>
            <w14:bevel/>
          </w14:textOutline>
        </w:rPr>
        <w:t>经济研究·宏观专题</w:t>
      </w:r>
    </w:p>
    <w:p>
      <w:pPr>
        <w:spacing w:line="147" w:lineRule="exact"/>
      </w:pPr>
    </w:p>
    <w:tbl>
      <w:tblPr>
        <w:tblStyle w:val="TableNormal"/>
        <w:tblW w:w="3304" w:type="dxa"/>
        <w:tblInd w:w="35" w:type="dxa"/>
        <w:tblBorders>
          <w:top w:val="nil"/>
          <w:left w:val="nil"/>
          <w:bottom w:val="nil"/>
          <w:right w:val="nil"/>
          <w:insideH w:val="nil"/>
          <w:insideV w:val="nil"/>
        </w:tblBorders>
        <w:tblLayout w:type="fixed"/>
      </w:tblPr>
      <w:tblGrid>
        <w:gridCol w:w="1580"/>
        <w:gridCol w:w="1724"/>
      </w:tblGrid>
      <w:tr>
        <w:tblPrEx>
          <w:tblW w:w="3304" w:type="dxa"/>
          <w:tblInd w:w="35" w:type="dxa"/>
          <w:tblBorders>
            <w:top w:val="nil"/>
            <w:left w:val="nil"/>
            <w:bottom w:val="nil"/>
            <w:right w:val="nil"/>
            <w:insideH w:val="nil"/>
            <w:insideV w:val="nil"/>
          </w:tblBorders>
          <w:tblLayout w:type="fixed"/>
        </w:tblPrEx>
        <w:trPr>
          <w:trHeight w:val="711"/>
        </w:trPr>
        <w:tc>
          <w:tcPr>
            <w:tcW w:w="1580" w:type="dxa"/>
            <w:vAlign w:val="top"/>
          </w:tcPr>
          <w:p>
            <w:pPr>
              <w:pStyle w:val="TableText"/>
              <w:spacing w:line="233" w:lineRule="auto"/>
            </w:pPr>
            <w:r>
              <w:rPr>
                <w:spacing w:val="9"/>
                <w14:textOutline w14:w="2705" w14:cap="sq">
                  <w14:solidFill>
                    <w14:srgbClr w14:val="000000"/>
                  </w14:solidFill>
                  <w14:prstDash w14:val="solid"/>
                  <w14:bevel/>
                </w14:textOutline>
              </w:rPr>
              <w:t>证券分析师：李智能</w:t>
            </w:r>
          </w:p>
          <w:p>
            <w:pPr>
              <w:pStyle w:val="TableText"/>
              <w:spacing w:before="38" w:line="194" w:lineRule="auto"/>
            </w:pPr>
            <w:r>
              <w:rPr>
                <w:spacing w:val="4"/>
              </w:rPr>
              <w:t>0755-22940456</w:t>
            </w:r>
          </w:p>
          <w:p>
            <w:pPr>
              <w:pStyle w:val="TableText"/>
              <w:spacing w:before="25" w:line="206" w:lineRule="auto"/>
              <w:ind w:right="238" w:firstLine="25"/>
            </w:pPr>
            <w:r>
              <w:t>lizn</w:t>
            </w:r>
            <w:r>
              <w:rPr>
                <w:spacing w:val="18"/>
              </w:rPr>
              <w:t>@</w:t>
            </w:r>
            <w:r>
              <w:t>guosen</w:t>
            </w:r>
            <w:r>
              <w:rPr>
                <w:spacing w:val="18"/>
              </w:rPr>
              <w:t>.</w:t>
            </w:r>
            <w:r>
              <w:t>com</w:t>
            </w:r>
            <w:r>
              <w:rPr>
                <w:spacing w:val="18"/>
              </w:rPr>
              <w:t>.</w:t>
            </w:r>
            <w:r>
              <w:t>cn</w:t>
            </w:r>
            <w:r>
              <w:t xml:space="preserve"> </w:t>
            </w:r>
            <w:r>
              <w:rPr>
                <w:spacing w:val="4"/>
              </w:rPr>
              <w:t>S0980516060001</w:t>
            </w:r>
          </w:p>
        </w:tc>
        <w:tc>
          <w:tcPr>
            <w:tcW w:w="1724" w:type="dxa"/>
            <w:vAlign w:val="top"/>
          </w:tcPr>
          <w:p>
            <w:pPr>
              <w:pStyle w:val="TableText"/>
              <w:spacing w:line="234" w:lineRule="auto"/>
              <w:ind w:left="232"/>
            </w:pPr>
            <w:r>
              <w:rPr>
                <w:spacing w:val="9"/>
                <w14:textOutline w14:w="2705" w14:cap="sq">
                  <w14:solidFill>
                    <w14:srgbClr w14:val="000000"/>
                  </w14:solidFill>
                  <w14:prstDash w14:val="solid"/>
                  <w14:bevel/>
                </w14:textOutline>
              </w:rPr>
              <w:t>证券分析师：董德志</w:t>
            </w:r>
          </w:p>
          <w:p>
            <w:pPr>
              <w:pStyle w:val="TableText"/>
              <w:spacing w:before="38" w:line="194" w:lineRule="auto"/>
              <w:ind w:left="232"/>
            </w:pPr>
            <w:r>
              <w:rPr>
                <w:spacing w:val="4"/>
              </w:rPr>
              <w:t>021-60933158</w:t>
            </w:r>
          </w:p>
          <w:p>
            <w:pPr>
              <w:pStyle w:val="TableText"/>
              <w:spacing w:before="25" w:line="206" w:lineRule="auto"/>
              <w:ind w:left="232"/>
            </w:pPr>
            <w:r>
              <w:rPr>
                <w:spacing w:val="4"/>
              </w:rPr>
              <w:t>dongdz@guosen.com.cn</w:t>
            </w:r>
            <w:r>
              <w:rPr>
                <w:spacing w:val="10"/>
              </w:rPr>
              <w:t xml:space="preserve"> </w:t>
            </w:r>
            <w:r>
              <w:rPr>
                <w:spacing w:val="4"/>
              </w:rPr>
              <w:t>S0980513100001</w:t>
            </w:r>
          </w:p>
        </w:tc>
      </w:tr>
    </w:tbl>
    <w:p>
      <w:pPr>
        <w:pStyle w:val="BodyText"/>
        <w:spacing w:before="152" w:line="221" w:lineRule="auto"/>
        <w:ind w:left="38"/>
        <w:rPr>
          <w:sz w:val="18"/>
          <w:szCs w:val="18"/>
        </w:rPr>
      </w:pPr>
      <w:r>
        <w:rPr>
          <w:color w:val="004477"/>
          <w:spacing w:val="-2"/>
          <w:sz w:val="18"/>
          <w:szCs w:val="18"/>
        </w:rPr>
        <w:t>基础数据</w:t>
      </w:r>
      <w:r>
        <w:rPr>
          <w:color w:val="004477"/>
          <w:spacing w:val="-74"/>
          <w:sz w:val="18"/>
          <w:szCs w:val="18"/>
        </w:rPr>
        <w:t xml:space="preserve"> </w:t>
      </w:r>
      <w:r>
        <w:rPr>
          <w:color w:val="004477"/>
          <w:sz w:val="18"/>
          <w:szCs w:val="18"/>
          <w:u w:val="single" w:color="auto"/>
        </w:rPr>
        <w:t xml:space="preserve">                                 </w:t>
      </w:r>
    </w:p>
    <w:p>
      <w:pPr>
        <w:spacing w:line="89" w:lineRule="exact"/>
      </w:pPr>
    </w:p>
    <w:tbl>
      <w:tblPr>
        <w:tblStyle w:val="TableNormal"/>
        <w:tblW w:w="3607" w:type="dxa"/>
        <w:tblInd w:w="35" w:type="dxa"/>
        <w:tblBorders>
          <w:top w:val="nil"/>
          <w:left w:val="nil"/>
          <w:bottom w:val="nil"/>
          <w:right w:val="nil"/>
          <w:insideH w:val="nil"/>
          <w:insideV w:val="nil"/>
        </w:tblBorders>
        <w:tblLayout w:type="fixed"/>
      </w:tblPr>
      <w:tblGrid>
        <w:gridCol w:w="2323"/>
        <w:gridCol w:w="1284"/>
      </w:tblGrid>
      <w:tr>
        <w:tblPrEx>
          <w:tblW w:w="3607" w:type="dxa"/>
          <w:tblInd w:w="35" w:type="dxa"/>
          <w:tblBorders>
            <w:top w:val="nil"/>
            <w:left w:val="nil"/>
            <w:bottom w:val="nil"/>
            <w:right w:val="nil"/>
            <w:insideH w:val="nil"/>
            <w:insideV w:val="nil"/>
          </w:tblBorders>
          <w:tblLayout w:type="fixed"/>
        </w:tblPrEx>
        <w:trPr>
          <w:trHeight w:val="616"/>
        </w:trPr>
        <w:tc>
          <w:tcPr>
            <w:tcW w:w="2323" w:type="dxa"/>
            <w:vAlign w:val="top"/>
          </w:tcPr>
          <w:p>
            <w:pPr>
              <w:pStyle w:val="TableText"/>
              <w:spacing w:line="168" w:lineRule="exact"/>
              <w:ind w:left="7"/>
              <w:rPr>
                <w:sz w:val="12"/>
                <w:szCs w:val="12"/>
              </w:rPr>
            </w:pPr>
            <w:r>
              <w:rPr>
                <w:spacing w:val="8"/>
                <w:position w:val="3"/>
                <w:sz w:val="12"/>
                <w:szCs w:val="12"/>
              </w:rPr>
              <w:t>固定资产投资累计同比</w:t>
            </w:r>
          </w:p>
          <w:p>
            <w:pPr>
              <w:pStyle w:val="TableText"/>
              <w:spacing w:line="236" w:lineRule="auto"/>
              <w:rPr>
                <w:sz w:val="12"/>
                <w:szCs w:val="12"/>
              </w:rPr>
            </w:pPr>
            <w:r>
              <w:rPr>
                <w:spacing w:val="9"/>
                <w:sz w:val="12"/>
                <w:szCs w:val="12"/>
              </w:rPr>
              <w:t>社零总额当月同比</w:t>
            </w:r>
          </w:p>
          <w:p>
            <w:pPr>
              <w:pStyle w:val="TableText"/>
              <w:spacing w:before="14" w:line="182" w:lineRule="exact"/>
              <w:ind w:left="9"/>
              <w:rPr>
                <w:sz w:val="12"/>
                <w:szCs w:val="12"/>
              </w:rPr>
            </w:pPr>
            <w:r>
              <w:rPr>
                <w:spacing w:val="7"/>
                <w:position w:val="4"/>
                <w:sz w:val="12"/>
                <w:szCs w:val="12"/>
              </w:rPr>
              <w:t>出口当月同比</w:t>
            </w:r>
          </w:p>
          <w:p>
            <w:pPr>
              <w:pStyle w:val="TableText"/>
              <w:spacing w:line="87" w:lineRule="exact"/>
              <w:rPr>
                <w:sz w:val="12"/>
                <w:szCs w:val="12"/>
              </w:rPr>
            </w:pPr>
            <w:r>
              <w:rPr>
                <w:spacing w:val="2"/>
                <w:position w:val="-2"/>
                <w:sz w:val="12"/>
                <w:szCs w:val="12"/>
              </w:rPr>
              <w:t>M2</w:t>
            </w:r>
          </w:p>
        </w:tc>
        <w:tc>
          <w:tcPr>
            <w:tcW w:w="1284" w:type="dxa"/>
            <w:vAlign w:val="top"/>
          </w:tcPr>
          <w:p>
            <w:pPr>
              <w:pStyle w:val="TableText"/>
              <w:spacing w:before="18" w:line="226" w:lineRule="auto"/>
              <w:ind w:left="1028" w:firstLine="1"/>
              <w:jc w:val="both"/>
              <w:rPr>
                <w:sz w:val="12"/>
                <w:szCs w:val="12"/>
              </w:rPr>
            </w:pPr>
            <w:r>
              <w:rPr>
                <w:spacing w:val="3"/>
                <w:sz w:val="12"/>
                <w:szCs w:val="12"/>
              </w:rPr>
              <w:t>3.00</w:t>
            </w:r>
            <w:r>
              <w:rPr>
                <w:sz w:val="12"/>
                <w:szCs w:val="12"/>
              </w:rPr>
              <w:t xml:space="preserve"> </w:t>
            </w:r>
            <w:r>
              <w:rPr>
                <w:spacing w:val="3"/>
                <w:sz w:val="12"/>
                <w:szCs w:val="12"/>
              </w:rPr>
              <w:t>7.40</w:t>
            </w:r>
            <w:r>
              <w:rPr>
                <w:spacing w:val="2"/>
                <w:sz w:val="12"/>
                <w:szCs w:val="12"/>
              </w:rPr>
              <w:t xml:space="preserve"> </w:t>
            </w:r>
            <w:r>
              <w:rPr>
                <w:spacing w:val="3"/>
                <w:sz w:val="12"/>
                <w:szCs w:val="12"/>
              </w:rPr>
              <w:t>2.30</w:t>
            </w:r>
            <w:r>
              <w:rPr>
                <w:spacing w:val="2"/>
                <w:sz w:val="12"/>
                <w:szCs w:val="12"/>
              </w:rPr>
              <w:t xml:space="preserve"> </w:t>
            </w:r>
            <w:r>
              <w:rPr>
                <w:spacing w:val="3"/>
                <w:sz w:val="12"/>
                <w:szCs w:val="12"/>
              </w:rPr>
              <w:t>8.70</w:t>
            </w:r>
          </w:p>
        </w:tc>
      </w:tr>
    </w:tbl>
    <w:p>
      <w:pPr>
        <w:pStyle w:val="BodyText"/>
        <w:spacing w:before="148" w:line="222" w:lineRule="auto"/>
        <w:ind w:left="40"/>
        <w:rPr>
          <w:sz w:val="18"/>
          <w:szCs w:val="18"/>
        </w:rPr>
      </w:pPr>
      <w:r>
        <w:rPr>
          <w:color w:val="004477"/>
          <w:spacing w:val="-3"/>
          <w:sz w:val="18"/>
          <w:szCs w:val="18"/>
        </w:rPr>
        <w:t>市场走势</w:t>
      </w:r>
      <w:r>
        <w:rPr>
          <w:color w:val="004477"/>
          <w:spacing w:val="-73"/>
          <w:sz w:val="18"/>
          <w:szCs w:val="18"/>
        </w:rPr>
        <w:t xml:space="preserve"> </w:t>
      </w:r>
      <w:r>
        <w:rPr>
          <w:color w:val="004477"/>
          <w:sz w:val="18"/>
          <w:szCs w:val="18"/>
          <w:u w:val="single" w:color="auto"/>
        </w:rPr>
        <w:t xml:space="preserve">                                 </w:t>
      </w:r>
    </w:p>
    <w:p>
      <w:pPr>
        <w:spacing w:before="38" w:line="2403" w:lineRule="exact"/>
      </w:pPr>
      <w:r>
        <w:rPr>
          <w:position w:val="-48"/>
        </w:rPr>
        <w:drawing>
          <wp:inline distT="0" distB="0" distL="0" distR="0">
            <wp:extent cx="2355850" cy="152590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2355850" cy="1525905"/>
                    </a:xfrm>
                    <a:prstGeom prst="rect">
                      <a:avLst/>
                    </a:prstGeom>
                  </pic:spPr>
                </pic:pic>
              </a:graphicData>
            </a:graphic>
          </wp:inline>
        </w:drawing>
      </w:r>
    </w:p>
    <w:p>
      <w:pPr>
        <w:pStyle w:val="BodyText"/>
        <w:spacing w:before="49" w:line="236" w:lineRule="auto"/>
        <w:ind w:left="40"/>
        <w:rPr>
          <w:sz w:val="12"/>
          <w:szCs w:val="12"/>
        </w:rPr>
      </w:pPr>
      <w:r>
        <w:rPr>
          <w:spacing w:val="10"/>
          <w:sz w:val="12"/>
          <w:szCs w:val="12"/>
        </w:rPr>
        <w:t>资料来源：</w:t>
      </w:r>
      <w:r>
        <w:rPr>
          <w:sz w:val="12"/>
          <w:szCs w:val="12"/>
        </w:rPr>
        <w:t>Wind</w:t>
      </w:r>
      <w:r>
        <w:rPr>
          <w:spacing w:val="10"/>
          <w:sz w:val="12"/>
          <w:szCs w:val="12"/>
        </w:rPr>
        <w:t>、国信证券经济研究所整理</w:t>
      </w:r>
    </w:p>
    <w:p>
      <w:pPr>
        <w:pStyle w:val="BodyText"/>
        <w:spacing w:before="103" w:line="222" w:lineRule="auto"/>
        <w:ind w:left="39"/>
        <w:rPr>
          <w:sz w:val="18"/>
          <w:szCs w:val="18"/>
        </w:rPr>
      </w:pPr>
      <w:r>
        <w:rPr>
          <w:color w:val="004477"/>
          <w:spacing w:val="-2"/>
          <w:sz w:val="18"/>
          <w:szCs w:val="18"/>
        </w:rPr>
        <w:t>相关研究报告</w:t>
      </w:r>
      <w:r>
        <w:rPr>
          <w:color w:val="004477"/>
          <w:spacing w:val="-69"/>
          <w:sz w:val="18"/>
          <w:szCs w:val="18"/>
        </w:rPr>
        <w:t xml:space="preserve"> </w:t>
      </w:r>
      <w:r>
        <w:rPr>
          <w:color w:val="004477"/>
          <w:sz w:val="18"/>
          <w:szCs w:val="18"/>
          <w:u w:val="single" w:color="auto"/>
        </w:rPr>
        <w:t xml:space="preserve">                            </w:t>
      </w:r>
    </w:p>
    <w:p>
      <w:pPr>
        <w:pStyle w:val="BodyText"/>
        <w:spacing w:before="89" w:line="247" w:lineRule="auto"/>
        <w:ind w:left="43" w:right="726" w:hanging="8"/>
        <w:rPr>
          <w:sz w:val="12"/>
          <w:szCs w:val="12"/>
        </w:rPr>
      </w:pPr>
      <w:r>
        <w:rPr>
          <w:spacing w:val="9"/>
          <w:sz w:val="12"/>
          <w:szCs w:val="12"/>
        </w:rPr>
        <w:t>《宏观经济专题研究-风物长宜放眼量—美国互联网产业带给中</w:t>
      </w:r>
      <w:r>
        <w:rPr>
          <w:spacing w:val="14"/>
          <w:sz w:val="12"/>
          <w:szCs w:val="12"/>
        </w:rPr>
        <w:t xml:space="preserve"> </w:t>
      </w:r>
      <w:r>
        <w:rPr>
          <w:spacing w:val="7"/>
          <w:sz w:val="12"/>
          <w:szCs w:val="12"/>
        </w:rPr>
        <w:t>国高新技术产业发展的启示》</w:t>
      </w:r>
      <w:r>
        <w:rPr>
          <w:spacing w:val="7"/>
          <w:sz w:val="12"/>
          <w:szCs w:val="12"/>
        </w:rPr>
        <w:t xml:space="preserve"> </w:t>
      </w:r>
      <w:r>
        <w:rPr>
          <w:spacing w:val="7"/>
          <w:sz w:val="12"/>
          <w:szCs w:val="12"/>
        </w:rPr>
        <w:t>——2024-02-22</w:t>
      </w:r>
    </w:p>
    <w:sdt>
      <w:sdtPr>
        <w:rPr>
          <w:rFonts w:ascii="SimHei" w:eastAsia="SimHei" w:hAnsi="SimHei" w:cs="SimHei"/>
          <w:sz w:val="12"/>
          <w:szCs w:val="12"/>
        </w:rPr>
        <w:id w:val="1762266143"/>
        <w:docPartObj>
          <w:docPartGallery w:val="Table of Contents"/>
          <w:docPartUnique/>
        </w:docPartObj>
      </w:sdtPr>
      <w:sdtEndPr>
        <w:rPr>
          <w:rFonts w:ascii="SimHei" w:eastAsia="SimHei" w:hAnsi="SimHei" w:cs="SimHei"/>
          <w:sz w:val="12"/>
          <w:szCs w:val="12"/>
        </w:rPr>
      </w:sdtEndPr>
      <w:sdtContent>
        <w:p>
          <w:pPr>
            <w:pStyle w:val="BodyText"/>
            <w:spacing w:before="17" w:line="235" w:lineRule="auto"/>
            <w:ind w:left="35"/>
            <w:rPr>
              <w:sz w:val="12"/>
              <w:szCs w:val="12"/>
            </w:rPr>
          </w:pPr>
          <w:r>
            <w:rPr>
              <w:spacing w:val="8"/>
              <w:sz w:val="12"/>
              <w:szCs w:val="12"/>
            </w:rPr>
            <w:t>《宏观经济专题研究-3%与</w:t>
          </w:r>
          <w:r>
            <w:rPr>
              <w:spacing w:val="-18"/>
              <w:sz w:val="12"/>
              <w:szCs w:val="12"/>
            </w:rPr>
            <w:t xml:space="preserve"> </w:t>
          </w:r>
          <w:r>
            <w:rPr>
              <w:spacing w:val="8"/>
              <w:sz w:val="12"/>
              <w:szCs w:val="12"/>
            </w:rPr>
            <w:t>60%红线的历史溯源》</w:t>
          </w:r>
          <w:r>
            <w:rPr>
              <w:spacing w:val="8"/>
              <w:sz w:val="12"/>
              <w:szCs w:val="12"/>
            </w:rPr>
            <w:t xml:space="preserve"> </w:t>
          </w:r>
          <w:r>
            <w:rPr>
              <w:spacing w:val="8"/>
              <w:sz w:val="12"/>
              <w:szCs w:val="12"/>
            </w:rPr>
            <w:t>——</w:t>
          </w:r>
        </w:p>
        <w:p>
          <w:pPr>
            <w:pStyle w:val="BodyText"/>
            <w:spacing w:before="34" w:line="196" w:lineRule="auto"/>
            <w:ind w:left="35"/>
            <w:rPr>
              <w:sz w:val="12"/>
              <w:szCs w:val="12"/>
            </w:rPr>
          </w:pPr>
          <w:r>
            <w:rPr>
              <w:spacing w:val="4"/>
              <w:sz w:val="12"/>
              <w:szCs w:val="12"/>
            </w:rPr>
            <w:t>2024-02-</w:t>
          </w:r>
          <w:hyperlink w:anchor="bookmark1" w:history="1">
            <w:r>
              <w:rPr>
                <w:spacing w:val="4"/>
                <w:sz w:val="12"/>
                <w:szCs w:val="12"/>
              </w:rPr>
              <w:t>0</w:t>
            </w:r>
          </w:hyperlink>
          <w:r>
            <w:rPr>
              <w:spacing w:val="4"/>
              <w:sz w:val="12"/>
              <w:szCs w:val="12"/>
            </w:rPr>
            <w:t>1</w:t>
          </w:r>
        </w:p>
        <w:p>
          <w:pPr>
            <w:pStyle w:val="BodyText"/>
            <w:spacing w:before="22" w:line="237" w:lineRule="auto"/>
            <w:ind w:left="35"/>
            <w:rPr>
              <w:sz w:val="12"/>
              <w:szCs w:val="12"/>
            </w:rPr>
          </w:pPr>
          <w:r>
            <w:rPr>
              <w:spacing w:val="9"/>
              <w:sz w:val="12"/>
              <w:szCs w:val="12"/>
            </w:rPr>
            <w:t>《宏观经济专题研究-财政政策力度指数的构建（上）》</w:t>
          </w:r>
          <w:r>
            <w:rPr>
              <w:spacing w:val="9"/>
              <w:sz w:val="12"/>
              <w:szCs w:val="12"/>
            </w:rPr>
            <w:t xml:space="preserve"> </w:t>
          </w:r>
          <w:r>
            <w:rPr>
              <w:spacing w:val="9"/>
              <w:sz w:val="12"/>
              <w:szCs w:val="12"/>
            </w:rPr>
            <w:t>——</w:t>
          </w:r>
        </w:p>
        <w:p>
          <w:pPr>
            <w:pStyle w:val="BodyText"/>
            <w:spacing w:before="33" w:line="196" w:lineRule="auto"/>
            <w:ind w:left="35"/>
            <w:rPr>
              <w:sz w:val="12"/>
              <w:szCs w:val="12"/>
            </w:rPr>
          </w:pPr>
          <w:r>
            <w:rPr>
              <w:spacing w:val="4"/>
              <w:sz w:val="12"/>
              <w:szCs w:val="12"/>
            </w:rPr>
            <w:t>2024-01-22</w:t>
          </w:r>
        </w:p>
        <w:p>
          <w:pPr>
            <w:pStyle w:val="BodyText"/>
            <w:spacing w:before="22" w:line="237" w:lineRule="auto"/>
            <w:ind w:left="35"/>
            <w:rPr>
              <w:sz w:val="12"/>
              <w:szCs w:val="12"/>
            </w:rPr>
          </w:pPr>
          <w:r>
            <w:rPr>
              <w:spacing w:val="8"/>
              <w:sz w:val="12"/>
              <w:szCs w:val="12"/>
            </w:rPr>
            <w:t>《宏观经济专题研究-宏观经济回顾和展望</w:t>
          </w:r>
          <w:r>
            <w:rPr>
              <w:spacing w:val="-10"/>
              <w:sz w:val="12"/>
              <w:szCs w:val="12"/>
            </w:rPr>
            <w:t xml:space="preserve"> </w:t>
          </w:r>
          <w:r>
            <w:rPr>
              <w:spacing w:val="8"/>
              <w:sz w:val="12"/>
              <w:szCs w:val="12"/>
            </w:rPr>
            <w:t>2024》</w:t>
          </w:r>
          <w:r>
            <w:rPr>
              <w:spacing w:val="8"/>
              <w:sz w:val="12"/>
              <w:szCs w:val="12"/>
            </w:rPr>
            <w:t xml:space="preserve"> </w:t>
          </w:r>
          <w:r>
            <w:rPr>
              <w:spacing w:val="8"/>
              <w:sz w:val="12"/>
              <w:szCs w:val="12"/>
            </w:rPr>
            <w:t>——</w:t>
          </w:r>
        </w:p>
        <w:p>
          <w:pPr>
            <w:pStyle w:val="BodyText"/>
            <w:spacing w:before="33" w:line="196" w:lineRule="auto"/>
            <w:ind w:left="35"/>
            <w:rPr>
              <w:sz w:val="12"/>
              <w:szCs w:val="12"/>
            </w:rPr>
          </w:pPr>
          <w:r>
            <w:rPr>
              <w:spacing w:val="4"/>
              <w:sz w:val="12"/>
              <w:szCs w:val="12"/>
            </w:rPr>
            <w:t>2024-01-</w:t>
          </w:r>
          <w:hyperlink w:anchor="bookmark2" w:history="1">
            <w:r>
              <w:rPr>
                <w:spacing w:val="4"/>
                <w:sz w:val="12"/>
                <w:szCs w:val="12"/>
              </w:rPr>
              <w:t>0</w:t>
            </w:r>
          </w:hyperlink>
          <w:r>
            <w:rPr>
              <w:spacing w:val="4"/>
              <w:sz w:val="12"/>
              <w:szCs w:val="12"/>
            </w:rPr>
            <w:t>3</w:t>
          </w:r>
        </w:p>
      </w:sdtContent>
    </w:sdt>
    <w:p>
      <w:pPr>
        <w:pStyle w:val="BodyText"/>
        <w:spacing w:before="23" w:line="242" w:lineRule="auto"/>
        <w:ind w:left="31" w:right="664" w:firstLine="4"/>
        <w:rPr>
          <w:sz w:val="12"/>
          <w:szCs w:val="12"/>
        </w:rPr>
      </w:pPr>
      <w:r>
        <w:rPr>
          <w:spacing w:val="9"/>
          <w:sz w:val="12"/>
          <w:szCs w:val="12"/>
        </w:rPr>
        <w:t>《名义经济增速、双核资产配置模型与资本市场风险偏好指数》</w:t>
      </w:r>
      <w:r>
        <w:rPr>
          <w:spacing w:val="15"/>
          <w:w w:val="101"/>
          <w:sz w:val="12"/>
          <w:szCs w:val="12"/>
        </w:rPr>
        <w:t xml:space="preserve"> </w:t>
      </w:r>
      <w:r>
        <w:rPr>
          <w:spacing w:val="5"/>
          <w:sz w:val="12"/>
          <w:szCs w:val="12"/>
        </w:rPr>
        <w:t>——2024-01-01</w:t>
      </w:r>
    </w:p>
    <w:p>
      <w:pPr>
        <w:spacing w:line="242" w:lineRule="auto"/>
        <w:rPr>
          <w:sz w:val="12"/>
          <w:szCs w:val="12"/>
        </w:rPr>
        <w:sectPr>
          <w:footerReference w:type="default" r:id="rId8"/>
          <w:type w:val="continuous"/>
          <w:pgSz w:w="11906" w:h="16839"/>
          <w:pgMar w:top="340" w:right="0" w:bottom="1108" w:left="0" w:header="0" w:footer="863" w:gutter="0"/>
          <w:pgNumType w:start="2"/>
          <w:cols w:num="2" w:space="708" w:equalWidth="0">
            <w:col w:w="7477" w:space="100"/>
            <w:col w:w="4330" w:space="0"/>
          </w:cols>
        </w:sectPr>
      </w:pPr>
    </w:p>
    <w:p>
      <w:pPr>
        <w:pStyle w:val="BodyText"/>
        <w:spacing w:before="143" w:line="230" w:lineRule="auto"/>
        <w:ind w:right="1"/>
        <w:jc w:val="right"/>
      </w:pPr>
      <w:r>
        <w:drawing>
          <wp:anchor distT="0" distB="0" distL="0" distR="0" simplePos="0" relativeHeight="251659264" behindDoc="0" locked="0" layoutInCell="0" allowOverlap="1">
            <wp:simplePos x="0" y="0"/>
            <wp:positionH relativeFrom="page">
              <wp:posOffset>754380</wp:posOffset>
            </wp:positionH>
            <wp:positionV relativeFrom="page">
              <wp:posOffset>556259</wp:posOffset>
            </wp:positionV>
            <wp:extent cx="1260347" cy="30327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1260347" cy="303276"/>
                    </a:xfrm>
                    <a:prstGeom prst="rect">
                      <a:avLst/>
                    </a:prstGeom>
                  </pic:spPr>
                </pic:pic>
              </a:graphicData>
            </a:graphic>
          </wp:anchor>
        </w:drawing>
      </w:r>
      <w:r>
        <w:rPr>
          <w:spacing w:val="9"/>
          <w14:textOutline w14:w="3795" w14:cap="sq">
            <w14:solidFill>
              <w14:srgbClr w14:val="000000"/>
            </w14:solidFill>
            <w14:prstDash w14:val="solid"/>
            <w14:bevel/>
          </w14:textOutline>
        </w:rPr>
        <w:t>证券研究报告</w:t>
      </w:r>
    </w:p>
    <w:p>
      <w:pPr>
        <w:spacing w:before="63" w:line="29" w:lineRule="exact"/>
        <w:ind w:firstLine="2317"/>
      </w:pPr>
      <w:r>
        <w:pict>
          <v:shape id="_x0000_i1028" style="width:368.55pt;height:1.45pt;mso-position-horizontal-relative:char;mso-position-vertical-relative:line" coordorigin="0,0" coordsize="7370,29" path="m,14l7370,14e" filled="f" strokecolor="#044477" strokeweight="1.44pt">
            <v:stroke joinstyle="bevel"/>
            <w10:wrap type="none"/>
          </v:shape>
        </w:pict>
      </w:r>
    </w:p>
    <w:p>
      <w:pPr>
        <w:spacing w:line="440" w:lineRule="auto"/>
        <w:rPr>
          <w:rFonts w:ascii="Arial"/>
          <w:sz w:val="21"/>
        </w:rPr>
      </w:pPr>
    </w:p>
    <w:p>
      <w:pPr>
        <w:pStyle w:val="BodyText"/>
        <w:spacing w:before="139" w:line="225" w:lineRule="auto"/>
        <w:ind w:left="4022"/>
        <w:rPr>
          <w:sz w:val="43"/>
          <w:szCs w:val="43"/>
        </w:rPr>
      </w:pPr>
      <w:bookmarkStart w:id="1" w:name="bookmark3"/>
      <w:bookmarkEnd w:id="1"/>
      <w:r>
        <w:rPr>
          <w:color w:val="004477"/>
          <w:spacing w:val="-1"/>
          <w:sz w:val="43"/>
          <w:szCs w:val="43"/>
          <w14:textOutline w14:w="7972" w14:cap="sq">
            <w14:solidFill>
              <w14:srgbClr w14:val="004477"/>
            </w14:solidFill>
            <w14:prstDash w14:val="solid"/>
            <w14:bevel/>
          </w14:textOutline>
        </w:rPr>
        <w:t>内容目录</w:t>
      </w:r>
    </w:p>
    <w:sdt>
      <w:sdtPr>
        <w:rPr>
          <w:rFonts w:ascii="SimHei" w:eastAsia="SimHei" w:hAnsi="SimHei" w:cs="SimHei"/>
          <w:sz w:val="24"/>
          <w:szCs w:val="24"/>
        </w:rPr>
        <w:id w:val="304635705"/>
        <w:docPartObj>
          <w:docPartGallery w:val="Table of Contents"/>
          <w:docPartUnique/>
        </w:docPartObj>
      </w:sdtPr>
      <w:sdtEndPr>
        <w:rPr>
          <w:rFonts w:ascii="SimHei" w:eastAsia="SimHei" w:hAnsi="SimHei" w:cs="SimHei"/>
          <w:sz w:val="24"/>
          <w:szCs w:val="24"/>
        </w:rPr>
      </w:sdtEndPr>
      <w:sdtContent>
        <w:p>
          <w:pPr>
            <w:pStyle w:val="BodyText"/>
            <w:tabs>
              <w:tab w:val="right" w:leader="dot" w:pos="9680"/>
            </w:tabs>
            <w:spacing w:before="108" w:line="221" w:lineRule="auto"/>
            <w:ind w:left="65"/>
            <w:rPr>
              <w:sz w:val="24"/>
              <w:szCs w:val="24"/>
            </w:rPr>
          </w:pPr>
          <w:hyperlink w:anchor="bookmark4" w:history="1">
            <w:r>
              <w:rPr>
                <w:spacing w:val="-1"/>
                <w:sz w:val="24"/>
                <w:szCs w:val="24"/>
                <w14:textOutline w14:w="4358" w14:cap="sq">
                  <w14:solidFill>
                    <w14:srgbClr w14:val="000000"/>
                  </w14:solidFill>
                  <w14:prstDash w14:val="solid"/>
                  <w14:bevel/>
                </w14:textOutline>
              </w:rPr>
              <w:t>国信宏观扩散指数对于短频股债交易的指引</w:t>
            </w:r>
            <w:r>
              <w:rPr>
                <w:spacing w:val="-28"/>
                <w:sz w:val="24"/>
                <w:szCs w:val="24"/>
              </w:rPr>
              <w:t xml:space="preserve"> </w:t>
            </w:r>
            <w:r>
              <w:rPr>
                <w:sz w:val="24"/>
                <w:szCs w:val="24"/>
                <w14:textOutline w14:w="4358" w14:cap="sq">
                  <w14:solidFill>
                    <w14:srgbClr w14:val="000000"/>
                  </w14:solidFill>
                  <w14:prstDash w14:val="solid"/>
                  <w14:bevel/>
                </w14:textOutline>
              </w:rPr>
              <w:tab/>
            </w:r>
            <w:r>
              <w:rPr>
                <w:spacing w:val="15"/>
                <w:w w:val="153"/>
                <w:sz w:val="24"/>
                <w:szCs w:val="24"/>
                <w14:textOutline w14:w="4358" w14:cap="sq">
                  <w14:solidFill>
                    <w14:srgbClr w14:val="000000"/>
                  </w14:solidFill>
                  <w14:prstDash w14:val="solid"/>
                  <w14:bevel/>
                </w14:textOutline>
              </w:rPr>
              <w:t>4</w:t>
            </w:r>
          </w:hyperlink>
        </w:p>
        <w:p>
          <w:pPr>
            <w:pStyle w:val="BodyText"/>
            <w:tabs>
              <w:tab w:val="right" w:leader="dot" w:pos="9680"/>
            </w:tabs>
            <w:spacing w:before="114" w:line="229" w:lineRule="auto"/>
            <w:ind w:left="477"/>
          </w:pPr>
          <w:hyperlink w:anchor="bookmark5" w:history="1">
            <w:r>
              <w:rPr>
                <w:spacing w:val="8"/>
              </w:rPr>
              <w:t>资产价格拟合以及胜率测算框架</w:t>
            </w:r>
            <w:r>
              <w:rPr>
                <w:spacing w:val="-20"/>
              </w:rPr>
              <w:t xml:space="preserve"> </w:t>
            </w:r>
            <w:r>
              <w:tab/>
            </w:r>
            <w:r>
              <w:rPr>
                <w:spacing w:val="8"/>
                <w:w w:val="129"/>
              </w:rPr>
              <w:t>4</w:t>
            </w:r>
          </w:hyperlink>
        </w:p>
        <w:p>
          <w:pPr>
            <w:pStyle w:val="BodyText"/>
            <w:tabs>
              <w:tab w:val="right" w:leader="dot" w:pos="9680"/>
            </w:tabs>
            <w:spacing w:before="88" w:line="230" w:lineRule="auto"/>
            <w:ind w:left="482"/>
          </w:pPr>
          <w:hyperlink w:anchor="bookmark6" w:history="1">
            <w:r>
              <w:rPr>
                <w:spacing w:val="8"/>
              </w:rPr>
              <w:t>国信高频宏观扩散指数对资产价格的拟合结果</w:t>
            </w:r>
            <w:r>
              <w:rPr>
                <w:spacing w:val="-13"/>
              </w:rPr>
              <w:t xml:space="preserve"> </w:t>
            </w:r>
            <w:r>
              <w:tab/>
            </w:r>
            <w:r>
              <w:rPr>
                <w:spacing w:val="8"/>
                <w:w w:val="129"/>
              </w:rPr>
              <w:t>4</w:t>
            </w:r>
          </w:hyperlink>
        </w:p>
        <w:p>
          <w:pPr>
            <w:pStyle w:val="BodyText"/>
            <w:tabs>
              <w:tab w:val="right" w:leader="dot" w:pos="9680"/>
            </w:tabs>
            <w:spacing w:before="84" w:line="230" w:lineRule="auto"/>
            <w:ind w:left="482"/>
          </w:pPr>
          <w:hyperlink w:anchor="bookmark7" w:history="1">
            <w:r>
              <w:rPr>
                <w:spacing w:val="9"/>
              </w:rPr>
              <w:t>国信高频宏观扩散指数拟合资产价格的胜率</w:t>
            </w:r>
            <w:r>
              <w:rPr>
                <w:spacing w:val="8"/>
              </w:rPr>
              <w:t>分析</w:t>
            </w:r>
            <w:r>
              <w:rPr>
                <w:spacing w:val="-29"/>
              </w:rPr>
              <w:t xml:space="preserve"> </w:t>
            </w:r>
            <w:r>
              <w:tab/>
            </w:r>
            <w:r>
              <w:rPr>
                <w:spacing w:val="11"/>
                <w:w w:val="125"/>
              </w:rPr>
              <w:t>6</w:t>
            </w:r>
          </w:hyperlink>
        </w:p>
        <w:p>
          <w:pPr>
            <w:pStyle w:val="BodyText"/>
            <w:tabs>
              <w:tab w:val="right" w:leader="dot" w:pos="9680"/>
            </w:tabs>
            <w:spacing w:before="85" w:line="229" w:lineRule="auto"/>
            <w:ind w:left="483"/>
          </w:pPr>
          <w:hyperlink w:anchor="bookmark8" w:history="1">
            <w:r>
              <w:rPr>
                <w:spacing w:val="8"/>
              </w:rPr>
              <w:t>当前国内利率和股票价格或明显偏离国内基本面</w:t>
            </w:r>
            <w:r>
              <w:rPr>
                <w:spacing w:val="-11"/>
              </w:rPr>
              <w:t xml:space="preserve"> </w:t>
            </w:r>
            <w:r>
              <w:tab/>
            </w:r>
            <w:r>
              <w:rPr>
                <w:spacing w:val="15"/>
                <w:w w:val="121"/>
              </w:rPr>
              <w:t>7</w:t>
            </w:r>
          </w:hyperlink>
        </w:p>
        <w:p>
          <w:pPr>
            <w:pStyle w:val="BodyText"/>
            <w:tabs>
              <w:tab w:val="right" w:leader="dot" w:pos="9680"/>
            </w:tabs>
            <w:spacing w:before="123" w:line="222" w:lineRule="auto"/>
            <w:ind w:left="64"/>
            <w:rPr>
              <w:sz w:val="24"/>
              <w:szCs w:val="24"/>
            </w:rPr>
          </w:pPr>
          <w:hyperlink w:anchor="bookmark9" w:history="1">
            <w:r>
              <w:rPr>
                <w:spacing w:val="-12"/>
                <w:sz w:val="24"/>
                <w:szCs w:val="24"/>
                <w14:textOutline w14:w="4358" w14:cap="sq">
                  <w14:solidFill>
                    <w14:srgbClr w14:val="000000"/>
                  </w14:solidFill>
                  <w14:prstDash w14:val="solid"/>
                  <w14:bevel/>
                </w14:textOutline>
              </w:rPr>
              <w:t>附录</w:t>
            </w:r>
            <w:r>
              <w:rPr>
                <w:spacing w:val="-39"/>
                <w:sz w:val="24"/>
                <w:szCs w:val="24"/>
              </w:rPr>
              <w:t xml:space="preserve"> </w:t>
            </w:r>
            <w:r>
              <w:rPr>
                <w:sz w:val="24"/>
                <w:szCs w:val="24"/>
                <w14:textOutline w14:w="4358" w14:cap="sq">
                  <w14:solidFill>
                    <w14:srgbClr w14:val="000000"/>
                  </w14:solidFill>
                  <w14:prstDash w14:val="solid"/>
                  <w14:bevel/>
                </w14:textOutline>
              </w:rPr>
              <w:tab/>
            </w:r>
            <w:r>
              <w:rPr>
                <w:spacing w:val="36"/>
                <w:w w:val="150"/>
                <w:sz w:val="24"/>
                <w:szCs w:val="24"/>
                <w14:textOutline w14:w="4358" w14:cap="sq">
                  <w14:solidFill>
                    <w14:srgbClr w14:val="000000"/>
                  </w14:solidFill>
                  <w14:prstDash w14:val="solid"/>
                  <w14:bevel/>
                </w14:textOutline>
              </w:rPr>
              <w:t>7</w:t>
            </w:r>
          </w:hyperlink>
        </w:p>
        <w:p>
          <w:pPr>
            <w:pStyle w:val="BodyText"/>
            <w:tabs>
              <w:tab w:val="right" w:leader="dot" w:pos="9680"/>
            </w:tabs>
            <w:spacing w:before="113" w:line="230" w:lineRule="auto"/>
            <w:ind w:left="470"/>
          </w:pPr>
          <w:hyperlink w:anchor="bookmark10" w:history="1">
            <w:r>
              <w:rPr>
                <w:spacing w:val="9"/>
              </w:rPr>
              <w:t>周度高频指标与十年期国债利率的相关性分析</w:t>
            </w:r>
            <w:r>
              <w:rPr>
                <w:spacing w:val="-21"/>
              </w:rPr>
              <w:t xml:space="preserve"> </w:t>
            </w:r>
            <w:r>
              <w:tab/>
            </w:r>
            <w:r>
              <w:rPr>
                <w:spacing w:val="15"/>
                <w:w w:val="122"/>
              </w:rPr>
              <w:t>7</w:t>
            </w:r>
          </w:hyperlink>
        </w:p>
        <w:p>
          <w:pPr>
            <w:pStyle w:val="BodyText"/>
            <w:tabs>
              <w:tab w:val="right" w:leader="dot" w:pos="9680"/>
            </w:tabs>
            <w:spacing w:before="84" w:line="230" w:lineRule="auto"/>
            <w:ind w:left="470"/>
          </w:pPr>
          <w:hyperlink w:anchor="bookmark11" w:history="1">
            <w:r>
              <w:rPr>
                <w:spacing w:val="9"/>
              </w:rPr>
              <w:t>周度高频指标与上证综指的相关性分析</w:t>
            </w:r>
            <w:r>
              <w:rPr>
                <w:spacing w:val="-23"/>
              </w:rPr>
              <w:t xml:space="preserve"> </w:t>
            </w:r>
            <w:r>
              <w:tab/>
            </w:r>
            <w:r>
              <w:rPr>
                <w:spacing w:val="11"/>
                <w:w w:val="125"/>
              </w:rPr>
              <w:t>8</w:t>
            </w:r>
          </w:hyperlink>
        </w:p>
        <w:p>
          <w:pPr>
            <w:pStyle w:val="BodyText"/>
            <w:tabs>
              <w:tab w:val="right" w:leader="dot" w:pos="9680"/>
            </w:tabs>
            <w:spacing w:before="84" w:line="230" w:lineRule="auto"/>
            <w:ind w:left="470"/>
          </w:pPr>
          <w:hyperlink w:anchor="bookmark12" w:history="1">
            <w:r>
              <w:rPr>
                <w:spacing w:val="9"/>
              </w:rPr>
              <w:t>周度高频指标与南华工业品指数的相关性分析</w:t>
            </w:r>
            <w:r>
              <w:rPr>
                <w:spacing w:val="-21"/>
              </w:rPr>
              <w:t xml:space="preserve"> </w:t>
            </w:r>
            <w:r>
              <w:tab/>
            </w:r>
            <w:r>
              <w:rPr>
                <w:spacing w:val="21"/>
              </w:rPr>
              <w:t>10</w:t>
            </w:r>
          </w:hyperlink>
        </w:p>
        <w:p>
          <w:pPr>
            <w:pStyle w:val="BodyText"/>
            <w:tabs>
              <w:tab w:val="right" w:leader="dot" w:pos="9680"/>
            </w:tabs>
            <w:spacing w:before="85" w:line="229" w:lineRule="auto"/>
            <w:ind w:left="470"/>
          </w:pPr>
          <w:hyperlink w:anchor="bookmark13" w:history="1">
            <w:r>
              <w:rPr>
                <w:spacing w:val="9"/>
              </w:rPr>
              <w:t>周度高频指标与美元兑人民币汇率的相关性分析</w:t>
            </w:r>
            <w:r>
              <w:rPr>
                <w:spacing w:val="-19"/>
              </w:rPr>
              <w:t xml:space="preserve"> </w:t>
            </w:r>
            <w:r>
              <w:tab/>
            </w:r>
            <w:r>
              <w:rPr>
                <w:spacing w:val="20"/>
              </w:rPr>
              <w:t>11</w:t>
            </w:r>
          </w:hyperlink>
        </w:p>
        <w:p>
          <w:pPr>
            <w:pStyle w:val="BodyText"/>
            <w:tabs>
              <w:tab w:val="right" w:leader="dot" w:pos="9680"/>
            </w:tabs>
            <w:spacing w:before="123" w:line="222" w:lineRule="auto"/>
            <w:ind w:left="52"/>
            <w:rPr>
              <w:sz w:val="24"/>
              <w:szCs w:val="24"/>
            </w:rPr>
          </w:pPr>
          <w:hyperlink w:anchor="bookmark14" w:history="1">
            <w:r>
              <w:rPr>
                <w:spacing w:val="-2"/>
                <w:sz w:val="24"/>
                <w:szCs w:val="24"/>
                <w14:textOutline w14:w="4358" w14:cap="sq">
                  <w14:solidFill>
                    <w14:srgbClr w14:val="000000"/>
                  </w14:solidFill>
                  <w14:prstDash w14:val="solid"/>
                  <w14:bevel/>
                </w14:textOutline>
              </w:rPr>
              <w:t>风险提示</w:t>
            </w:r>
            <w:r>
              <w:rPr>
                <w:spacing w:val="-39"/>
                <w:sz w:val="24"/>
                <w:szCs w:val="24"/>
              </w:rPr>
              <w:t xml:space="preserve"> </w:t>
            </w:r>
            <w:r>
              <w:rPr>
                <w:sz w:val="24"/>
                <w:szCs w:val="24"/>
                <w14:textOutline w14:w="4358" w14:cap="sq">
                  <w14:solidFill>
                    <w14:srgbClr w14:val="000000"/>
                  </w14:solidFill>
                  <w14:prstDash w14:val="solid"/>
                  <w14:bevel/>
                </w14:textOutline>
              </w:rPr>
              <w:tab/>
            </w:r>
            <w:r>
              <w:rPr>
                <w:spacing w:val="31"/>
                <w:w w:val="113"/>
                <w:sz w:val="24"/>
                <w:szCs w:val="24"/>
                <w14:textOutline w14:w="4358" w14:cap="sq">
                  <w14:solidFill>
                    <w14:srgbClr w14:val="000000"/>
                  </w14:solidFill>
                  <w14:prstDash w14:val="solid"/>
                  <w14:bevel/>
                </w14:textOutline>
              </w:rPr>
              <w:t>13</w:t>
            </w:r>
          </w:hyperlink>
        </w:p>
      </w:sdtContent>
    </w:sdt>
    <w:p>
      <w:pPr>
        <w:spacing w:line="222" w:lineRule="auto"/>
        <w:rPr>
          <w:sz w:val="24"/>
          <w:szCs w:val="24"/>
        </w:rPr>
        <w:sectPr>
          <w:footerReference w:type="default" r:id="rId10"/>
          <w:pgSz w:w="11906" w:h="16839"/>
          <w:pgMar w:top="875" w:right="1127" w:bottom="1250" w:left="1090" w:header="0" w:footer="979" w:gutter="0"/>
          <w:pgNumType w:start="3"/>
          <w:cols w:space="708"/>
        </w:sectPr>
      </w:pPr>
    </w:p>
    <w:p>
      <w:pPr>
        <w:pStyle w:val="BodyText"/>
        <w:spacing w:before="143" w:line="230" w:lineRule="auto"/>
        <w:ind w:right="1"/>
        <w:jc w:val="right"/>
      </w:pPr>
      <w:r>
        <w:drawing>
          <wp:anchor distT="0" distB="0" distL="0" distR="0" simplePos="0" relativeHeight="251660288" behindDoc="0" locked="0" layoutInCell="0" allowOverlap="1">
            <wp:simplePos x="0" y="0"/>
            <wp:positionH relativeFrom="page">
              <wp:posOffset>754380</wp:posOffset>
            </wp:positionH>
            <wp:positionV relativeFrom="page">
              <wp:posOffset>556259</wp:posOffset>
            </wp:positionV>
            <wp:extent cx="1260347" cy="303276"/>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1260347" cy="303276"/>
                    </a:xfrm>
                    <a:prstGeom prst="rect">
                      <a:avLst/>
                    </a:prstGeom>
                  </pic:spPr>
                </pic:pic>
              </a:graphicData>
            </a:graphic>
          </wp:anchor>
        </w:drawing>
      </w:r>
      <w:r>
        <w:rPr>
          <w:spacing w:val="9"/>
          <w14:textOutline w14:w="3795" w14:cap="sq">
            <w14:solidFill>
              <w14:srgbClr w14:val="000000"/>
            </w14:solidFill>
            <w14:prstDash w14:val="solid"/>
            <w14:bevel/>
          </w14:textOutline>
        </w:rPr>
        <w:t>证券研究报告</w:t>
      </w:r>
    </w:p>
    <w:p>
      <w:pPr>
        <w:spacing w:before="63" w:line="29" w:lineRule="exact"/>
        <w:ind w:firstLine="2317"/>
      </w:pPr>
      <w:r>
        <w:pict>
          <v:shape id="_x0000_i1029" style="width:368.55pt;height:1.45pt;mso-position-horizontal-relative:char;mso-position-vertical-relative:line" coordorigin="0,0" coordsize="7370,29" path="m,14l7370,14e" filled="f" strokecolor="#044477" strokeweight="1.44pt">
            <v:stroke joinstyle="bevel"/>
            <w10:wrap type="none"/>
          </v:shape>
        </w:pict>
      </w:r>
    </w:p>
    <w:p>
      <w:pPr>
        <w:spacing w:line="421" w:lineRule="auto"/>
        <w:rPr>
          <w:rFonts w:ascii="Arial"/>
          <w:sz w:val="21"/>
        </w:rPr>
      </w:pPr>
    </w:p>
    <w:p>
      <w:pPr>
        <w:pStyle w:val="BodyText"/>
        <w:spacing w:before="139" w:line="225" w:lineRule="auto"/>
        <w:ind w:left="4023"/>
        <w:rPr>
          <w:sz w:val="43"/>
          <w:szCs w:val="43"/>
        </w:rPr>
      </w:pPr>
      <w:bookmarkStart w:id="2" w:name="bookmark15"/>
      <w:bookmarkEnd w:id="2"/>
      <w:bookmarkStart w:id="3" w:name="bookmark2"/>
      <w:bookmarkEnd w:id="3"/>
      <w:r>
        <w:rPr>
          <w:color w:val="004477"/>
          <w:sz w:val="43"/>
          <w:szCs w:val="43"/>
          <w14:textOutline w14:w="7972" w14:cap="sq">
            <w14:solidFill>
              <w14:srgbClr w14:val="004477"/>
            </w14:solidFill>
            <w14:prstDash w14:val="solid"/>
            <w14:bevel/>
          </w14:textOutline>
        </w:rPr>
        <w:t>图表目录</w:t>
      </w:r>
    </w:p>
    <w:p>
      <w:pPr>
        <w:spacing w:line="315" w:lineRule="auto"/>
        <w:rPr>
          <w:rFonts w:ascii="Arial"/>
          <w:sz w:val="21"/>
        </w:rPr>
      </w:pPr>
    </w:p>
    <w:sdt>
      <w:sdtPr>
        <w:rPr>
          <w:rFonts w:ascii="SimHei" w:eastAsia="SimHei" w:hAnsi="SimHei" w:cs="SimHei"/>
          <w:sz w:val="20"/>
          <w:szCs w:val="20"/>
        </w:rPr>
        <w:id w:val="635140869"/>
        <w:docPartObj>
          <w:docPartGallery w:val="Table of Contents"/>
          <w:docPartUnique/>
        </w:docPartObj>
      </w:sdtPr>
      <w:sdtEndPr>
        <w:rPr>
          <w:rFonts w:ascii="SimHei" w:eastAsia="SimHei" w:hAnsi="SimHei" w:cs="SimHei"/>
          <w:sz w:val="20"/>
          <w:szCs w:val="20"/>
        </w:rPr>
      </w:sdtEndPr>
      <w:sdtContent>
        <w:p>
          <w:pPr>
            <w:pStyle w:val="BodyText"/>
            <w:tabs>
              <w:tab w:val="right" w:leader="dot" w:pos="9685"/>
            </w:tabs>
            <w:spacing w:before="65" w:line="230" w:lineRule="auto"/>
            <w:ind w:left="62"/>
          </w:pPr>
          <w:hyperlink w:anchor="bookmark16" w:history="1">
            <w:r>
              <w:rPr>
                <w:spacing w:val="6"/>
              </w:rPr>
              <w:t>图</w:t>
            </w:r>
            <w:r>
              <w:rPr>
                <w:spacing w:val="-52"/>
              </w:rPr>
              <w:t xml:space="preserve"> </w:t>
            </w:r>
            <w:r>
              <w:rPr>
                <w:spacing w:val="6"/>
              </w:rPr>
              <w:t>1：</w:t>
            </w:r>
            <w:r>
              <w:rPr>
                <w:spacing w:val="6"/>
              </w:rPr>
              <w:t xml:space="preserve"> </w:t>
            </w:r>
            <w:r>
              <w:rPr>
                <w:spacing w:val="6"/>
              </w:rPr>
              <w:t>国信高频宏观扩散指数对资产价格的拟合胜率测算框架</w:t>
            </w:r>
            <w:r>
              <w:rPr>
                <w:spacing w:val="-29"/>
              </w:rPr>
              <w:t xml:space="preserve"> </w:t>
            </w:r>
            <w:r>
              <w:tab/>
            </w:r>
            <w:r>
              <w:rPr>
                <w:spacing w:val="12"/>
                <w:w w:val="160"/>
              </w:rPr>
              <w:t>4</w:t>
            </w:r>
          </w:hyperlink>
        </w:p>
        <w:p>
          <w:pPr>
            <w:pStyle w:val="BodyText"/>
            <w:tabs>
              <w:tab w:val="right" w:leader="dot" w:pos="9685"/>
            </w:tabs>
            <w:spacing w:before="87" w:line="230" w:lineRule="auto"/>
            <w:ind w:left="62"/>
          </w:pPr>
          <w:hyperlink w:anchor="bookmark17" w:history="1">
            <w:r>
              <w:rPr>
                <w:spacing w:val="8"/>
              </w:rPr>
              <w:t>图2：</w:t>
            </w:r>
            <w:r>
              <w:rPr>
                <w:spacing w:val="-1"/>
              </w:rPr>
              <w:t xml:space="preserve"> </w:t>
            </w:r>
            <w:r>
              <w:rPr>
                <w:spacing w:val="8"/>
              </w:rPr>
              <w:t>国信高频宏观扩散指数拟合资产价格的相关系数一览</w:t>
            </w:r>
            <w:r>
              <w:rPr>
                <w:spacing w:val="-29"/>
              </w:rPr>
              <w:t xml:space="preserve"> </w:t>
            </w:r>
            <w:r>
              <w:tab/>
            </w:r>
            <w:r>
              <w:rPr>
                <w:spacing w:val="18"/>
                <w:w w:val="153"/>
              </w:rPr>
              <w:t>5</w:t>
            </w:r>
          </w:hyperlink>
        </w:p>
        <w:p>
          <w:pPr>
            <w:pStyle w:val="BodyText"/>
            <w:tabs>
              <w:tab w:val="right" w:leader="dot" w:pos="9685"/>
            </w:tabs>
            <w:spacing w:before="84" w:line="230" w:lineRule="auto"/>
            <w:ind w:left="62"/>
          </w:pPr>
          <w:hyperlink w:anchor="bookmark18" w:history="1">
            <w:r>
              <w:rPr>
                <w:spacing w:val="8"/>
              </w:rPr>
              <w:t>图3：</w:t>
            </w:r>
            <w:r>
              <w:rPr>
                <w:spacing w:val="-18"/>
              </w:rPr>
              <w:t xml:space="preserve"> </w:t>
            </w:r>
            <w:r>
              <w:rPr>
                <w:spacing w:val="8"/>
              </w:rPr>
              <w:t>十年期国债收益率周度均值与拟合值一览（%）</w:t>
            </w:r>
            <w:r>
              <w:rPr>
                <w:spacing w:val="-21"/>
              </w:rPr>
              <w:t xml:space="preserve"> </w:t>
            </w:r>
            <w:r>
              <w:tab/>
            </w:r>
            <w:r>
              <w:rPr>
                <w:spacing w:val="18"/>
                <w:w w:val="154"/>
              </w:rPr>
              <w:t>5</w:t>
            </w:r>
          </w:hyperlink>
        </w:p>
        <w:p>
          <w:pPr>
            <w:pStyle w:val="BodyText"/>
            <w:tabs>
              <w:tab w:val="right" w:leader="dot" w:pos="9685"/>
            </w:tabs>
            <w:spacing w:before="85" w:line="230" w:lineRule="auto"/>
            <w:ind w:left="62"/>
          </w:pPr>
          <w:hyperlink w:anchor="bookmark19" w:history="1">
            <w:r>
              <w:rPr>
                <w:spacing w:val="8"/>
              </w:rPr>
              <w:t>图4：</w:t>
            </w:r>
            <w:r>
              <w:rPr>
                <w:spacing w:val="-16"/>
              </w:rPr>
              <w:t xml:space="preserve"> </w:t>
            </w:r>
            <w:r>
              <w:rPr>
                <w:spacing w:val="8"/>
              </w:rPr>
              <w:t>上证综合指数周度均值与拟合值一览</w:t>
            </w:r>
            <w:r>
              <w:rPr>
                <w:spacing w:val="-29"/>
              </w:rPr>
              <w:t xml:space="preserve"> </w:t>
            </w:r>
            <w:r>
              <w:tab/>
            </w:r>
            <w:r>
              <w:rPr>
                <w:spacing w:val="18"/>
                <w:w w:val="154"/>
              </w:rPr>
              <w:t>5</w:t>
            </w:r>
          </w:hyperlink>
        </w:p>
        <w:p>
          <w:pPr>
            <w:pStyle w:val="BodyText"/>
            <w:tabs>
              <w:tab w:val="right" w:leader="dot" w:pos="9685"/>
            </w:tabs>
            <w:spacing w:before="86" w:line="230" w:lineRule="auto"/>
            <w:ind w:left="62"/>
          </w:pPr>
          <w:hyperlink w:anchor="bookmark20" w:history="1">
            <w:r>
              <w:rPr>
                <w:spacing w:val="8"/>
              </w:rPr>
              <w:t>图5：</w:t>
            </w:r>
            <w:r>
              <w:rPr>
                <w:spacing w:val="-21"/>
              </w:rPr>
              <w:t xml:space="preserve"> </w:t>
            </w:r>
            <w:r>
              <w:rPr>
                <w:spacing w:val="8"/>
              </w:rPr>
              <w:t>南华工业品指数周度均值与拟合值一览（%）</w:t>
            </w:r>
            <w:r>
              <w:rPr>
                <w:spacing w:val="-21"/>
              </w:rPr>
              <w:t xml:space="preserve"> </w:t>
            </w:r>
            <w:r>
              <w:tab/>
            </w:r>
            <w:r>
              <w:rPr>
                <w:spacing w:val="23"/>
                <w:w w:val="150"/>
              </w:rPr>
              <w:t>6</w:t>
            </w:r>
          </w:hyperlink>
        </w:p>
        <w:p>
          <w:pPr>
            <w:pStyle w:val="BodyText"/>
            <w:tabs>
              <w:tab w:val="right" w:leader="dot" w:pos="9685"/>
            </w:tabs>
            <w:spacing w:before="85" w:line="229" w:lineRule="auto"/>
            <w:ind w:left="62"/>
          </w:pPr>
          <w:hyperlink w:anchor="bookmark21" w:history="1">
            <w:r>
              <w:rPr>
                <w:spacing w:val="8"/>
              </w:rPr>
              <w:t>图6：</w:t>
            </w:r>
            <w:r>
              <w:rPr>
                <w:spacing w:val="-12"/>
              </w:rPr>
              <w:t xml:space="preserve"> </w:t>
            </w:r>
            <w:r>
              <w:rPr>
                <w:spacing w:val="8"/>
              </w:rPr>
              <w:t>美元兑人民币汇率周度均值与拟合值一览</w:t>
            </w:r>
            <w:r>
              <w:rPr>
                <w:spacing w:val="-29"/>
              </w:rPr>
              <w:t xml:space="preserve"> </w:t>
            </w:r>
            <w:r>
              <w:tab/>
            </w:r>
            <w:r>
              <w:rPr>
                <w:spacing w:val="22"/>
                <w:w w:val="150"/>
              </w:rPr>
              <w:t>6</w:t>
            </w:r>
          </w:hyperlink>
        </w:p>
        <w:p>
          <w:pPr>
            <w:pStyle w:val="BodyText"/>
            <w:tabs>
              <w:tab w:val="right" w:leader="dot" w:pos="9685"/>
            </w:tabs>
            <w:spacing w:before="85" w:line="229" w:lineRule="auto"/>
            <w:ind w:left="62"/>
          </w:pPr>
          <w:hyperlink w:anchor="bookmark22" w:history="1">
            <w:r>
              <w:rPr>
                <w:spacing w:val="5"/>
              </w:rPr>
              <w:t>图7：</w:t>
            </w:r>
            <w:r>
              <w:rPr>
                <w:spacing w:val="5"/>
              </w:rPr>
              <w:t xml:space="preserve"> </w:t>
            </w:r>
            <w:r>
              <w:rPr>
                <w:spacing w:val="5"/>
              </w:rPr>
              <w:t>国信高频宏观扩散指数拟合资产价格的方向胜率一览（截至</w:t>
            </w:r>
            <w:r>
              <w:rPr>
                <w:spacing w:val="-34"/>
              </w:rPr>
              <w:t xml:space="preserve"> </w:t>
            </w:r>
            <w:r>
              <w:rPr>
                <w:spacing w:val="5"/>
              </w:rPr>
              <w:t>2024</w:t>
            </w:r>
            <w:r>
              <w:rPr>
                <w:spacing w:val="-40"/>
              </w:rPr>
              <w:t xml:space="preserve"> </w:t>
            </w:r>
            <w:r>
              <w:rPr>
                <w:spacing w:val="5"/>
              </w:rPr>
              <w:t>年</w:t>
            </w:r>
            <w:r>
              <w:rPr>
                <w:spacing w:val="-41"/>
              </w:rPr>
              <w:t xml:space="preserve"> </w:t>
            </w:r>
            <w:r>
              <w:rPr>
                <w:spacing w:val="5"/>
              </w:rPr>
              <w:t>2</w:t>
            </w:r>
            <w:r>
              <w:rPr>
                <w:spacing w:val="-33"/>
              </w:rPr>
              <w:t xml:space="preserve"> </w:t>
            </w:r>
            <w:r>
              <w:rPr>
                <w:spacing w:val="5"/>
              </w:rPr>
              <w:t>月</w:t>
            </w:r>
            <w:r>
              <w:rPr>
                <w:spacing w:val="-44"/>
              </w:rPr>
              <w:t xml:space="preserve"> </w:t>
            </w:r>
            <w:r>
              <w:rPr>
                <w:spacing w:val="5"/>
              </w:rPr>
              <w:t>9</w:t>
            </w:r>
            <w:r>
              <w:rPr>
                <w:spacing w:val="5"/>
              </w:rPr>
              <w:t xml:space="preserve"> </w:t>
            </w:r>
            <w:r>
              <w:rPr>
                <w:spacing w:val="5"/>
              </w:rPr>
              <w:t>日）</w:t>
            </w:r>
            <w:r>
              <w:rPr>
                <w:spacing w:val="-20"/>
              </w:rPr>
              <w:t xml:space="preserve"> </w:t>
            </w:r>
            <w:r>
              <w:tab/>
            </w:r>
            <w:r>
              <w:rPr>
                <w:spacing w:val="22"/>
                <w:w w:val="150"/>
              </w:rPr>
              <w:t>6</w:t>
            </w:r>
          </w:hyperlink>
        </w:p>
        <w:p>
          <w:pPr>
            <w:pStyle w:val="BodyText"/>
            <w:tabs>
              <w:tab w:val="right" w:leader="dot" w:pos="9685"/>
            </w:tabs>
            <w:spacing w:before="88" w:line="230" w:lineRule="auto"/>
            <w:ind w:left="62"/>
          </w:pPr>
          <w:hyperlink w:anchor="bookmark23" w:history="1">
            <w:r>
              <w:rPr>
                <w:spacing w:val="9"/>
              </w:rPr>
              <w:t>图8：</w:t>
            </w:r>
            <w:r>
              <w:rPr>
                <w:spacing w:val="-13"/>
              </w:rPr>
              <w:t xml:space="preserve"> </w:t>
            </w:r>
            <w:r>
              <w:rPr>
                <w:spacing w:val="9"/>
              </w:rPr>
              <w:t>国信宏观扩散指数周同比与滞后一周的十年期国债利率一年</w:t>
            </w:r>
            <w:r>
              <w:rPr>
                <w:spacing w:val="8"/>
              </w:rPr>
              <w:t>移动相关系数</w:t>
            </w:r>
            <w:r>
              <w:rPr>
                <w:spacing w:val="-29"/>
              </w:rPr>
              <w:t xml:space="preserve"> </w:t>
            </w:r>
            <w:r>
              <w:tab/>
            </w:r>
            <w:r>
              <w:rPr>
                <w:spacing w:val="22"/>
                <w:w w:val="150"/>
              </w:rPr>
              <w:t>8</w:t>
            </w:r>
          </w:hyperlink>
        </w:p>
        <w:p>
          <w:pPr>
            <w:pStyle w:val="BodyText"/>
            <w:tabs>
              <w:tab w:val="right" w:leader="dot" w:pos="9685"/>
            </w:tabs>
            <w:spacing w:before="85" w:line="230" w:lineRule="auto"/>
            <w:ind w:left="62"/>
          </w:pPr>
          <w:hyperlink w:anchor="bookmark24" w:history="1">
            <w:r>
              <w:rPr>
                <w:spacing w:val="9"/>
              </w:rPr>
              <w:t>图9：</w:t>
            </w:r>
            <w:r>
              <w:rPr>
                <w:spacing w:val="-13"/>
              </w:rPr>
              <w:t xml:space="preserve"> </w:t>
            </w:r>
            <w:r>
              <w:rPr>
                <w:spacing w:val="9"/>
              </w:rPr>
              <w:t>国信宏观扩散指数周同比与滞后一周的十年期国债</w:t>
            </w:r>
            <w:r>
              <w:rPr>
                <w:spacing w:val="8"/>
              </w:rPr>
              <w:t>利率累计相关系数</w:t>
            </w:r>
            <w:r>
              <w:rPr>
                <w:spacing w:val="-29"/>
              </w:rPr>
              <w:t xml:space="preserve"> </w:t>
            </w:r>
            <w:r>
              <w:tab/>
            </w:r>
            <w:r>
              <w:rPr>
                <w:spacing w:val="22"/>
                <w:w w:val="150"/>
              </w:rPr>
              <w:t>8</w:t>
            </w:r>
          </w:hyperlink>
        </w:p>
        <w:p>
          <w:pPr>
            <w:pStyle w:val="BodyText"/>
            <w:tabs>
              <w:tab w:val="right" w:leader="dot" w:pos="9685"/>
            </w:tabs>
            <w:spacing w:before="84" w:line="230" w:lineRule="auto"/>
            <w:ind w:left="62"/>
          </w:pPr>
          <w:hyperlink w:anchor="bookmark25" w:history="1">
            <w:r>
              <w:rPr>
                <w:spacing w:val="6"/>
              </w:rPr>
              <w:t>图</w:t>
            </w:r>
            <w:r>
              <w:rPr>
                <w:spacing w:val="-41"/>
              </w:rPr>
              <w:t xml:space="preserve"> </w:t>
            </w:r>
            <w:r>
              <w:rPr>
                <w:spacing w:val="6"/>
              </w:rPr>
              <w:t>10：</w:t>
            </w:r>
            <w:r>
              <w:rPr>
                <w:spacing w:val="6"/>
              </w:rPr>
              <w:t xml:space="preserve"> </w:t>
            </w:r>
            <w:r>
              <w:rPr>
                <w:spacing w:val="6"/>
              </w:rPr>
              <w:t>国信宏观扩散指数周同比与滞后一周的上证综指一年移动相关系数</w:t>
            </w:r>
            <w:r>
              <w:rPr>
                <w:spacing w:val="-31"/>
              </w:rPr>
              <w:t xml:space="preserve"> </w:t>
            </w:r>
            <w:r>
              <w:tab/>
            </w:r>
            <w:r>
              <w:rPr>
                <w:spacing w:val="12"/>
                <w:w w:val="170"/>
              </w:rPr>
              <w:t>9</w:t>
            </w:r>
          </w:hyperlink>
        </w:p>
        <w:p>
          <w:pPr>
            <w:pStyle w:val="BodyText"/>
            <w:tabs>
              <w:tab w:val="right" w:leader="dot" w:pos="9685"/>
            </w:tabs>
            <w:spacing w:before="85" w:line="230" w:lineRule="auto"/>
            <w:ind w:left="62"/>
          </w:pPr>
          <w:hyperlink w:anchor="bookmark26" w:history="1">
            <w:r>
              <w:rPr>
                <w:spacing w:val="6"/>
              </w:rPr>
              <w:t>图</w:t>
            </w:r>
            <w:r>
              <w:rPr>
                <w:spacing w:val="-49"/>
              </w:rPr>
              <w:t xml:space="preserve"> </w:t>
            </w:r>
            <w:r>
              <w:rPr>
                <w:spacing w:val="6"/>
              </w:rPr>
              <w:t>11：</w:t>
            </w:r>
            <w:r>
              <w:rPr>
                <w:spacing w:val="6"/>
              </w:rPr>
              <w:t xml:space="preserve"> </w:t>
            </w:r>
            <w:r>
              <w:rPr>
                <w:spacing w:val="6"/>
              </w:rPr>
              <w:t>国信宏观扩散指数周同比与滞后一周的上证综指累计相关系数</w:t>
            </w:r>
            <w:r>
              <w:rPr>
                <w:spacing w:val="-31"/>
              </w:rPr>
              <w:t xml:space="preserve"> </w:t>
            </w:r>
            <w:r>
              <w:tab/>
            </w:r>
            <w:r>
              <w:rPr>
                <w:spacing w:val="24"/>
                <w:w w:val="119"/>
              </w:rPr>
              <w:t>10</w:t>
            </w:r>
          </w:hyperlink>
        </w:p>
        <w:p>
          <w:pPr>
            <w:pStyle w:val="BodyText"/>
            <w:tabs>
              <w:tab w:val="right" w:leader="dot" w:pos="9685"/>
            </w:tabs>
            <w:spacing w:before="86" w:line="230" w:lineRule="auto"/>
            <w:ind w:left="62"/>
          </w:pPr>
          <w:hyperlink w:anchor="bookmark27" w:history="1">
            <w:r>
              <w:rPr>
                <w:spacing w:val="7"/>
              </w:rPr>
              <w:t>图</w:t>
            </w:r>
            <w:r>
              <w:rPr>
                <w:spacing w:val="-55"/>
              </w:rPr>
              <w:t xml:space="preserve"> </w:t>
            </w:r>
            <w:r>
              <w:rPr>
                <w:spacing w:val="7"/>
              </w:rPr>
              <w:t>12：</w:t>
            </w:r>
            <w:r>
              <w:rPr>
                <w:spacing w:val="7"/>
              </w:rPr>
              <w:t xml:space="preserve"> </w:t>
            </w:r>
            <w:r>
              <w:rPr>
                <w:spacing w:val="7"/>
              </w:rPr>
              <w:t>国信宏观扩散指数周同比与滞后一周的南华工</w:t>
            </w:r>
            <w:r>
              <w:rPr>
                <w:spacing w:val="6"/>
              </w:rPr>
              <w:t>业品指数一年移动相关系数</w:t>
            </w:r>
            <w:r>
              <w:rPr>
                <w:spacing w:val="-31"/>
              </w:rPr>
              <w:t xml:space="preserve"> </w:t>
            </w:r>
            <w:r>
              <w:tab/>
            </w:r>
            <w:r>
              <w:rPr>
                <w:spacing w:val="36"/>
                <w:w w:val="108"/>
              </w:rPr>
              <w:t>11</w:t>
            </w:r>
          </w:hyperlink>
        </w:p>
        <w:p>
          <w:pPr>
            <w:pStyle w:val="BodyText"/>
            <w:tabs>
              <w:tab w:val="right" w:leader="dot" w:pos="9685"/>
            </w:tabs>
            <w:spacing w:before="85" w:line="230" w:lineRule="auto"/>
            <w:ind w:left="62"/>
          </w:pPr>
          <w:hyperlink w:anchor="bookmark28" w:history="1">
            <w:r>
              <w:rPr>
                <w:spacing w:val="6"/>
              </w:rPr>
              <w:t>图</w:t>
            </w:r>
            <w:r>
              <w:rPr>
                <w:spacing w:val="-38"/>
              </w:rPr>
              <w:t xml:space="preserve"> </w:t>
            </w:r>
            <w:r>
              <w:rPr>
                <w:spacing w:val="6"/>
              </w:rPr>
              <w:t>13：</w:t>
            </w:r>
            <w:r>
              <w:rPr>
                <w:spacing w:val="6"/>
              </w:rPr>
              <w:t xml:space="preserve"> </w:t>
            </w:r>
            <w:r>
              <w:rPr>
                <w:spacing w:val="6"/>
              </w:rPr>
              <w:t>国信宏观扩散指数周同比与滞后一周的南华工业品指数累计相关系数</w:t>
            </w:r>
            <w:r>
              <w:rPr>
                <w:spacing w:val="-31"/>
              </w:rPr>
              <w:t xml:space="preserve"> </w:t>
            </w:r>
            <w:r>
              <w:tab/>
            </w:r>
            <w:r>
              <w:rPr>
                <w:spacing w:val="36"/>
                <w:w w:val="108"/>
              </w:rPr>
              <w:t>11</w:t>
            </w:r>
          </w:hyperlink>
        </w:p>
        <w:p>
          <w:pPr>
            <w:pStyle w:val="BodyText"/>
            <w:tabs>
              <w:tab w:val="right" w:leader="dot" w:pos="9685"/>
            </w:tabs>
            <w:spacing w:before="85" w:line="229" w:lineRule="auto"/>
            <w:ind w:left="62"/>
          </w:pPr>
          <w:hyperlink w:anchor="bookmark29" w:history="1">
            <w:r>
              <w:rPr>
                <w:spacing w:val="7"/>
              </w:rPr>
              <w:t>图</w:t>
            </w:r>
            <w:r>
              <w:rPr>
                <w:spacing w:val="-55"/>
              </w:rPr>
              <w:t xml:space="preserve"> </w:t>
            </w:r>
            <w:r>
              <w:rPr>
                <w:spacing w:val="7"/>
              </w:rPr>
              <w:t>14：</w:t>
            </w:r>
            <w:r>
              <w:rPr>
                <w:spacing w:val="7"/>
              </w:rPr>
              <w:t xml:space="preserve"> </w:t>
            </w:r>
            <w:r>
              <w:rPr>
                <w:spacing w:val="7"/>
              </w:rPr>
              <w:t>国信宏观扩散指数周同比与滞后一周的美元兑人民币汇率</w:t>
            </w:r>
            <w:r>
              <w:rPr>
                <w:spacing w:val="6"/>
              </w:rPr>
              <w:t>一年移动相关系数</w:t>
            </w:r>
            <w:r>
              <w:rPr>
                <w:spacing w:val="-31"/>
              </w:rPr>
              <w:t xml:space="preserve"> </w:t>
            </w:r>
            <w:r>
              <w:tab/>
            </w:r>
            <w:r>
              <w:rPr>
                <w:spacing w:val="24"/>
                <w:w w:val="119"/>
              </w:rPr>
              <w:t>12</w:t>
            </w:r>
          </w:hyperlink>
        </w:p>
        <w:p>
          <w:pPr>
            <w:pStyle w:val="BodyText"/>
            <w:tabs>
              <w:tab w:val="right" w:leader="dot" w:pos="9685"/>
            </w:tabs>
            <w:spacing w:before="87" w:line="229" w:lineRule="auto"/>
            <w:ind w:left="62"/>
          </w:pPr>
          <w:hyperlink w:anchor="bookmark30" w:history="1">
            <w:r>
              <w:rPr>
                <w:spacing w:val="7"/>
              </w:rPr>
              <w:t>图</w:t>
            </w:r>
            <w:r>
              <w:rPr>
                <w:spacing w:val="-55"/>
              </w:rPr>
              <w:t xml:space="preserve"> </w:t>
            </w:r>
            <w:r>
              <w:rPr>
                <w:spacing w:val="7"/>
              </w:rPr>
              <w:t>15：</w:t>
            </w:r>
            <w:r>
              <w:rPr>
                <w:spacing w:val="7"/>
              </w:rPr>
              <w:t xml:space="preserve"> </w:t>
            </w:r>
            <w:r>
              <w:rPr>
                <w:spacing w:val="7"/>
              </w:rPr>
              <w:t>国信宏观扩散指数周同比与滞后一周的</w:t>
            </w:r>
            <w:r>
              <w:rPr>
                <w:spacing w:val="6"/>
              </w:rPr>
              <w:t>美元兑人民币汇率累计相关系数</w:t>
            </w:r>
            <w:r>
              <w:rPr>
                <w:spacing w:val="-31"/>
              </w:rPr>
              <w:t xml:space="preserve"> </w:t>
            </w:r>
            <w:r>
              <w:tab/>
            </w:r>
            <w:r>
              <w:rPr>
                <w:spacing w:val="24"/>
                <w:w w:val="119"/>
              </w:rPr>
              <w:t>12</w:t>
            </w:r>
          </w:hyperlink>
        </w:p>
      </w:sdtContent>
    </w:sdt>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66" w:line="230" w:lineRule="auto"/>
        <w:jc w:val="right"/>
      </w:pPr>
      <w:hyperlink w:anchor="bookmark31" w:history="1">
        <w:r>
          <w:rPr>
            <w:spacing w:val="5"/>
          </w:rPr>
          <w:t>表</w:t>
        </w:r>
        <w:r>
          <w:rPr>
            <w:spacing w:val="-55"/>
          </w:rPr>
          <w:t xml:space="preserve"> </w:t>
        </w:r>
        <w:r>
          <w:rPr>
            <w:spacing w:val="5"/>
          </w:rPr>
          <w:t>1：</w:t>
        </w:r>
        <w:r>
          <w:rPr>
            <w:spacing w:val="5"/>
          </w:rPr>
          <w:t xml:space="preserve"> </w:t>
        </w:r>
        <w:r>
          <w:rPr>
            <w:spacing w:val="5"/>
          </w:rPr>
          <w:t>当前周度资产价格预测值一览</w:t>
        </w:r>
        <w:r>
          <w:rPr>
            <w:spacing w:val="-29"/>
          </w:rPr>
          <w:t xml:space="preserve"> </w:t>
        </w:r>
        <w:r>
          <w:rPr>
            <w:spacing w:val="5"/>
          </w:rPr>
          <w:t>...................</w:t>
        </w:r>
        <w:r>
          <w:rPr>
            <w:spacing w:val="4"/>
          </w:rPr>
          <w:t>.......................................</w:t>
        </w:r>
        <w:r>
          <w:rPr>
            <w:spacing w:val="-24"/>
          </w:rPr>
          <w:t xml:space="preserve"> </w:t>
        </w:r>
        <w:r>
          <w:rPr>
            <w:spacing w:val="4"/>
          </w:rPr>
          <w:t>7</w:t>
        </w:r>
      </w:hyperlink>
    </w:p>
    <w:p>
      <w:pPr>
        <w:spacing w:line="230" w:lineRule="auto"/>
        <w:sectPr>
          <w:footerReference w:type="default" r:id="rId11"/>
          <w:pgSz w:w="11906" w:h="16839"/>
          <w:pgMar w:top="875" w:right="1127" w:bottom="1250" w:left="1090" w:header="0" w:footer="979" w:gutter="0"/>
          <w:pgNumType w:start="4"/>
          <w:cols w:space="708"/>
        </w:sectPr>
      </w:pPr>
    </w:p>
    <w:p>
      <w:pPr>
        <w:pStyle w:val="BodyText"/>
        <w:spacing w:before="143" w:line="230" w:lineRule="auto"/>
        <w:ind w:right="1"/>
        <w:jc w:val="right"/>
      </w:pPr>
      <w:r>
        <w:drawing>
          <wp:anchor distT="0" distB="0" distL="0" distR="0" simplePos="0" relativeHeight="251661312" behindDoc="0" locked="0" layoutInCell="0" allowOverlap="1">
            <wp:simplePos x="0" y="0"/>
            <wp:positionH relativeFrom="page">
              <wp:posOffset>754380</wp:posOffset>
            </wp:positionH>
            <wp:positionV relativeFrom="page">
              <wp:posOffset>556259</wp:posOffset>
            </wp:positionV>
            <wp:extent cx="1260347" cy="303276"/>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1260347" cy="303276"/>
                    </a:xfrm>
                    <a:prstGeom prst="rect">
                      <a:avLst/>
                    </a:prstGeom>
                  </pic:spPr>
                </pic:pic>
              </a:graphicData>
            </a:graphic>
          </wp:anchor>
        </w:drawing>
      </w:r>
      <w:r>
        <w:rPr>
          <w:spacing w:val="9"/>
          <w14:textOutline w14:w="3795" w14:cap="sq">
            <w14:solidFill>
              <w14:srgbClr w14:val="000000"/>
            </w14:solidFill>
            <w14:prstDash w14:val="solid"/>
            <w14:bevel/>
          </w14:textOutline>
        </w:rPr>
        <w:t>证券研究报告</w:t>
      </w:r>
    </w:p>
    <w:p>
      <w:pPr>
        <w:spacing w:line="63" w:lineRule="exact"/>
      </w:pPr>
    </w:p>
    <w:tbl>
      <w:tblPr>
        <w:tblStyle w:val="TableNormal0"/>
        <w:tblW w:w="7376" w:type="dxa"/>
        <w:tblInd w:w="2311" w:type="dxa"/>
        <w:tblBorders>
          <w:top w:val="nil"/>
          <w:left w:val="nil"/>
          <w:bottom w:val="nil"/>
          <w:right w:val="nil"/>
          <w:insideH w:val="nil"/>
          <w:insideV w:val="nil"/>
        </w:tblBorders>
        <w:tblLayout w:type="fixed"/>
      </w:tblPr>
      <w:tblGrid>
        <w:gridCol w:w="7376"/>
      </w:tblGrid>
      <w:tr>
        <w:tblPrEx>
          <w:tblW w:w="7376" w:type="dxa"/>
          <w:tblInd w:w="2311" w:type="dxa"/>
          <w:tblBorders>
            <w:top w:val="nil"/>
            <w:left w:val="nil"/>
            <w:bottom w:val="nil"/>
            <w:right w:val="nil"/>
            <w:insideH w:val="nil"/>
            <w:insideV w:val="nil"/>
          </w:tblBorders>
          <w:tblLayout w:type="fixed"/>
        </w:tblPrEx>
        <w:trPr>
          <w:trHeight w:val="5031"/>
        </w:trPr>
        <w:tc>
          <w:tcPr>
            <w:tcW w:w="7376" w:type="dxa"/>
            <w:tcBorders>
              <w:top w:val="single" w:sz="10" w:space="0" w:color="044477"/>
              <w:bottom w:val="single" w:sz="2" w:space="0" w:color="000000"/>
            </w:tcBorders>
            <w:vAlign w:val="top"/>
          </w:tcPr>
          <w:p>
            <w:pPr>
              <w:spacing w:line="436" w:lineRule="auto"/>
              <w:rPr>
                <w:rFonts w:ascii="Arial"/>
                <w:sz w:val="21"/>
              </w:rPr>
            </w:pPr>
          </w:p>
          <w:p>
            <w:pPr>
              <w:pStyle w:val="TableText"/>
              <w:spacing w:before="114" w:line="226" w:lineRule="auto"/>
              <w:ind w:left="34"/>
              <w:outlineLvl w:val="0"/>
              <w:rPr>
                <w:sz w:val="35"/>
                <w:szCs w:val="35"/>
              </w:rPr>
            </w:pPr>
            <w:bookmarkStart w:id="4" w:name="bookmark4"/>
            <w:bookmarkEnd w:id="4"/>
            <w:bookmarkStart w:id="5" w:name="bookmark5"/>
            <w:bookmarkEnd w:id="5"/>
            <w:bookmarkStart w:id="6" w:name="bookmark16"/>
            <w:bookmarkEnd w:id="6"/>
            <w:bookmarkStart w:id="7" w:name="bookmark32"/>
            <w:bookmarkEnd w:id="7"/>
            <w:r>
              <w:rPr>
                <w:color w:val="004477"/>
                <w:spacing w:val="20"/>
                <w:sz w:val="35"/>
                <w:szCs w:val="35"/>
                <w14:textOutline w14:w="6537" w14:cap="sq">
                  <w14:solidFill>
                    <w14:srgbClr w14:val="004477"/>
                  </w14:solidFill>
                  <w14:prstDash w14:val="solid"/>
                  <w14:bevel/>
                </w14:textOutline>
              </w:rPr>
              <w:t>国信宏观扩散指数对于短频股债交易的指引</w:t>
            </w:r>
          </w:p>
          <w:p>
            <w:pPr>
              <w:pStyle w:val="TableText"/>
              <w:spacing w:before="269" w:line="221" w:lineRule="auto"/>
              <w:ind w:left="16"/>
              <w:outlineLvl w:val="1"/>
              <w:rPr>
                <w:sz w:val="24"/>
                <w:szCs w:val="24"/>
              </w:rPr>
            </w:pPr>
            <w:r>
              <w:rPr>
                <w:spacing w:val="19"/>
                <w:sz w:val="24"/>
                <w:szCs w:val="24"/>
                <w14:textOutline w14:w="4358" w14:cap="sq">
                  <w14:solidFill>
                    <w14:srgbClr w14:val="000000"/>
                  </w14:solidFill>
                  <w14:prstDash w14:val="solid"/>
                  <w14:bevel/>
                </w14:textOutline>
              </w:rPr>
              <w:t>资产价格拟合以及胜率测算框架</w:t>
            </w:r>
          </w:p>
          <w:p>
            <w:pPr>
              <w:pStyle w:val="TableText"/>
              <w:spacing w:before="191"/>
              <w:ind w:left="15" w:hanging="10"/>
              <w:rPr>
                <w:sz w:val="20"/>
                <w:szCs w:val="20"/>
              </w:rPr>
            </w:pPr>
            <w:r>
              <w:rPr>
                <w:spacing w:val="5"/>
                <w:sz w:val="20"/>
                <w:szCs w:val="20"/>
              </w:rPr>
              <w:t>按“周六至下周五”的时间区间取十年期国债利率、上证</w:t>
            </w:r>
            <w:r>
              <w:rPr>
                <w:spacing w:val="4"/>
                <w:sz w:val="20"/>
                <w:szCs w:val="20"/>
              </w:rPr>
              <w:t>综指、南华工业品指数、</w:t>
            </w:r>
            <w:r>
              <w:rPr>
                <w:sz w:val="20"/>
                <w:szCs w:val="20"/>
              </w:rPr>
              <w:t xml:space="preserve"> </w:t>
            </w:r>
            <w:r>
              <w:rPr>
                <w:spacing w:val="7"/>
                <w:sz w:val="20"/>
                <w:szCs w:val="20"/>
              </w:rPr>
              <w:t>美元兑人民币汇率中间价的周度平均值，得到周度资产价格序列。</w:t>
            </w:r>
          </w:p>
          <w:p>
            <w:pPr>
              <w:pStyle w:val="TableText"/>
              <w:spacing w:before="193" w:line="247" w:lineRule="auto"/>
              <w:ind w:left="7" w:right="9" w:hanging="2"/>
              <w:rPr>
                <w:sz w:val="20"/>
                <w:szCs w:val="20"/>
              </w:rPr>
            </w:pPr>
            <w:r>
              <w:rPr>
                <w:spacing w:val="9"/>
                <w:sz w:val="20"/>
                <w:szCs w:val="20"/>
              </w:rPr>
              <w:t>按周度资产价格序列的时间区间，计算国信高频宏观扩散指数</w:t>
            </w:r>
            <w:r>
              <w:rPr>
                <w:spacing w:val="-29"/>
                <w:sz w:val="20"/>
                <w:szCs w:val="20"/>
              </w:rPr>
              <w:t xml:space="preserve"> </w:t>
            </w:r>
            <w:r>
              <w:rPr>
                <w:spacing w:val="9"/>
                <w:sz w:val="20"/>
                <w:szCs w:val="20"/>
              </w:rPr>
              <w:t>B</w:t>
            </w:r>
            <w:r>
              <w:rPr>
                <w:spacing w:val="-26"/>
                <w:sz w:val="20"/>
                <w:szCs w:val="20"/>
              </w:rPr>
              <w:t xml:space="preserve"> </w:t>
            </w:r>
            <w:r>
              <w:rPr>
                <w:spacing w:val="9"/>
                <w:sz w:val="20"/>
                <w:szCs w:val="20"/>
              </w:rPr>
              <w:t>的周度平均值，</w:t>
            </w:r>
            <w:r>
              <w:rPr>
                <w:sz w:val="20"/>
                <w:szCs w:val="20"/>
              </w:rPr>
              <w:t xml:space="preserve"> </w:t>
            </w:r>
            <w:r>
              <w:rPr>
                <w:spacing w:val="10"/>
                <w:sz w:val="20"/>
                <w:szCs w:val="20"/>
              </w:rPr>
              <w:t>可以得到周度高频指标序列（注：在计算周度高频指标序列过程中，若遇到高频</w:t>
            </w:r>
            <w:r>
              <w:rPr>
                <w:spacing w:val="8"/>
                <w:sz w:val="20"/>
                <w:szCs w:val="20"/>
              </w:rPr>
              <w:t xml:space="preserve"> </w:t>
            </w:r>
            <w:r>
              <w:rPr>
                <w:spacing w:val="9"/>
                <w:sz w:val="20"/>
                <w:szCs w:val="20"/>
              </w:rPr>
              <w:t>数据缺失的情况，则假定缺失的数据等于上</w:t>
            </w:r>
            <w:r>
              <w:rPr>
                <w:spacing w:val="8"/>
                <w:sz w:val="20"/>
                <w:szCs w:val="20"/>
              </w:rPr>
              <w:t>一周的数值）。</w:t>
            </w:r>
          </w:p>
          <w:p>
            <w:pPr>
              <w:pStyle w:val="TableText"/>
              <w:spacing w:before="195" w:line="251" w:lineRule="auto"/>
              <w:ind w:left="5" w:right="6"/>
              <w:rPr>
                <w:sz w:val="20"/>
                <w:szCs w:val="20"/>
              </w:rPr>
            </w:pPr>
            <w:r>
              <w:rPr>
                <w:spacing w:val="10"/>
                <w:sz w:val="20"/>
                <w:szCs w:val="20"/>
              </w:rPr>
              <w:t>进一步地，采用国信高频宏观扩散指数周度同比数据来拟合资产价格。考虑到周</w:t>
            </w:r>
            <w:r>
              <w:rPr>
                <w:spacing w:val="13"/>
                <w:sz w:val="20"/>
                <w:szCs w:val="20"/>
              </w:rPr>
              <w:t xml:space="preserve"> </w:t>
            </w:r>
            <w:r>
              <w:rPr>
                <w:spacing w:val="10"/>
                <w:sz w:val="20"/>
                <w:szCs w:val="20"/>
              </w:rPr>
              <w:t>度基本面数据的采集到周末才结束，本周的基本面数据大概率在下周才会被资产</w:t>
            </w:r>
            <w:r>
              <w:rPr>
                <w:spacing w:val="9"/>
                <w:sz w:val="20"/>
                <w:szCs w:val="20"/>
              </w:rPr>
              <w:t xml:space="preserve"> </w:t>
            </w:r>
            <w:r>
              <w:rPr>
                <w:spacing w:val="10"/>
                <w:sz w:val="20"/>
                <w:szCs w:val="20"/>
              </w:rPr>
              <w:t>价格所消化，因此采用国信高频宏观扩散指数周度同比拟合下一周的资产价格。</w:t>
            </w:r>
            <w:r>
              <w:rPr>
                <w:spacing w:val="12"/>
                <w:sz w:val="20"/>
                <w:szCs w:val="20"/>
              </w:rPr>
              <w:t xml:space="preserve"> </w:t>
            </w:r>
            <w:r>
              <w:rPr>
                <w:spacing w:val="7"/>
                <w:sz w:val="20"/>
                <w:szCs w:val="20"/>
              </w:rPr>
              <w:t>具体的拟合以及胜率测算框架如图</w:t>
            </w:r>
            <w:r>
              <w:rPr>
                <w:spacing w:val="-26"/>
                <w:sz w:val="20"/>
                <w:szCs w:val="20"/>
              </w:rPr>
              <w:t xml:space="preserve"> </w:t>
            </w:r>
            <w:r>
              <w:rPr>
                <w:spacing w:val="7"/>
                <w:sz w:val="20"/>
                <w:szCs w:val="20"/>
              </w:rPr>
              <w:t>1</w:t>
            </w:r>
            <w:r>
              <w:rPr>
                <w:spacing w:val="-38"/>
                <w:sz w:val="20"/>
                <w:szCs w:val="20"/>
              </w:rPr>
              <w:t xml:space="preserve"> </w:t>
            </w:r>
            <w:r>
              <w:rPr>
                <w:spacing w:val="7"/>
                <w:sz w:val="20"/>
                <w:szCs w:val="20"/>
              </w:rPr>
              <w:t>所示：</w:t>
            </w:r>
          </w:p>
          <w:p>
            <w:pPr>
              <w:pStyle w:val="TableText"/>
              <w:spacing w:before="265" w:line="222" w:lineRule="auto"/>
              <w:ind w:left="14"/>
              <w:outlineLvl w:val="2"/>
              <w:rPr>
                <w:sz w:val="18"/>
                <w:szCs w:val="18"/>
              </w:rPr>
            </w:pPr>
            <w:r>
              <w:rPr>
                <w:spacing w:val="-2"/>
                <w:sz w:val="16"/>
                <w:szCs w:val="16"/>
              </w:rPr>
              <w:t>图1：</w:t>
            </w:r>
            <w:r>
              <w:rPr>
                <w:spacing w:val="-2"/>
                <w:sz w:val="18"/>
                <w:szCs w:val="18"/>
              </w:rPr>
              <w:t>国信高频宏观扩散指数对资产价格的拟合胜率测算框架</w:t>
            </w:r>
          </w:p>
        </w:tc>
      </w:tr>
      <w:tr>
        <w:tblPrEx>
          <w:tblW w:w="7376" w:type="dxa"/>
          <w:tblInd w:w="2311" w:type="dxa"/>
          <w:tblLayout w:type="fixed"/>
        </w:tblPrEx>
        <w:trPr>
          <w:trHeight w:val="6277"/>
        </w:trPr>
        <w:tc>
          <w:tcPr>
            <w:tcW w:w="7376" w:type="dxa"/>
            <w:tcBorders>
              <w:top w:val="single" w:sz="2" w:space="0" w:color="000000"/>
              <w:bottom w:val="single" w:sz="2" w:space="0" w:color="000000"/>
            </w:tcBorders>
            <w:vAlign w:val="top"/>
          </w:tcPr>
          <w:p>
            <w:pPr>
              <w:spacing w:before="60" w:line="6051" w:lineRule="exact"/>
              <w:ind w:firstLine="1"/>
            </w:pPr>
            <w:r>
              <w:rPr>
                <w:position w:val="-121"/>
              </w:rPr>
              <w:drawing>
                <wp:inline distT="0" distB="0" distL="0" distR="0">
                  <wp:extent cx="4677155" cy="384200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4677155" cy="3842003"/>
                          </a:xfrm>
                          <a:prstGeom prst="rect">
                            <a:avLst/>
                          </a:prstGeom>
                        </pic:spPr>
                      </pic:pic>
                    </a:graphicData>
                  </a:graphic>
                </wp:inline>
              </w:drawing>
            </w:r>
          </w:p>
        </w:tc>
      </w:tr>
    </w:tbl>
    <w:p>
      <w:pPr>
        <w:pStyle w:val="BodyText"/>
        <w:spacing w:before="84" w:line="222" w:lineRule="auto"/>
        <w:ind w:left="2321"/>
        <w:rPr>
          <w:sz w:val="16"/>
          <w:szCs w:val="16"/>
        </w:rPr>
      </w:pPr>
      <w:r>
        <w:rPr>
          <w:spacing w:val="-1"/>
          <w:sz w:val="16"/>
          <w:szCs w:val="16"/>
        </w:rPr>
        <w:t>资料来源：国信证券经济研究所整理</w:t>
      </w:r>
    </w:p>
    <w:p>
      <w:pPr>
        <w:spacing w:line="253" w:lineRule="auto"/>
        <w:rPr>
          <w:rFonts w:ascii="Arial"/>
          <w:sz w:val="21"/>
        </w:rPr>
      </w:pPr>
    </w:p>
    <w:p>
      <w:pPr>
        <w:spacing w:line="254" w:lineRule="auto"/>
        <w:rPr>
          <w:rFonts w:ascii="Arial"/>
          <w:sz w:val="21"/>
        </w:rPr>
      </w:pPr>
    </w:p>
    <w:p>
      <w:pPr>
        <w:pStyle w:val="BodyText"/>
        <w:spacing w:before="78" w:line="222" w:lineRule="auto"/>
        <w:ind w:left="2333"/>
        <w:outlineLvl w:val="1"/>
        <w:rPr>
          <w:sz w:val="24"/>
          <w:szCs w:val="24"/>
        </w:rPr>
      </w:pPr>
      <w:bookmarkStart w:id="8" w:name="bookmark6"/>
      <w:bookmarkEnd w:id="8"/>
      <w:r>
        <w:rPr>
          <w:spacing w:val="20"/>
          <w:sz w:val="24"/>
          <w:szCs w:val="24"/>
          <w14:textOutline w14:w="4358" w14:cap="sq">
            <w14:solidFill>
              <w14:srgbClr w14:val="000000"/>
            </w14:solidFill>
            <w14:prstDash w14:val="solid"/>
            <w14:bevel/>
          </w14:textOutline>
        </w:rPr>
        <w:t>国信高频宏观扩散指数对资产价格的拟合结果</w:t>
      </w:r>
    </w:p>
    <w:p>
      <w:pPr>
        <w:pStyle w:val="BodyText"/>
        <w:spacing w:before="188"/>
        <w:ind w:left="2318" w:right="6" w:firstLine="2"/>
      </w:pPr>
      <w:r>
        <w:rPr>
          <w:spacing w:val="4"/>
        </w:rPr>
        <w:t>运用上述框架，我们可得到国信高频宏观扩散指数对各类资产价格的拟合模型（详</w:t>
      </w:r>
      <w:r>
        <w:rPr>
          <w:spacing w:val="14"/>
        </w:rPr>
        <w:t xml:space="preserve"> </w:t>
      </w:r>
      <w:r>
        <w:rPr>
          <w:spacing w:val="7"/>
        </w:rPr>
        <w:t>情见附录</w:t>
      </w:r>
      <w:r>
        <w:rPr>
          <w:spacing w:val="15"/>
        </w:rPr>
        <w:t>），</w:t>
      </w:r>
      <w:r>
        <w:rPr>
          <w:spacing w:val="7"/>
        </w:rPr>
        <w:t>拟合模型的相关系数如图</w:t>
      </w:r>
      <w:r>
        <w:rPr>
          <w:spacing w:val="-37"/>
        </w:rPr>
        <w:t xml:space="preserve"> </w:t>
      </w:r>
      <w:r>
        <w:rPr>
          <w:spacing w:val="7"/>
        </w:rPr>
        <w:t>2</w:t>
      </w:r>
      <w:r>
        <w:rPr>
          <w:spacing w:val="-38"/>
        </w:rPr>
        <w:t xml:space="preserve"> </w:t>
      </w:r>
      <w:r>
        <w:rPr>
          <w:spacing w:val="7"/>
        </w:rPr>
        <w:t>所示。</w:t>
      </w:r>
    </w:p>
    <w:p>
      <w:pPr>
        <w:sectPr>
          <w:footerReference w:type="default" r:id="rId13"/>
          <w:pgSz w:w="11906" w:h="16839"/>
          <w:pgMar w:top="875" w:right="1127" w:bottom="1250" w:left="1090" w:header="0" w:footer="979" w:gutter="0"/>
          <w:pgNumType w:start="5"/>
          <w:cols w:space="708"/>
        </w:sectPr>
      </w:pPr>
    </w:p>
    <w:p>
      <w:pPr>
        <w:pStyle w:val="BodyText"/>
        <w:spacing w:before="143" w:line="230" w:lineRule="auto"/>
        <w:ind w:right="1"/>
        <w:jc w:val="right"/>
      </w:pPr>
      <w:r>
        <w:drawing>
          <wp:anchor distT="0" distB="0" distL="0" distR="0" simplePos="0" relativeHeight="251662336" behindDoc="1" locked="0" layoutInCell="0" allowOverlap="1">
            <wp:simplePos x="0" y="0"/>
            <wp:positionH relativeFrom="page">
              <wp:posOffset>720090</wp:posOffset>
            </wp:positionH>
            <wp:positionV relativeFrom="page">
              <wp:posOffset>5276088</wp:posOffset>
            </wp:positionV>
            <wp:extent cx="2861310" cy="1728216"/>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2861310" cy="1728216"/>
                    </a:xfrm>
                    <a:prstGeom prst="rect">
                      <a:avLst/>
                    </a:prstGeom>
                  </pic:spPr>
                </pic:pic>
              </a:graphicData>
            </a:graphic>
          </wp:anchor>
        </w:drawing>
      </w:r>
      <w:r>
        <w:drawing>
          <wp:anchor distT="0" distB="0" distL="0" distR="0" simplePos="0" relativeHeight="251663360" behindDoc="1" locked="0" layoutInCell="0" allowOverlap="1">
            <wp:simplePos x="0" y="0"/>
            <wp:positionH relativeFrom="page">
              <wp:posOffset>3754754</wp:posOffset>
            </wp:positionH>
            <wp:positionV relativeFrom="page">
              <wp:posOffset>5269992</wp:posOffset>
            </wp:positionV>
            <wp:extent cx="3043809" cy="1848611"/>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5"/>
                    <a:stretch>
                      <a:fillRect/>
                    </a:stretch>
                  </pic:blipFill>
                  <pic:spPr>
                    <a:xfrm>
                      <a:off x="0" y="0"/>
                      <a:ext cx="3043809" cy="1848611"/>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754380</wp:posOffset>
            </wp:positionH>
            <wp:positionV relativeFrom="page">
              <wp:posOffset>556259</wp:posOffset>
            </wp:positionV>
            <wp:extent cx="1260347" cy="303276"/>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9"/>
                    <a:stretch>
                      <a:fillRect/>
                    </a:stretch>
                  </pic:blipFill>
                  <pic:spPr>
                    <a:xfrm>
                      <a:off x="0" y="0"/>
                      <a:ext cx="1260347" cy="303276"/>
                    </a:xfrm>
                    <a:prstGeom prst="rect">
                      <a:avLst/>
                    </a:prstGeom>
                  </pic:spPr>
                </pic:pic>
              </a:graphicData>
            </a:graphic>
          </wp:anchor>
        </w:drawing>
      </w:r>
      <w:bookmarkStart w:id="9" w:name="bookmark17"/>
      <w:bookmarkEnd w:id="9"/>
      <w:bookmarkStart w:id="10" w:name="bookmark33"/>
      <w:bookmarkEnd w:id="10"/>
      <w:r>
        <w:rPr>
          <w:spacing w:val="9"/>
          <w14:textOutline w14:w="3795" w14:cap="sq">
            <w14:solidFill>
              <w14:srgbClr w14:val="000000"/>
            </w14:solidFill>
            <w14:prstDash w14:val="solid"/>
            <w14:bevel/>
          </w14:textOutline>
        </w:rPr>
        <w:t>证券研究报告</w:t>
      </w:r>
    </w:p>
    <w:p>
      <w:pPr>
        <w:spacing w:line="63" w:lineRule="exact"/>
      </w:pPr>
    </w:p>
    <w:tbl>
      <w:tblPr>
        <w:tblStyle w:val="TableNormal1"/>
        <w:tblW w:w="7376" w:type="dxa"/>
        <w:tblInd w:w="2311" w:type="dxa"/>
        <w:tblBorders>
          <w:top w:val="nil"/>
          <w:left w:val="nil"/>
          <w:bottom w:val="nil"/>
          <w:right w:val="nil"/>
          <w:insideH w:val="nil"/>
          <w:insideV w:val="nil"/>
        </w:tblBorders>
        <w:tblLayout w:type="fixed"/>
      </w:tblPr>
      <w:tblGrid>
        <w:gridCol w:w="7376"/>
      </w:tblGrid>
      <w:tr>
        <w:tblPrEx>
          <w:tblW w:w="7376" w:type="dxa"/>
          <w:tblInd w:w="2311" w:type="dxa"/>
          <w:tblBorders>
            <w:top w:val="nil"/>
            <w:left w:val="nil"/>
            <w:bottom w:val="nil"/>
            <w:right w:val="nil"/>
            <w:insideH w:val="nil"/>
            <w:insideV w:val="nil"/>
          </w:tblBorders>
          <w:tblLayout w:type="fixed"/>
        </w:tblPrEx>
        <w:trPr>
          <w:trHeight w:val="703"/>
        </w:trPr>
        <w:tc>
          <w:tcPr>
            <w:tcW w:w="7376" w:type="dxa"/>
            <w:tcBorders>
              <w:top w:val="single" w:sz="10" w:space="0" w:color="044477"/>
              <w:bottom w:val="single" w:sz="2" w:space="0" w:color="000000"/>
            </w:tcBorders>
            <w:vAlign w:val="top"/>
          </w:tcPr>
          <w:p>
            <w:pPr>
              <w:spacing w:line="403" w:lineRule="auto"/>
              <w:rPr>
                <w:rFonts w:ascii="Arial"/>
                <w:sz w:val="21"/>
              </w:rPr>
            </w:pPr>
          </w:p>
          <w:p>
            <w:pPr>
              <w:pStyle w:val="TableText"/>
              <w:spacing w:before="58" w:line="222" w:lineRule="auto"/>
              <w:ind w:left="14"/>
              <w:outlineLvl w:val="2"/>
              <w:rPr>
                <w:sz w:val="18"/>
                <w:szCs w:val="18"/>
              </w:rPr>
            </w:pPr>
            <w:r>
              <w:rPr>
                <w:spacing w:val="-1"/>
                <w:sz w:val="16"/>
                <w:szCs w:val="16"/>
              </w:rPr>
              <w:t>图2：</w:t>
            </w:r>
            <w:r>
              <w:rPr>
                <w:spacing w:val="-1"/>
                <w:sz w:val="18"/>
                <w:szCs w:val="18"/>
              </w:rPr>
              <w:t>国信高频宏观扩散指数拟合资产价格的相关</w:t>
            </w:r>
            <w:r>
              <w:rPr>
                <w:spacing w:val="-2"/>
                <w:sz w:val="18"/>
                <w:szCs w:val="18"/>
              </w:rPr>
              <w:t>系数一览</w:t>
            </w:r>
          </w:p>
        </w:tc>
      </w:tr>
      <w:tr>
        <w:tblPrEx>
          <w:tblW w:w="7376" w:type="dxa"/>
          <w:tblInd w:w="2311" w:type="dxa"/>
          <w:tblLayout w:type="fixed"/>
        </w:tblPrEx>
        <w:trPr>
          <w:trHeight w:val="4536"/>
        </w:trPr>
        <w:tc>
          <w:tcPr>
            <w:tcW w:w="7376" w:type="dxa"/>
            <w:tcBorders>
              <w:top w:val="single" w:sz="2" w:space="0" w:color="000000"/>
              <w:bottom w:val="single" w:sz="2" w:space="0" w:color="000000"/>
            </w:tcBorders>
            <w:vAlign w:val="top"/>
          </w:tcPr>
          <w:p>
            <w:pPr>
              <w:spacing w:before="61" w:line="4320" w:lineRule="exact"/>
              <w:ind w:firstLine="85"/>
            </w:pPr>
            <w:r>
              <w:rPr>
                <w:position w:val="-86"/>
              </w:rPr>
              <w:drawing>
                <wp:inline distT="0" distB="0" distL="0" distR="0">
                  <wp:extent cx="4572000" cy="27432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6"/>
                          <a:stretch>
                            <a:fillRect/>
                          </a:stretch>
                        </pic:blipFill>
                        <pic:spPr>
                          <a:xfrm>
                            <a:off x="0" y="0"/>
                            <a:ext cx="4572000" cy="2743200"/>
                          </a:xfrm>
                          <a:prstGeom prst="rect">
                            <a:avLst/>
                          </a:prstGeom>
                        </pic:spPr>
                      </pic:pic>
                    </a:graphicData>
                  </a:graphic>
                </wp:inline>
              </w:drawing>
            </w:r>
          </w:p>
        </w:tc>
      </w:tr>
    </w:tbl>
    <w:p>
      <w:pPr>
        <w:pStyle w:val="BodyText"/>
        <w:spacing w:before="83" w:line="214" w:lineRule="auto"/>
        <w:ind w:left="2321"/>
        <w:rPr>
          <w:sz w:val="16"/>
          <w:szCs w:val="16"/>
        </w:rPr>
      </w:pPr>
      <w:r>
        <w:rPr>
          <w:spacing w:val="-1"/>
          <w:sz w:val="16"/>
          <w:szCs w:val="16"/>
        </w:rPr>
        <w:t>资料来源：WIND，国信证券经济研究所整理及测算</w:t>
      </w:r>
    </w:p>
    <w:p>
      <w:pPr>
        <w:spacing w:line="288" w:lineRule="auto"/>
        <w:rPr>
          <w:rFonts w:ascii="Arial"/>
          <w:sz w:val="21"/>
        </w:rPr>
      </w:pPr>
    </w:p>
    <w:p>
      <w:pPr>
        <w:pStyle w:val="BodyText"/>
        <w:spacing w:before="65" w:line="245" w:lineRule="auto"/>
        <w:ind w:left="2316" w:right="9"/>
      </w:pPr>
      <w:r>
        <w:rPr>
          <w:spacing w:val="10"/>
        </w:rPr>
        <w:t>模型拟合结果与真实值如下图所示，可以看到资产价格真实值围绕着拟合值上下</w:t>
      </w:r>
      <w:r>
        <w:rPr>
          <w:spacing w:val="10"/>
        </w:rPr>
        <w:t xml:space="preserve"> </w:t>
      </w:r>
      <w:bookmarkStart w:id="11" w:name="bookmark18"/>
      <w:bookmarkEnd w:id="11"/>
      <w:bookmarkStart w:id="12" w:name="bookmark19"/>
      <w:bookmarkEnd w:id="12"/>
      <w:r>
        <w:rPr>
          <w:spacing w:val="3"/>
        </w:rPr>
        <w:t>波动。</w:t>
      </w:r>
    </w:p>
    <w:p>
      <w:pPr>
        <w:spacing w:line="238" w:lineRule="exact"/>
      </w:pPr>
    </w:p>
    <w:p>
      <w:pPr>
        <w:spacing w:line="238" w:lineRule="exact"/>
        <w:sectPr>
          <w:footerReference w:type="default" r:id="rId17"/>
          <w:pgSz w:w="11906" w:h="16839"/>
          <w:pgMar w:top="875" w:right="1127" w:bottom="1250" w:left="1090" w:header="0" w:footer="980" w:gutter="0"/>
          <w:pgNumType w:start="6"/>
          <w:cols w:num="1" w:space="708" w:equalWidth="0">
            <w:col w:w="9688" w:space="0"/>
          </w:cols>
        </w:sectPr>
      </w:pPr>
    </w:p>
    <w:p>
      <w:pPr>
        <w:pStyle w:val="BodyText"/>
        <w:spacing w:before="37" w:line="222" w:lineRule="auto"/>
        <w:ind w:left="57"/>
        <w:outlineLvl w:val="2"/>
        <w:rPr>
          <w:sz w:val="18"/>
          <w:szCs w:val="18"/>
        </w:rPr>
      </w:pPr>
      <w:r>
        <w:rPr>
          <w:spacing w:val="-2"/>
          <w:sz w:val="16"/>
          <w:szCs w:val="16"/>
        </w:rPr>
        <w:t>图3：</w:t>
      </w:r>
      <w:r>
        <w:rPr>
          <w:spacing w:val="-2"/>
          <w:sz w:val="18"/>
          <w:szCs w:val="18"/>
        </w:rPr>
        <w:t>十年期国债收益率周度均值与拟合值一览（%）</w:t>
      </w:r>
    </w:p>
    <w:p>
      <w:pPr>
        <w:spacing w:before="37" w:line="2958" w:lineRule="exact"/>
        <w:ind w:firstLine="43"/>
      </w:pPr>
      <w:r>
        <w:rPr>
          <w:position w:val="-59"/>
        </w:rPr>
        <w:pict>
          <v:group id="_x0000_i1030" style="width:227.05pt;height:147.9pt;mso-position-horizontal-relative:char;mso-position-vertical-relative:line" coordorigin="0,0" coordsize="4541,2957" filled="f" stroked="f">
            <v:rect id="_x0000_s1031" style="width:4541;height:10;position:absolute" filled="t" fillcolor="black" stroked="f"/>
            <v:rect id="_x0000_s1032" style="width:4541;height:10;position:absolute;top:2947" filled="t" fillcolor="black" stroked="f"/>
            <w10:wrap type="none"/>
          </v:group>
        </w:pict>
      </w:r>
    </w:p>
    <w:p>
      <w:pPr>
        <w:pStyle w:val="BodyText"/>
        <w:spacing w:before="85" w:line="189" w:lineRule="auto"/>
        <w:ind w:left="53"/>
        <w:rPr>
          <w:sz w:val="16"/>
          <w:szCs w:val="16"/>
        </w:rPr>
      </w:pPr>
      <w:r>
        <w:rPr>
          <w:spacing w:val="-1"/>
          <w:sz w:val="16"/>
          <w:szCs w:val="16"/>
        </w:rPr>
        <w:t>资料来源：WIND，国信证券经济研究所整理及测算</w:t>
      </w:r>
    </w:p>
    <w:p>
      <w:pPr>
        <w:spacing w:line="14" w:lineRule="auto"/>
        <w:rPr>
          <w:rFonts w:ascii="Arial"/>
          <w:sz w:val="2"/>
        </w:rPr>
      </w:pPr>
      <w:r>
        <w:rPr>
          <w:rFonts w:ascii="Arial" w:eastAsia="Arial" w:hAnsi="Arial" w:cs="Arial"/>
          <w:sz w:val="2"/>
          <w:szCs w:val="2"/>
        </w:rPr>
        <w:br w:type="column"/>
      </w:r>
    </w:p>
    <w:p>
      <w:pPr>
        <w:pStyle w:val="BodyText"/>
        <w:spacing w:before="35" w:line="222" w:lineRule="auto"/>
        <w:ind w:left="16"/>
        <w:outlineLvl w:val="2"/>
        <w:rPr>
          <w:sz w:val="18"/>
          <w:szCs w:val="18"/>
        </w:rPr>
      </w:pPr>
      <w:r>
        <w:rPr>
          <w:spacing w:val="-2"/>
          <w:sz w:val="16"/>
          <w:szCs w:val="16"/>
        </w:rPr>
        <w:t>图4：</w:t>
      </w:r>
      <w:r>
        <w:rPr>
          <w:spacing w:val="-2"/>
          <w:sz w:val="18"/>
          <w:szCs w:val="18"/>
        </w:rPr>
        <w:t>上证综合指数周度均值与拟合值一览</w:t>
      </w:r>
    </w:p>
    <w:p>
      <w:pPr>
        <w:spacing w:before="38" w:line="2957" w:lineRule="exact"/>
      </w:pPr>
      <w:r>
        <w:rPr>
          <w:position w:val="-59"/>
        </w:rPr>
        <w:pict>
          <v:group id="_x0000_i1033" style="width:242.95pt;height:147.9pt;mso-position-horizontal-relative:char;mso-position-vertical-relative:line" coordorigin="0,0" coordsize="4858,2957" filled="f" stroked="f">
            <v:rect id="_x0000_s1034" style="width:4858;height:10;position:absolute" filled="t" fillcolor="black" stroked="f"/>
            <v:rect id="_x0000_s1035" style="width:4858;height:10;position:absolute;top:2947" filled="t" fillcolor="black" stroked="f"/>
            <w10:wrap type="none"/>
          </v:group>
        </w:pict>
      </w:r>
    </w:p>
    <w:p>
      <w:pPr>
        <w:pStyle w:val="BodyText"/>
        <w:spacing w:before="86" w:line="189" w:lineRule="auto"/>
        <w:ind w:left="12"/>
        <w:rPr>
          <w:sz w:val="16"/>
          <w:szCs w:val="16"/>
        </w:rPr>
      </w:pPr>
      <w:r>
        <w:rPr>
          <w:spacing w:val="-1"/>
          <w:sz w:val="16"/>
          <w:szCs w:val="16"/>
        </w:rPr>
        <w:t>资料来源：WIND，国信证券经济研究所整理及测算</w:t>
      </w:r>
    </w:p>
    <w:p>
      <w:pPr>
        <w:spacing w:line="189" w:lineRule="auto"/>
        <w:rPr>
          <w:sz w:val="16"/>
          <w:szCs w:val="16"/>
        </w:rPr>
        <w:sectPr>
          <w:footerReference w:type="default" r:id="rId18"/>
          <w:type w:val="continuous"/>
          <w:pgSz w:w="11906" w:h="16839"/>
          <w:pgMar w:top="875" w:right="1127" w:bottom="1250" w:left="1090" w:header="0" w:footer="980" w:gutter="0"/>
          <w:pgNumType w:start="7"/>
          <w:cols w:num="2" w:space="708" w:equalWidth="0">
            <w:col w:w="4723" w:space="100"/>
            <w:col w:w="4866" w:space="0"/>
          </w:cols>
        </w:sectPr>
      </w:pPr>
    </w:p>
    <w:p>
      <w:pPr>
        <w:pStyle w:val="BodyText"/>
        <w:spacing w:before="143" w:line="230" w:lineRule="auto"/>
        <w:ind w:right="1"/>
        <w:jc w:val="right"/>
      </w:pPr>
      <w:r>
        <w:drawing>
          <wp:anchor distT="0" distB="0" distL="0" distR="0" simplePos="0" relativeHeight="251666432" behindDoc="1" locked="0" layoutInCell="0" allowOverlap="1">
            <wp:simplePos x="0" y="0"/>
            <wp:positionH relativeFrom="page">
              <wp:posOffset>720090</wp:posOffset>
            </wp:positionH>
            <wp:positionV relativeFrom="page">
              <wp:posOffset>1338071</wp:posOffset>
            </wp:positionV>
            <wp:extent cx="2861310" cy="1728216"/>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9"/>
                    <a:stretch>
                      <a:fillRect/>
                    </a:stretch>
                  </pic:blipFill>
                  <pic:spPr>
                    <a:xfrm>
                      <a:off x="0" y="0"/>
                      <a:ext cx="2861310" cy="1728216"/>
                    </a:xfrm>
                    <a:prstGeom prst="rect">
                      <a:avLst/>
                    </a:prstGeom>
                  </pic:spPr>
                </pic:pic>
              </a:graphicData>
            </a:graphic>
          </wp:anchor>
        </w:drawing>
      </w:r>
      <w:r>
        <w:drawing>
          <wp:anchor distT="0" distB="0" distL="0" distR="0" simplePos="0" relativeHeight="251665408" behindDoc="1" locked="0" layoutInCell="0" allowOverlap="1">
            <wp:simplePos x="0" y="0"/>
            <wp:positionH relativeFrom="page">
              <wp:posOffset>3754754</wp:posOffset>
            </wp:positionH>
            <wp:positionV relativeFrom="page">
              <wp:posOffset>1331976</wp:posOffset>
            </wp:positionV>
            <wp:extent cx="3043809" cy="1848611"/>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0"/>
                    <a:stretch>
                      <a:fillRect/>
                    </a:stretch>
                  </pic:blipFill>
                  <pic:spPr>
                    <a:xfrm>
                      <a:off x="0" y="0"/>
                      <a:ext cx="3043809" cy="1848611"/>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754380</wp:posOffset>
            </wp:positionH>
            <wp:positionV relativeFrom="page">
              <wp:posOffset>556259</wp:posOffset>
            </wp:positionV>
            <wp:extent cx="1260347" cy="303276"/>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9"/>
                    <a:stretch>
                      <a:fillRect/>
                    </a:stretch>
                  </pic:blipFill>
                  <pic:spPr>
                    <a:xfrm>
                      <a:off x="0" y="0"/>
                      <a:ext cx="1260347" cy="303276"/>
                    </a:xfrm>
                    <a:prstGeom prst="rect">
                      <a:avLst/>
                    </a:prstGeom>
                  </pic:spPr>
                </pic:pic>
              </a:graphicData>
            </a:graphic>
          </wp:anchor>
        </w:drawing>
      </w:r>
      <w:r>
        <w:drawing>
          <wp:anchor distT="0" distB="0" distL="0" distR="0" simplePos="0" relativeHeight="251667456" behindDoc="1" locked="0" layoutInCell="0" allowOverlap="1">
            <wp:simplePos x="0" y="0"/>
            <wp:positionH relativeFrom="page">
              <wp:posOffset>2214372</wp:posOffset>
            </wp:positionH>
            <wp:positionV relativeFrom="page">
              <wp:posOffset>6373367</wp:posOffset>
            </wp:positionV>
            <wp:extent cx="4572000" cy="274320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1"/>
                    <a:stretch>
                      <a:fillRect/>
                    </a:stretch>
                  </pic:blipFill>
                  <pic:spPr>
                    <a:xfrm>
                      <a:off x="0" y="0"/>
                      <a:ext cx="4572000" cy="2743200"/>
                    </a:xfrm>
                    <a:prstGeom prst="rect">
                      <a:avLst/>
                    </a:prstGeom>
                  </pic:spPr>
                </pic:pic>
              </a:graphicData>
            </a:graphic>
          </wp:anchor>
        </w:drawing>
      </w:r>
      <w:bookmarkStart w:id="13" w:name="bookmark20"/>
      <w:bookmarkEnd w:id="13"/>
      <w:bookmarkStart w:id="14" w:name="bookmark21"/>
      <w:bookmarkEnd w:id="14"/>
      <w:bookmarkStart w:id="15" w:name="bookmark34"/>
      <w:bookmarkEnd w:id="15"/>
      <w:r>
        <w:rPr>
          <w:spacing w:val="9"/>
          <w14:textOutline w14:w="3795" w14:cap="sq">
            <w14:solidFill>
              <w14:srgbClr w14:val="000000"/>
            </w14:solidFill>
            <w14:prstDash w14:val="solid"/>
            <w14:bevel/>
          </w14:textOutline>
        </w:rPr>
        <w:t>证券研究报告</w:t>
      </w:r>
    </w:p>
    <w:p>
      <w:pPr>
        <w:spacing w:before="63" w:line="29" w:lineRule="exact"/>
        <w:ind w:firstLine="2317"/>
      </w:pPr>
      <w:r>
        <w:pict>
          <v:shape id="_x0000_i1036" style="width:368.55pt;height:1.45pt;mso-position-horizontal-relative:char;mso-position-vertical-relative:line" coordorigin="0,0" coordsize="7370,29" path="m,14l7370,14e" filled="f" strokecolor="#044477" strokeweight="1.44pt">
            <v:stroke joinstyle="bevel"/>
            <w10:wrap type="none"/>
          </v:shape>
        </w:pict>
      </w:r>
    </w:p>
    <w:p>
      <w:pPr>
        <w:spacing w:before="197"/>
      </w:pPr>
    </w:p>
    <w:p>
      <w:pPr>
        <w:sectPr>
          <w:footerReference w:type="default" r:id="rId22"/>
          <w:pgSz w:w="11906" w:h="16839"/>
          <w:pgMar w:top="875" w:right="1127" w:bottom="1250" w:left="1090" w:header="0" w:footer="980" w:gutter="0"/>
          <w:pgNumType w:start="8"/>
          <w:cols w:num="1" w:space="708" w:equalWidth="0">
            <w:col w:w="9688" w:space="0"/>
          </w:cols>
        </w:sectPr>
      </w:pPr>
    </w:p>
    <w:p>
      <w:pPr>
        <w:pStyle w:val="BodyText"/>
        <w:spacing w:before="36" w:line="222" w:lineRule="auto"/>
        <w:ind w:left="57"/>
        <w:outlineLvl w:val="2"/>
        <w:rPr>
          <w:sz w:val="18"/>
          <w:szCs w:val="18"/>
        </w:rPr>
      </w:pPr>
      <w:r>
        <w:rPr>
          <w:spacing w:val="-2"/>
          <w:sz w:val="16"/>
          <w:szCs w:val="16"/>
        </w:rPr>
        <w:t>图5：</w:t>
      </w:r>
      <w:r>
        <w:rPr>
          <w:spacing w:val="-2"/>
          <w:sz w:val="18"/>
          <w:szCs w:val="18"/>
        </w:rPr>
        <w:t>南华工业品指数周度均值与拟合值一览（%）</w:t>
      </w:r>
    </w:p>
    <w:p>
      <w:pPr>
        <w:spacing w:before="34" w:line="2958" w:lineRule="exact"/>
        <w:ind w:firstLine="43"/>
      </w:pPr>
      <w:r>
        <w:rPr>
          <w:position w:val="-59"/>
        </w:rPr>
        <w:pict>
          <v:group id="_x0000_i1037" style="width:227.05pt;height:147.9pt;mso-position-horizontal-relative:char;mso-position-vertical-relative:line" coordorigin="0,0" coordsize="4541,2957" filled="f" stroked="f">
            <v:rect id="_x0000_s1038" style="width:4541;height:10;position:absolute" filled="t" fillcolor="black" stroked="f"/>
            <v:rect id="_x0000_s1039" style="width:4541;height:10;position:absolute;top:2948" filled="t" fillcolor="black" stroked="f"/>
            <w10:wrap type="none"/>
          </v:group>
        </w:pict>
      </w:r>
    </w:p>
    <w:p>
      <w:pPr>
        <w:pStyle w:val="BodyText"/>
        <w:spacing w:before="85" w:line="189" w:lineRule="auto"/>
        <w:ind w:left="53"/>
        <w:rPr>
          <w:sz w:val="16"/>
          <w:szCs w:val="16"/>
        </w:rPr>
      </w:pPr>
      <w:r>
        <w:rPr>
          <w:spacing w:val="-1"/>
          <w:sz w:val="16"/>
          <w:szCs w:val="16"/>
        </w:rPr>
        <w:t>资料来源：WIND，国信证券经济研究所整理及测算</w:t>
      </w:r>
    </w:p>
    <w:p>
      <w:pPr>
        <w:spacing w:line="14" w:lineRule="auto"/>
        <w:rPr>
          <w:rFonts w:ascii="Arial"/>
          <w:sz w:val="2"/>
        </w:rPr>
      </w:pPr>
      <w:r>
        <w:rPr>
          <w:rFonts w:ascii="Arial" w:eastAsia="Arial" w:hAnsi="Arial" w:cs="Arial"/>
          <w:sz w:val="2"/>
          <w:szCs w:val="2"/>
        </w:rPr>
        <w:br w:type="column"/>
      </w:r>
    </w:p>
    <w:p>
      <w:pPr>
        <w:pStyle w:val="BodyText"/>
        <w:spacing w:before="35" w:line="221" w:lineRule="auto"/>
        <w:ind w:left="16"/>
        <w:outlineLvl w:val="2"/>
        <w:rPr>
          <w:sz w:val="18"/>
          <w:szCs w:val="18"/>
        </w:rPr>
      </w:pPr>
      <w:r>
        <w:rPr>
          <w:spacing w:val="-2"/>
          <w:sz w:val="16"/>
          <w:szCs w:val="16"/>
        </w:rPr>
        <w:t>图6：</w:t>
      </w:r>
      <w:r>
        <w:rPr>
          <w:spacing w:val="-2"/>
          <w:sz w:val="18"/>
          <w:szCs w:val="18"/>
        </w:rPr>
        <w:t>美元兑人民币汇率周度均值与拟合值一览</w:t>
      </w:r>
    </w:p>
    <w:p>
      <w:pPr>
        <w:spacing w:before="35" w:line="2958" w:lineRule="exact"/>
      </w:pPr>
      <w:r>
        <w:rPr>
          <w:position w:val="-59"/>
        </w:rPr>
        <w:pict>
          <v:group id="_x0000_i1040" style="width:242.95pt;height:147.9pt;mso-position-horizontal-relative:char;mso-position-vertical-relative:line" coordorigin="0,0" coordsize="4858,2957" filled="f" stroked="f">
            <v:rect id="_x0000_s1041" style="width:4858;height:10;position:absolute" filled="t" fillcolor="black" stroked="f"/>
            <v:rect id="_x0000_s1042" style="width:4858;height:10;position:absolute;top:2948" filled="t" fillcolor="black" stroked="f"/>
            <w10:wrap type="none"/>
          </v:group>
        </w:pict>
      </w:r>
    </w:p>
    <w:p>
      <w:pPr>
        <w:pStyle w:val="BodyText"/>
        <w:spacing w:before="85" w:line="189" w:lineRule="auto"/>
        <w:ind w:left="12"/>
        <w:rPr>
          <w:sz w:val="16"/>
          <w:szCs w:val="16"/>
        </w:rPr>
      </w:pPr>
      <w:r>
        <w:rPr>
          <w:spacing w:val="-1"/>
          <w:sz w:val="16"/>
          <w:szCs w:val="16"/>
        </w:rPr>
        <w:t>资料来源：WIND，国信证券经济研究所整理及测算</w:t>
      </w:r>
    </w:p>
    <w:p>
      <w:pPr>
        <w:spacing w:line="189" w:lineRule="auto"/>
        <w:rPr>
          <w:sz w:val="16"/>
          <w:szCs w:val="16"/>
        </w:rPr>
        <w:sectPr>
          <w:footerReference w:type="default" r:id="rId23"/>
          <w:type w:val="continuous"/>
          <w:pgSz w:w="11906" w:h="16839"/>
          <w:pgMar w:top="875" w:right="1127" w:bottom="1250" w:left="1090" w:header="0" w:footer="980" w:gutter="0"/>
          <w:pgNumType w:start="9"/>
          <w:cols w:num="2" w:space="708" w:equalWidth="0">
            <w:col w:w="4723" w:space="100"/>
            <w:col w:w="4866" w:space="0"/>
          </w:cols>
        </w:sectPr>
      </w:pPr>
    </w:p>
    <w:p>
      <w:pPr>
        <w:spacing w:line="268" w:lineRule="auto"/>
        <w:rPr>
          <w:rFonts w:ascii="Arial"/>
          <w:sz w:val="21"/>
        </w:rPr>
      </w:pPr>
    </w:p>
    <w:p>
      <w:pPr>
        <w:spacing w:line="268" w:lineRule="auto"/>
        <w:rPr>
          <w:rFonts w:ascii="Arial"/>
          <w:sz w:val="21"/>
        </w:rPr>
      </w:pPr>
    </w:p>
    <w:p>
      <w:pPr>
        <w:pStyle w:val="BodyText"/>
        <w:spacing w:before="78" w:line="222" w:lineRule="auto"/>
        <w:ind w:left="2333"/>
        <w:outlineLvl w:val="1"/>
        <w:rPr>
          <w:sz w:val="24"/>
          <w:szCs w:val="24"/>
        </w:rPr>
      </w:pPr>
      <w:bookmarkStart w:id="16" w:name="bookmark7"/>
      <w:bookmarkEnd w:id="16"/>
      <w:r>
        <w:rPr>
          <w:spacing w:val="20"/>
          <w:sz w:val="24"/>
          <w:szCs w:val="24"/>
          <w14:textOutline w14:w="4358" w14:cap="sq">
            <w14:solidFill>
              <w14:srgbClr w14:val="000000"/>
            </w14:solidFill>
            <w14:prstDash w14:val="solid"/>
            <w14:bevel/>
          </w14:textOutline>
        </w:rPr>
        <w:t>国信高频宏观扩散指数拟合资产价格的胜率分析</w:t>
      </w:r>
    </w:p>
    <w:p>
      <w:pPr>
        <w:pStyle w:val="BodyText"/>
        <w:spacing w:before="187" w:line="243" w:lineRule="auto"/>
        <w:ind w:left="2318" w:right="5" w:firstLine="3"/>
      </w:pPr>
      <w:r>
        <w:rPr>
          <w:spacing w:val="7"/>
        </w:rPr>
        <w:t>我们使用方向胜率来判定国信高频宏观扩散指数拟合资产价格的好坏（方向胜率=</w:t>
      </w:r>
      <w:r>
        <w:rPr>
          <w:spacing w:val="7"/>
        </w:rPr>
        <w:t xml:space="preserve"> </w:t>
      </w:r>
      <w:r>
        <w:rPr>
          <w:spacing w:val="9"/>
        </w:rPr>
        <w:t>拟合值相对上周真实值的变动方向与实际资产价格运行方向一致的概率大小）。</w:t>
      </w:r>
    </w:p>
    <w:p>
      <w:pPr>
        <w:pStyle w:val="BodyText"/>
        <w:spacing w:before="190" w:line="248" w:lineRule="auto"/>
        <w:ind w:left="2318" w:right="9"/>
        <w:jc w:val="both"/>
      </w:pPr>
      <w:r>
        <w:rPr>
          <w:spacing w:val="10"/>
        </w:rPr>
        <w:t>从结果来看，国信高频宏观扩散指数拟合十年期国债利率以及上证综指的方向胜</w:t>
      </w:r>
      <w:r>
        <w:rPr>
          <w:spacing w:val="8"/>
        </w:rPr>
        <w:t xml:space="preserve"> </w:t>
      </w:r>
      <w:r>
        <w:rPr>
          <w:spacing w:val="10"/>
        </w:rPr>
        <w:t>率较高，拟合南华工业品指数以及美元兑人民币汇率的方向胜率偏低，特别是拟</w:t>
      </w:r>
      <w:r>
        <w:rPr>
          <w:spacing w:val="7"/>
        </w:rPr>
        <w:t xml:space="preserve"> </w:t>
      </w:r>
      <w:r>
        <w:rPr>
          <w:spacing w:val="8"/>
        </w:rPr>
        <w:t>合美元兑人民币汇率的方向胜率明显低于</w:t>
      </w:r>
      <w:r>
        <w:rPr>
          <w:spacing w:val="-38"/>
        </w:rPr>
        <w:t xml:space="preserve"> </w:t>
      </w:r>
      <w:r>
        <w:rPr>
          <w:spacing w:val="8"/>
        </w:rPr>
        <w:t>50%。</w:t>
      </w:r>
    </w:p>
    <w:p>
      <w:pPr>
        <w:pStyle w:val="BodyText"/>
        <w:spacing w:before="190" w:line="251" w:lineRule="auto"/>
        <w:ind w:left="2316" w:right="6" w:firstLine="6"/>
        <w:jc w:val="both"/>
      </w:pPr>
      <w:r>
        <w:rPr>
          <w:spacing w:val="10"/>
        </w:rPr>
        <w:t>此外，方向胜率的稳健性需要较长的时间来验证。此处十年国债收益率的方向胜</w:t>
      </w:r>
      <w:r>
        <w:rPr>
          <w:spacing w:val="3"/>
        </w:rPr>
        <w:t xml:space="preserve"> </w:t>
      </w:r>
      <w:r>
        <w:rPr>
          <w:spacing w:val="4"/>
        </w:rPr>
        <w:t>率是从</w:t>
      </w:r>
      <w:r>
        <w:rPr>
          <w:spacing w:val="-38"/>
        </w:rPr>
        <w:t xml:space="preserve"> </w:t>
      </w:r>
      <w:r>
        <w:rPr>
          <w:spacing w:val="4"/>
        </w:rPr>
        <w:t>2019</w:t>
      </w:r>
      <w:r>
        <w:rPr>
          <w:spacing w:val="-37"/>
        </w:rPr>
        <w:t xml:space="preserve"> </w:t>
      </w:r>
      <w:r>
        <w:rPr>
          <w:spacing w:val="4"/>
        </w:rPr>
        <w:t>年</w:t>
      </w:r>
      <w:r>
        <w:rPr>
          <w:spacing w:val="-29"/>
        </w:rPr>
        <w:t xml:space="preserve"> </w:t>
      </w:r>
      <w:r>
        <w:rPr>
          <w:spacing w:val="4"/>
        </w:rPr>
        <w:t>10</w:t>
      </w:r>
      <w:r>
        <w:rPr>
          <w:spacing w:val="-35"/>
        </w:rPr>
        <w:t xml:space="preserve"> </w:t>
      </w:r>
      <w:r>
        <w:rPr>
          <w:spacing w:val="4"/>
        </w:rPr>
        <w:t>月开始统计，上证综合指数是</w:t>
      </w:r>
      <w:r>
        <w:rPr>
          <w:spacing w:val="-41"/>
        </w:rPr>
        <w:t xml:space="preserve"> </w:t>
      </w:r>
      <w:r>
        <w:rPr>
          <w:spacing w:val="4"/>
        </w:rPr>
        <w:t>2021</w:t>
      </w:r>
      <w:r>
        <w:rPr>
          <w:spacing w:val="-40"/>
        </w:rPr>
        <w:t xml:space="preserve"> </w:t>
      </w:r>
      <w:r>
        <w:rPr>
          <w:spacing w:val="4"/>
        </w:rPr>
        <w:t>年</w:t>
      </w:r>
      <w:r>
        <w:rPr>
          <w:spacing w:val="-40"/>
        </w:rPr>
        <w:t xml:space="preserve"> </w:t>
      </w:r>
      <w:r>
        <w:rPr>
          <w:spacing w:val="4"/>
        </w:rPr>
        <w:t>2</w:t>
      </w:r>
      <w:r>
        <w:rPr>
          <w:spacing w:val="-33"/>
        </w:rPr>
        <w:t xml:space="preserve"> </w:t>
      </w:r>
      <w:r>
        <w:rPr>
          <w:spacing w:val="4"/>
        </w:rPr>
        <w:t>月，南华工业品指数是</w:t>
      </w:r>
      <w:r>
        <w:t xml:space="preserve"> </w:t>
      </w:r>
      <w:r>
        <w:rPr>
          <w:spacing w:val="7"/>
        </w:rPr>
        <w:t>2023</w:t>
      </w:r>
      <w:r>
        <w:rPr>
          <w:spacing w:val="-24"/>
        </w:rPr>
        <w:t xml:space="preserve"> </w:t>
      </w:r>
      <w:r>
        <w:rPr>
          <w:spacing w:val="7"/>
        </w:rPr>
        <w:t>年</w:t>
      </w:r>
      <w:r>
        <w:rPr>
          <w:spacing w:val="-37"/>
        </w:rPr>
        <w:t xml:space="preserve"> </w:t>
      </w:r>
      <w:r>
        <w:rPr>
          <w:spacing w:val="7"/>
        </w:rPr>
        <w:t>3</w:t>
      </w:r>
      <w:r>
        <w:rPr>
          <w:spacing w:val="-36"/>
        </w:rPr>
        <w:t xml:space="preserve"> </w:t>
      </w:r>
      <w:r>
        <w:rPr>
          <w:spacing w:val="7"/>
        </w:rPr>
        <w:t>月。此处十年期国债收益率和上证综合指数的方向胜率较高且验证的时</w:t>
      </w:r>
      <w:r>
        <w:t xml:space="preserve"> </w:t>
      </w:r>
      <w:r>
        <w:rPr>
          <w:spacing w:val="10"/>
        </w:rPr>
        <w:t>间较长，因此预测结果的稳健性值得信赖，但南华工业品指数方向胜率验证的时</w:t>
      </w:r>
      <w:r>
        <w:rPr>
          <w:spacing w:val="10"/>
        </w:rPr>
        <w:t xml:space="preserve"> </w:t>
      </w:r>
      <w:bookmarkStart w:id="17" w:name="bookmark22"/>
      <w:bookmarkEnd w:id="17"/>
      <w:r>
        <w:rPr>
          <w:spacing w:val="8"/>
        </w:rPr>
        <w:t>间尚短，其方向胜率维持在</w:t>
      </w:r>
      <w:r>
        <w:rPr>
          <w:spacing w:val="-28"/>
        </w:rPr>
        <w:t xml:space="preserve"> </w:t>
      </w:r>
      <w:r>
        <w:rPr>
          <w:spacing w:val="8"/>
        </w:rPr>
        <w:t>54%以上的不确定性还比较大。</w:t>
      </w:r>
    </w:p>
    <w:p>
      <w:pPr>
        <w:pStyle w:val="BodyText"/>
        <w:spacing w:before="272" w:line="220" w:lineRule="auto"/>
        <w:ind w:left="2325"/>
        <w:outlineLvl w:val="2"/>
        <w:rPr>
          <w:sz w:val="18"/>
          <w:szCs w:val="18"/>
        </w:rPr>
        <w:sectPr>
          <w:footerReference w:type="default" r:id="rId24"/>
          <w:type w:val="continuous"/>
          <w:pgSz w:w="11906" w:h="16839"/>
          <w:pgMar w:top="875" w:right="1127" w:bottom="1250" w:left="1090" w:header="0" w:footer="980" w:gutter="0"/>
          <w:pgNumType w:start="10"/>
          <w:cols w:num="1" w:space="708" w:equalWidth="0">
            <w:col w:w="9688" w:space="0"/>
          </w:cols>
        </w:sectPr>
      </w:pPr>
      <w:r>
        <w:rPr>
          <w:spacing w:val="-3"/>
          <w:sz w:val="16"/>
          <w:szCs w:val="16"/>
        </w:rPr>
        <w:t>图7：</w:t>
      </w:r>
      <w:r>
        <w:rPr>
          <w:spacing w:val="-3"/>
          <w:sz w:val="18"/>
          <w:szCs w:val="18"/>
        </w:rPr>
        <w:t>国信高频宏观扩散指数拟合资产价格的方向胜率一览（截至</w:t>
      </w:r>
      <w:r>
        <w:rPr>
          <w:spacing w:val="-34"/>
          <w:sz w:val="18"/>
          <w:szCs w:val="18"/>
        </w:rPr>
        <w:t xml:space="preserve"> </w:t>
      </w:r>
      <w:r>
        <w:rPr>
          <w:spacing w:val="-3"/>
          <w:sz w:val="18"/>
          <w:szCs w:val="18"/>
        </w:rPr>
        <w:t>2024</w:t>
      </w:r>
      <w:r>
        <w:rPr>
          <w:spacing w:val="-38"/>
          <w:sz w:val="18"/>
          <w:szCs w:val="18"/>
        </w:rPr>
        <w:t xml:space="preserve"> </w:t>
      </w:r>
      <w:r>
        <w:rPr>
          <w:spacing w:val="-3"/>
          <w:sz w:val="18"/>
          <w:szCs w:val="18"/>
        </w:rPr>
        <w:t>年</w:t>
      </w:r>
      <w:r>
        <w:rPr>
          <w:spacing w:val="-38"/>
          <w:sz w:val="18"/>
          <w:szCs w:val="18"/>
        </w:rPr>
        <w:t xml:space="preserve"> </w:t>
      </w:r>
      <w:r>
        <w:rPr>
          <w:spacing w:val="-3"/>
          <w:sz w:val="18"/>
          <w:szCs w:val="18"/>
        </w:rPr>
        <w:t>2</w:t>
      </w:r>
      <w:r>
        <w:rPr>
          <w:spacing w:val="-35"/>
          <w:sz w:val="18"/>
          <w:szCs w:val="18"/>
        </w:rPr>
        <w:t xml:space="preserve"> </w:t>
      </w:r>
      <w:r>
        <w:rPr>
          <w:spacing w:val="-3"/>
          <w:sz w:val="18"/>
          <w:szCs w:val="18"/>
        </w:rPr>
        <w:t>月</w:t>
      </w:r>
      <w:r>
        <w:rPr>
          <w:spacing w:val="-42"/>
          <w:sz w:val="18"/>
          <w:szCs w:val="18"/>
        </w:rPr>
        <w:t xml:space="preserve"> </w:t>
      </w:r>
      <w:r>
        <w:rPr>
          <w:spacing w:val="-3"/>
          <w:sz w:val="18"/>
          <w:szCs w:val="18"/>
        </w:rPr>
        <w:t>9</w:t>
      </w:r>
      <w:r>
        <w:rPr>
          <w:spacing w:val="-3"/>
          <w:sz w:val="18"/>
          <w:szCs w:val="18"/>
        </w:rPr>
        <w:t xml:space="preserve"> </w:t>
      </w:r>
      <w:r>
        <w:rPr>
          <w:spacing w:val="-3"/>
          <w:sz w:val="18"/>
          <w:szCs w:val="18"/>
        </w:rPr>
        <w:t>日）</w:t>
      </w:r>
    </w:p>
    <w:p>
      <w:pPr>
        <w:spacing w:before="24" w:line="4548" w:lineRule="exact"/>
        <w:ind w:firstLine="2311"/>
      </w:pPr>
      <w:r>
        <w:rPr>
          <w:position w:val="-90"/>
        </w:rPr>
        <w:pict>
          <v:shape id="_x0000_i1043" style="width:368.5pt;height:227.4pt;mso-position-horizontal-relative:char;mso-position-vertical-relative:line" coordorigin="0,0" coordsize="7370,4547" path="m,2l7369,2m,4545l7369,4545e" filled="f" strokecolor="black" strokeweight="0.24pt">
            <v:stroke joinstyle="bevel"/>
            <w10:wrap type="none"/>
          </v:shape>
        </w:pict>
      </w:r>
    </w:p>
    <w:p>
      <w:pPr>
        <w:pStyle w:val="BodyText"/>
        <w:spacing w:before="85" w:line="189" w:lineRule="auto"/>
        <w:ind w:left="2321"/>
        <w:rPr>
          <w:sz w:val="16"/>
          <w:szCs w:val="16"/>
        </w:rPr>
      </w:pPr>
      <w:r>
        <w:rPr>
          <w:spacing w:val="-1"/>
          <w:sz w:val="16"/>
          <w:szCs w:val="16"/>
        </w:rPr>
        <w:t>资料来源：WIND，国信证券经济研究所整理及测算</w:t>
      </w:r>
    </w:p>
    <w:p>
      <w:pPr>
        <w:spacing w:line="189" w:lineRule="auto"/>
        <w:rPr>
          <w:sz w:val="16"/>
          <w:szCs w:val="16"/>
        </w:rPr>
        <w:sectPr>
          <w:footerReference w:type="default" r:id="rId25"/>
          <w:type w:val="nextPage"/>
          <w:pgSz w:w="11906" w:h="16839"/>
          <w:pgMar w:top="875" w:right="1127" w:bottom="1250" w:left="1090" w:header="0" w:footer="980" w:gutter="0"/>
          <w:pgNumType w:start="11"/>
          <w:cols w:num="1" w:space="708" w:equalWidth="0">
            <w:col w:w="9688" w:space="0"/>
          </w:cols>
          <w:titlePg w:val="0"/>
        </w:sectPr>
      </w:pPr>
    </w:p>
    <w:p>
      <w:pPr>
        <w:pStyle w:val="BodyText"/>
        <w:spacing w:before="143" w:line="230" w:lineRule="auto"/>
        <w:ind w:left="8430"/>
      </w:pPr>
      <w:r>
        <w:drawing>
          <wp:anchor distT="0" distB="0" distL="0" distR="0" simplePos="0" relativeHeight="251669504" behindDoc="0" locked="0" layoutInCell="0" allowOverlap="1">
            <wp:simplePos x="0" y="0"/>
            <wp:positionH relativeFrom="page">
              <wp:posOffset>754380</wp:posOffset>
            </wp:positionH>
            <wp:positionV relativeFrom="page">
              <wp:posOffset>556259</wp:posOffset>
            </wp:positionV>
            <wp:extent cx="1260347" cy="303276"/>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9"/>
                    <a:stretch>
                      <a:fillRect/>
                    </a:stretch>
                  </pic:blipFill>
                  <pic:spPr>
                    <a:xfrm>
                      <a:off x="0" y="0"/>
                      <a:ext cx="1260347" cy="303276"/>
                    </a:xfrm>
                    <a:prstGeom prst="rect">
                      <a:avLst/>
                    </a:prstGeom>
                  </pic:spPr>
                </pic:pic>
              </a:graphicData>
            </a:graphic>
          </wp:anchor>
        </w:drawing>
      </w:r>
      <w:r>
        <w:rPr>
          <w:spacing w:val="9"/>
          <w14:textOutline w14:w="3795" w14:cap="sq">
            <w14:solidFill>
              <w14:srgbClr w14:val="000000"/>
            </w14:solidFill>
            <w14:prstDash w14:val="solid"/>
            <w14:bevel/>
          </w14:textOutline>
        </w:rPr>
        <w:t>证券研究报告</w:t>
      </w:r>
    </w:p>
    <w:p>
      <w:pPr>
        <w:spacing w:before="63" w:line="29" w:lineRule="exact"/>
        <w:ind w:firstLine="2317"/>
      </w:pPr>
      <w:r>
        <w:pict>
          <v:shape id="_x0000_i1044" style="width:368.55pt;height:1.45pt;mso-position-horizontal-relative:char;mso-position-vertical-relative:line" coordorigin="0,0" coordsize="7370,29" path="m,14l7370,14e" filled="f" strokecolor="#044477" strokeweight="1.44pt">
            <v:stroke joinstyle="bevel"/>
            <w10:wrap type="none"/>
          </v:shape>
        </w:pict>
      </w:r>
    </w:p>
    <w:p>
      <w:pPr>
        <w:spacing w:line="295" w:lineRule="auto"/>
        <w:rPr>
          <w:rFonts w:ascii="Arial"/>
          <w:sz w:val="21"/>
        </w:rPr>
      </w:pPr>
    </w:p>
    <w:p>
      <w:pPr>
        <w:pStyle w:val="BodyText"/>
        <w:spacing w:before="78" w:line="221" w:lineRule="auto"/>
        <w:ind w:left="2335"/>
        <w:outlineLvl w:val="1"/>
        <w:rPr>
          <w:sz w:val="24"/>
          <w:szCs w:val="24"/>
        </w:rPr>
      </w:pPr>
      <w:bookmarkStart w:id="18" w:name="bookmark8"/>
      <w:bookmarkEnd w:id="18"/>
      <w:bookmarkStart w:id="19" w:name="bookmark35"/>
      <w:bookmarkEnd w:id="19"/>
      <w:r>
        <w:rPr>
          <w:spacing w:val="20"/>
          <w:sz w:val="24"/>
          <w:szCs w:val="24"/>
          <w14:textOutline w14:w="4358" w14:cap="sq">
            <w14:solidFill>
              <w14:srgbClr w14:val="000000"/>
            </w14:solidFill>
            <w14:prstDash w14:val="solid"/>
            <w14:bevel/>
          </w14:textOutline>
        </w:rPr>
        <w:t>当前国内利率和股票价格或明显偏离国内基本面</w:t>
      </w:r>
    </w:p>
    <w:p>
      <w:pPr>
        <w:pStyle w:val="BodyText"/>
        <w:spacing w:before="189" w:line="249" w:lineRule="auto"/>
        <w:ind w:left="2318" w:right="38"/>
        <w:jc w:val="both"/>
      </w:pPr>
      <w:r>
        <w:rPr>
          <w:spacing w:val="-1"/>
        </w:rPr>
        <w:t>本周（2024</w:t>
      </w:r>
      <w:r>
        <w:rPr>
          <w:spacing w:val="-45"/>
        </w:rPr>
        <w:t xml:space="preserve"> </w:t>
      </w:r>
      <w:r>
        <w:rPr>
          <w:spacing w:val="-1"/>
        </w:rPr>
        <w:t>年</w:t>
      </w:r>
      <w:r>
        <w:rPr>
          <w:spacing w:val="-52"/>
        </w:rPr>
        <w:t xml:space="preserve"> </w:t>
      </w:r>
      <w:r>
        <w:rPr>
          <w:spacing w:val="-1"/>
        </w:rPr>
        <w:t>2</w:t>
      </w:r>
      <w:r>
        <w:rPr>
          <w:spacing w:val="-41"/>
        </w:rPr>
        <w:t xml:space="preserve"> </w:t>
      </w:r>
      <w:r>
        <w:rPr>
          <w:spacing w:val="-1"/>
        </w:rPr>
        <w:t>月</w:t>
      </w:r>
      <w:r>
        <w:rPr>
          <w:spacing w:val="-50"/>
        </w:rPr>
        <w:t xml:space="preserve"> </w:t>
      </w:r>
      <w:r>
        <w:rPr>
          <w:spacing w:val="-1"/>
        </w:rPr>
        <w:t>23</w:t>
      </w:r>
      <w:r>
        <w:rPr>
          <w:spacing w:val="-1"/>
        </w:rPr>
        <w:t xml:space="preserve"> </w:t>
      </w:r>
      <w:r>
        <w:rPr>
          <w:spacing w:val="-1"/>
        </w:rPr>
        <w:t>日所在周）十年期国债收益率、上证综合指数的预测值明显高</w:t>
      </w:r>
      <w:r>
        <w:t xml:space="preserve"> </w:t>
      </w:r>
      <w:r>
        <w:rPr>
          <w:spacing w:val="1"/>
        </w:rPr>
        <w:t>于实际发生值，预测值与实际发生值的偏差历史分位数达到</w:t>
      </w:r>
      <w:r>
        <w:rPr>
          <w:spacing w:val="-54"/>
        </w:rPr>
        <w:t xml:space="preserve"> </w:t>
      </w:r>
      <w:r>
        <w:t>90%以上，表明当前国内</w:t>
      </w:r>
      <w:r>
        <w:t xml:space="preserve"> </w:t>
      </w:r>
      <w:r>
        <w:rPr>
          <w:spacing w:val="-2"/>
        </w:rPr>
        <w:t>利率和股票价格明显偏离了国信宏观扩散指数所捕抓到的国内基本面情况。</w:t>
      </w:r>
    </w:p>
    <w:p>
      <w:pPr>
        <w:pStyle w:val="BodyText"/>
        <w:spacing w:before="122" w:line="250" w:lineRule="auto"/>
        <w:ind w:left="2316" w:right="41"/>
        <w:jc w:val="both"/>
      </w:pPr>
      <w:r>
        <w:rPr>
          <w:spacing w:val="-3"/>
        </w:rPr>
        <w:t>模型的预测结果显示，下周（2024</w:t>
      </w:r>
      <w:r>
        <w:rPr>
          <w:spacing w:val="-52"/>
        </w:rPr>
        <w:t xml:space="preserve"> </w:t>
      </w:r>
      <w:r>
        <w:rPr>
          <w:spacing w:val="-3"/>
        </w:rPr>
        <w:t>年</w:t>
      </w:r>
      <w:r>
        <w:rPr>
          <w:spacing w:val="-53"/>
        </w:rPr>
        <w:t xml:space="preserve"> </w:t>
      </w:r>
      <w:r>
        <w:rPr>
          <w:spacing w:val="-3"/>
        </w:rPr>
        <w:t>3</w:t>
      </w:r>
      <w:r>
        <w:rPr>
          <w:spacing w:val="-43"/>
        </w:rPr>
        <w:t xml:space="preserve"> </w:t>
      </w:r>
      <w:r>
        <w:rPr>
          <w:spacing w:val="-3"/>
        </w:rPr>
        <w:t>月</w:t>
      </w:r>
      <w:r>
        <w:rPr>
          <w:spacing w:val="-43"/>
        </w:rPr>
        <w:t xml:space="preserve"> </w:t>
      </w:r>
      <w:r>
        <w:rPr>
          <w:spacing w:val="-3"/>
        </w:rPr>
        <w:t>1</w:t>
      </w:r>
      <w:r>
        <w:rPr>
          <w:spacing w:val="-3"/>
        </w:rPr>
        <w:t xml:space="preserve"> </w:t>
      </w:r>
      <w:r>
        <w:rPr>
          <w:spacing w:val="-3"/>
        </w:rPr>
        <w:t>日</w:t>
      </w:r>
      <w:r>
        <w:rPr>
          <w:spacing w:val="-4"/>
        </w:rPr>
        <w:t>所在周）十年期国债收益率、上证综合</w:t>
      </w:r>
      <w:r>
        <w:t xml:space="preserve"> </w:t>
      </w:r>
      <w:r>
        <w:rPr>
          <w:spacing w:val="-1"/>
        </w:rPr>
        <w:t>指数预测值仍明显高于本周数值，预计下周十年期国债收益率、上证综合指数将上行</w:t>
      </w:r>
      <w:r>
        <w:rPr>
          <w:spacing w:val="8"/>
        </w:rPr>
        <w:t xml:space="preserve"> </w:t>
      </w:r>
      <w:bookmarkStart w:id="20" w:name="bookmark31"/>
      <w:bookmarkEnd w:id="20"/>
      <w:r>
        <w:rPr>
          <w:spacing w:val="-2"/>
        </w:rPr>
        <w:t>并向模型拟合值靠拢。</w:t>
      </w:r>
    </w:p>
    <w:p>
      <w:pPr>
        <w:pStyle w:val="BodyText"/>
        <w:spacing w:before="199" w:line="222" w:lineRule="auto"/>
        <w:ind w:left="2349"/>
        <w:outlineLvl w:val="2"/>
        <w:rPr>
          <w:sz w:val="18"/>
          <w:szCs w:val="18"/>
        </w:rPr>
      </w:pPr>
      <w:r>
        <w:rPr>
          <w:spacing w:val="-2"/>
          <w:sz w:val="16"/>
          <w:szCs w:val="16"/>
        </w:rPr>
        <w:t>表1：</w:t>
      </w:r>
      <w:r>
        <w:rPr>
          <w:spacing w:val="-2"/>
          <w:sz w:val="18"/>
          <w:szCs w:val="18"/>
        </w:rPr>
        <w:t>当前周度资产价格预测值一览</w:t>
      </w:r>
    </w:p>
    <w:p>
      <w:pPr>
        <w:spacing w:line="22" w:lineRule="exact"/>
      </w:pPr>
    </w:p>
    <w:tbl>
      <w:tblPr>
        <w:tblStyle w:val="TableNormal2"/>
        <w:tblW w:w="7370" w:type="dxa"/>
        <w:tblInd w:w="2311" w:type="dxa"/>
        <w:tblBorders>
          <w:top w:val="nil"/>
          <w:left w:val="nil"/>
          <w:bottom w:val="nil"/>
          <w:right w:val="nil"/>
          <w:insideH w:val="nil"/>
          <w:insideV w:val="nil"/>
        </w:tblBorders>
        <w:tblLayout w:type="fixed"/>
      </w:tblPr>
      <w:tblGrid>
        <w:gridCol w:w="2868"/>
        <w:gridCol w:w="1999"/>
        <w:gridCol w:w="1287"/>
        <w:gridCol w:w="1216"/>
      </w:tblGrid>
      <w:tr>
        <w:tblPrEx>
          <w:tblW w:w="7370" w:type="dxa"/>
          <w:tblInd w:w="2311" w:type="dxa"/>
          <w:tblBorders>
            <w:top w:val="nil"/>
            <w:left w:val="nil"/>
            <w:bottom w:val="nil"/>
            <w:right w:val="nil"/>
            <w:insideH w:val="nil"/>
            <w:insideV w:val="nil"/>
          </w:tblBorders>
          <w:tblLayout w:type="fixed"/>
        </w:tblPrEx>
        <w:trPr>
          <w:trHeight w:val="293"/>
        </w:trPr>
        <w:tc>
          <w:tcPr>
            <w:tcW w:w="2868" w:type="dxa"/>
            <w:tcBorders>
              <w:top w:val="single" w:sz="2" w:space="0" w:color="000000"/>
              <w:bottom w:val="single" w:sz="2" w:space="0" w:color="000000"/>
            </w:tcBorders>
            <w:vAlign w:val="top"/>
          </w:tcPr>
          <w:p>
            <w:pPr>
              <w:rPr>
                <w:rFonts w:ascii="Arial"/>
                <w:sz w:val="21"/>
              </w:rPr>
            </w:pPr>
          </w:p>
        </w:tc>
        <w:tc>
          <w:tcPr>
            <w:tcW w:w="1999" w:type="dxa"/>
            <w:tcBorders>
              <w:top w:val="single" w:sz="2" w:space="0" w:color="000000"/>
              <w:bottom w:val="single" w:sz="2" w:space="0" w:color="000000"/>
            </w:tcBorders>
            <w:vAlign w:val="top"/>
          </w:tcPr>
          <w:p>
            <w:pPr>
              <w:pStyle w:val="TableText"/>
              <w:spacing w:before="71" w:line="234" w:lineRule="auto"/>
              <w:ind w:left="210"/>
            </w:pPr>
            <w:r>
              <w:rPr>
                <w:spacing w:val="8"/>
                <w14:textOutline w14:w="2705" w14:cap="sq">
                  <w14:solidFill>
                    <w14:srgbClr w14:val="000000"/>
                  </w14:solidFill>
                  <w14:prstDash w14:val="solid"/>
                  <w14:bevel/>
                </w14:textOutline>
              </w:rPr>
              <w:t>十年期国债收益率（%）</w:t>
            </w:r>
          </w:p>
        </w:tc>
        <w:tc>
          <w:tcPr>
            <w:tcW w:w="1287" w:type="dxa"/>
            <w:tcBorders>
              <w:top w:val="single" w:sz="2" w:space="0" w:color="000000"/>
              <w:bottom w:val="single" w:sz="2" w:space="0" w:color="000000"/>
            </w:tcBorders>
            <w:vAlign w:val="top"/>
          </w:tcPr>
          <w:p>
            <w:pPr>
              <w:pStyle w:val="TableText"/>
              <w:spacing w:before="71" w:line="234" w:lineRule="auto"/>
              <w:ind w:left="225"/>
            </w:pPr>
            <w:r>
              <w:rPr>
                <w:spacing w:val="9"/>
                <w14:textOutline w14:w="2705" w14:cap="sq">
                  <w14:solidFill>
                    <w14:srgbClr w14:val="000000"/>
                  </w14:solidFill>
                  <w14:prstDash w14:val="solid"/>
                  <w14:bevel/>
                </w14:textOutline>
              </w:rPr>
              <w:t>上证综合指数</w:t>
            </w:r>
          </w:p>
        </w:tc>
        <w:tc>
          <w:tcPr>
            <w:tcW w:w="1216" w:type="dxa"/>
            <w:tcBorders>
              <w:top w:val="single" w:sz="2" w:space="0" w:color="000000"/>
              <w:bottom w:val="single" w:sz="2" w:space="0" w:color="000000"/>
            </w:tcBorders>
            <w:vAlign w:val="top"/>
          </w:tcPr>
          <w:p>
            <w:pPr>
              <w:pStyle w:val="TableText"/>
              <w:spacing w:before="71" w:line="234" w:lineRule="auto"/>
              <w:jc w:val="right"/>
            </w:pPr>
            <w:r>
              <w:rPr>
                <w:spacing w:val="8"/>
                <w14:textOutline w14:w="2705" w14:cap="sq">
                  <w14:solidFill>
                    <w14:srgbClr w14:val="000000"/>
                  </w14:solidFill>
                  <w14:prstDash w14:val="solid"/>
                  <w14:bevel/>
                </w14:textOutline>
              </w:rPr>
              <w:t>南华工业品指数</w:t>
            </w:r>
          </w:p>
        </w:tc>
      </w:tr>
      <w:tr>
        <w:tblPrEx>
          <w:tblW w:w="7370" w:type="dxa"/>
          <w:tblInd w:w="2311" w:type="dxa"/>
          <w:tblLayout w:type="fixed"/>
        </w:tblPrEx>
        <w:trPr>
          <w:trHeight w:val="225"/>
        </w:trPr>
        <w:tc>
          <w:tcPr>
            <w:tcW w:w="2868" w:type="dxa"/>
            <w:tcBorders>
              <w:top w:val="single" w:sz="2" w:space="0" w:color="000000"/>
            </w:tcBorders>
            <w:vAlign w:val="top"/>
          </w:tcPr>
          <w:p>
            <w:pPr>
              <w:pStyle w:val="TableText"/>
              <w:spacing w:before="39" w:line="231" w:lineRule="auto"/>
              <w:ind w:left="5"/>
            </w:pPr>
            <w:r>
              <w:rPr>
                <w:spacing w:val="4"/>
                <w14:textOutline w14:w="2705" w14:cap="sq">
                  <w14:solidFill>
                    <w14:srgbClr w14:val="000000"/>
                  </w14:solidFill>
                  <w14:prstDash w14:val="solid"/>
                  <w14:bevel/>
                </w14:textOutline>
              </w:rPr>
              <w:t>本周均值（2024</w:t>
            </w:r>
            <w:r>
              <w:rPr>
                <w:spacing w:val="-25"/>
              </w:rPr>
              <w:t xml:space="preserve"> </w:t>
            </w:r>
            <w:r>
              <w:rPr>
                <w:spacing w:val="4"/>
                <w14:textOutline w14:w="2705" w14:cap="sq">
                  <w14:solidFill>
                    <w14:srgbClr w14:val="000000"/>
                  </w14:solidFill>
                  <w14:prstDash w14:val="solid"/>
                  <w14:bevel/>
                </w14:textOutline>
              </w:rPr>
              <w:t>年</w:t>
            </w:r>
            <w:r>
              <w:rPr>
                <w:spacing w:val="-24"/>
              </w:rPr>
              <w:t xml:space="preserve"> </w:t>
            </w:r>
            <w:r>
              <w:rPr>
                <w:spacing w:val="4"/>
                <w14:textOutline w14:w="2705" w14:cap="sq">
                  <w14:solidFill>
                    <w14:srgbClr w14:val="000000"/>
                  </w14:solidFill>
                  <w14:prstDash w14:val="solid"/>
                  <w14:bevel/>
                </w14:textOutline>
              </w:rPr>
              <w:t>2</w:t>
            </w:r>
            <w:r>
              <w:rPr>
                <w:spacing w:val="-23"/>
              </w:rPr>
              <w:t xml:space="preserve"> </w:t>
            </w:r>
            <w:r>
              <w:rPr>
                <w:spacing w:val="4"/>
                <w14:textOutline w14:w="2705" w14:cap="sq">
                  <w14:solidFill>
                    <w14:srgbClr w14:val="000000"/>
                  </w14:solidFill>
                  <w14:prstDash w14:val="solid"/>
                  <w14:bevel/>
                </w14:textOutline>
              </w:rPr>
              <w:t>月</w:t>
            </w:r>
            <w:r>
              <w:rPr>
                <w:spacing w:val="-25"/>
              </w:rPr>
              <w:t xml:space="preserve"> </w:t>
            </w:r>
            <w:r>
              <w:rPr>
                <w:spacing w:val="4"/>
                <w14:textOutline w14:w="2705" w14:cap="sq">
                  <w14:solidFill>
                    <w14:srgbClr w14:val="000000"/>
                  </w14:solidFill>
                  <w14:prstDash w14:val="solid"/>
                  <w14:bevel/>
                </w14:textOutline>
              </w:rPr>
              <w:t>23</w:t>
            </w:r>
            <w:r>
              <w:rPr>
                <w:spacing w:val="4"/>
              </w:rPr>
              <w:t xml:space="preserve"> </w:t>
            </w:r>
            <w:r>
              <w:rPr>
                <w:spacing w:val="4"/>
                <w14:textOutline w14:w="2705" w14:cap="sq">
                  <w14:solidFill>
                    <w14:srgbClr w14:val="000000"/>
                  </w14:solidFill>
                  <w14:prstDash w14:val="solid"/>
                  <w14:bevel/>
                </w14:textOutline>
              </w:rPr>
              <w:t>日所在周）</w:t>
            </w:r>
          </w:p>
        </w:tc>
        <w:tc>
          <w:tcPr>
            <w:tcW w:w="1999" w:type="dxa"/>
            <w:tcBorders>
              <w:top w:val="single" w:sz="2" w:space="0" w:color="000000"/>
            </w:tcBorders>
            <w:vAlign w:val="top"/>
          </w:tcPr>
          <w:p>
            <w:pPr>
              <w:pStyle w:val="TableText"/>
              <w:spacing w:before="57" w:line="193" w:lineRule="auto"/>
              <w:ind w:left="1486"/>
            </w:pPr>
            <w:r>
              <w:rPr>
                <w:spacing w:val="3"/>
              </w:rPr>
              <w:t>2.42</w:t>
            </w:r>
          </w:p>
        </w:tc>
        <w:tc>
          <w:tcPr>
            <w:tcW w:w="1287" w:type="dxa"/>
            <w:tcBorders>
              <w:top w:val="single" w:sz="2" w:space="0" w:color="000000"/>
            </w:tcBorders>
            <w:vAlign w:val="top"/>
          </w:tcPr>
          <w:p>
            <w:pPr>
              <w:pStyle w:val="TableText"/>
              <w:spacing w:before="56" w:line="194" w:lineRule="auto"/>
              <w:ind w:left="601"/>
            </w:pPr>
            <w:r>
              <w:rPr>
                <w:spacing w:val="4"/>
              </w:rPr>
              <w:t>2955.49</w:t>
            </w:r>
          </w:p>
        </w:tc>
        <w:tc>
          <w:tcPr>
            <w:tcW w:w="1216" w:type="dxa"/>
            <w:tcBorders>
              <w:top w:val="single" w:sz="2" w:space="0" w:color="000000"/>
            </w:tcBorders>
            <w:vAlign w:val="top"/>
          </w:tcPr>
          <w:p>
            <w:pPr>
              <w:pStyle w:val="TableText"/>
              <w:spacing w:before="56" w:line="194" w:lineRule="auto"/>
              <w:jc w:val="right"/>
            </w:pPr>
            <w:r>
              <w:rPr>
                <w:spacing w:val="3"/>
              </w:rPr>
              <w:t>3977.27</w:t>
            </w:r>
          </w:p>
        </w:tc>
      </w:tr>
      <w:tr>
        <w:tblPrEx>
          <w:tblW w:w="7370" w:type="dxa"/>
          <w:tblInd w:w="2311" w:type="dxa"/>
          <w:tblLayout w:type="fixed"/>
        </w:tblPrEx>
        <w:trPr>
          <w:trHeight w:val="225"/>
        </w:trPr>
        <w:tc>
          <w:tcPr>
            <w:tcW w:w="2868" w:type="dxa"/>
            <w:vAlign w:val="top"/>
          </w:tcPr>
          <w:p>
            <w:pPr>
              <w:pStyle w:val="TableText"/>
              <w:spacing w:before="40" w:line="230" w:lineRule="auto"/>
              <w:ind w:left="5"/>
            </w:pPr>
            <w:r>
              <w:rPr>
                <w:spacing w:val="9"/>
                <w14:textOutline w14:w="2705" w14:cap="sq">
                  <w14:solidFill>
                    <w14:srgbClr w14:val="000000"/>
                  </w14:solidFill>
                  <w14:prstDash w14:val="solid"/>
                  <w14:bevel/>
                </w14:textOutline>
              </w:rPr>
              <w:t>本周均值预测值</w:t>
            </w:r>
          </w:p>
        </w:tc>
        <w:tc>
          <w:tcPr>
            <w:tcW w:w="1999" w:type="dxa"/>
            <w:vAlign w:val="top"/>
          </w:tcPr>
          <w:p>
            <w:pPr>
              <w:pStyle w:val="TableText"/>
              <w:spacing w:before="59" w:line="194" w:lineRule="auto"/>
              <w:ind w:left="1486"/>
            </w:pPr>
            <w:r>
              <w:rPr>
                <w:spacing w:val="3"/>
              </w:rPr>
              <w:t>2.75</w:t>
            </w:r>
          </w:p>
        </w:tc>
        <w:tc>
          <w:tcPr>
            <w:tcW w:w="1287" w:type="dxa"/>
            <w:vAlign w:val="top"/>
          </w:tcPr>
          <w:p>
            <w:pPr>
              <w:pStyle w:val="TableText"/>
              <w:spacing w:before="59" w:line="194" w:lineRule="auto"/>
              <w:ind w:left="602"/>
            </w:pPr>
            <w:r>
              <w:rPr>
                <w:spacing w:val="3"/>
              </w:rPr>
              <w:t>3163.58</w:t>
            </w:r>
          </w:p>
        </w:tc>
        <w:tc>
          <w:tcPr>
            <w:tcW w:w="1216" w:type="dxa"/>
            <w:vAlign w:val="top"/>
          </w:tcPr>
          <w:p>
            <w:pPr>
              <w:pStyle w:val="TableText"/>
              <w:spacing w:before="59" w:line="194" w:lineRule="auto"/>
              <w:jc w:val="right"/>
            </w:pPr>
            <w:r>
              <w:rPr>
                <w:spacing w:val="3"/>
              </w:rPr>
              <w:t>3805.89</w:t>
            </w:r>
          </w:p>
        </w:tc>
      </w:tr>
      <w:tr>
        <w:tblPrEx>
          <w:tblW w:w="7370" w:type="dxa"/>
          <w:tblInd w:w="2311" w:type="dxa"/>
          <w:tblLayout w:type="fixed"/>
        </w:tblPrEx>
        <w:trPr>
          <w:trHeight w:val="225"/>
        </w:trPr>
        <w:tc>
          <w:tcPr>
            <w:tcW w:w="2868" w:type="dxa"/>
            <w:vAlign w:val="top"/>
          </w:tcPr>
          <w:p>
            <w:pPr>
              <w:pStyle w:val="TableText"/>
              <w:spacing w:before="43" w:line="226" w:lineRule="auto"/>
              <w:ind w:left="5"/>
            </w:pPr>
            <w:r>
              <w:rPr>
                <w:spacing w:val="10"/>
                <w14:textOutline w14:w="2705" w14:cap="sq">
                  <w14:solidFill>
                    <w14:srgbClr w14:val="000000"/>
                  </w14:solidFill>
                  <w14:prstDash w14:val="solid"/>
                  <w14:bevel/>
                </w14:textOutline>
              </w:rPr>
              <w:t>本周预测值与真实值之差的历史分位数</w:t>
            </w:r>
          </w:p>
        </w:tc>
        <w:tc>
          <w:tcPr>
            <w:tcW w:w="1999" w:type="dxa"/>
            <w:vAlign w:val="top"/>
          </w:tcPr>
          <w:p>
            <w:pPr>
              <w:pStyle w:val="TableText"/>
              <w:spacing w:before="38" w:line="233" w:lineRule="auto"/>
              <w:ind w:left="1409"/>
            </w:pPr>
            <w:r>
              <w:rPr>
                <w:spacing w:val="4"/>
              </w:rPr>
              <w:t>97.3%</w:t>
            </w:r>
          </w:p>
        </w:tc>
        <w:tc>
          <w:tcPr>
            <w:tcW w:w="1287" w:type="dxa"/>
            <w:vAlign w:val="top"/>
          </w:tcPr>
          <w:p>
            <w:pPr>
              <w:pStyle w:val="TableText"/>
              <w:spacing w:before="38" w:line="233" w:lineRule="auto"/>
              <w:ind w:left="749"/>
            </w:pPr>
            <w:r>
              <w:rPr>
                <w:spacing w:val="4"/>
              </w:rPr>
              <w:t>92.8%</w:t>
            </w:r>
          </w:p>
        </w:tc>
        <w:tc>
          <w:tcPr>
            <w:tcW w:w="1216" w:type="dxa"/>
            <w:vAlign w:val="top"/>
          </w:tcPr>
          <w:p>
            <w:pPr>
              <w:pStyle w:val="TableText"/>
              <w:spacing w:before="38" w:line="233" w:lineRule="auto"/>
              <w:ind w:right="3"/>
              <w:jc w:val="right"/>
            </w:pPr>
            <w:r>
              <w:rPr>
                <w:spacing w:val="3"/>
              </w:rPr>
              <w:t>29.2%</w:t>
            </w:r>
          </w:p>
        </w:tc>
      </w:tr>
      <w:tr>
        <w:tblPrEx>
          <w:tblW w:w="7370" w:type="dxa"/>
          <w:tblInd w:w="2311" w:type="dxa"/>
          <w:tblLayout w:type="fixed"/>
        </w:tblPrEx>
        <w:trPr>
          <w:trHeight w:val="238"/>
        </w:trPr>
        <w:tc>
          <w:tcPr>
            <w:tcW w:w="2868" w:type="dxa"/>
            <w:tcBorders>
              <w:bottom w:val="single" w:sz="2" w:space="0" w:color="000000"/>
            </w:tcBorders>
            <w:vAlign w:val="top"/>
          </w:tcPr>
          <w:p>
            <w:pPr>
              <w:pStyle w:val="TableText"/>
              <w:spacing w:before="43" w:line="234" w:lineRule="auto"/>
              <w:ind w:left="8"/>
            </w:pPr>
            <w:r>
              <w:rPr>
                <w:spacing w:val="4"/>
                <w14:textOutline w14:w="2705" w14:cap="sq">
                  <w14:solidFill>
                    <w14:srgbClr w14:val="000000"/>
                  </w14:solidFill>
                  <w14:prstDash w14:val="solid"/>
                  <w14:bevel/>
                </w14:textOutline>
              </w:rPr>
              <w:t>下周均值预测（2024</w:t>
            </w:r>
            <w:r>
              <w:rPr>
                <w:spacing w:val="-24"/>
              </w:rPr>
              <w:t xml:space="preserve"> </w:t>
            </w:r>
            <w:r>
              <w:rPr>
                <w:spacing w:val="4"/>
                <w14:textOutline w14:w="2705" w14:cap="sq">
                  <w14:solidFill>
                    <w14:srgbClr w14:val="000000"/>
                  </w14:solidFill>
                  <w14:prstDash w14:val="solid"/>
                  <w14:bevel/>
                </w14:textOutline>
              </w:rPr>
              <w:t>年</w:t>
            </w:r>
            <w:r>
              <w:rPr>
                <w:spacing w:val="-23"/>
              </w:rPr>
              <w:t xml:space="preserve"> </w:t>
            </w:r>
            <w:r>
              <w:rPr>
                <w:spacing w:val="4"/>
                <w14:textOutline w14:w="2705" w14:cap="sq">
                  <w14:solidFill>
                    <w14:srgbClr w14:val="000000"/>
                  </w14:solidFill>
                  <w14:prstDash w14:val="solid"/>
                  <w14:bevel/>
                </w14:textOutline>
              </w:rPr>
              <w:t>3</w:t>
            </w:r>
            <w:r>
              <w:rPr>
                <w:spacing w:val="-23"/>
              </w:rPr>
              <w:t xml:space="preserve"> </w:t>
            </w:r>
            <w:r>
              <w:rPr>
                <w:spacing w:val="4"/>
                <w14:textOutline w14:w="2705" w14:cap="sq">
                  <w14:solidFill>
                    <w14:srgbClr w14:val="000000"/>
                  </w14:solidFill>
                  <w14:prstDash w14:val="solid"/>
                  <w14:bevel/>
                </w14:textOutline>
              </w:rPr>
              <w:t>月</w:t>
            </w:r>
            <w:r>
              <w:rPr>
                <w:spacing w:val="-18"/>
              </w:rPr>
              <w:t xml:space="preserve"> </w:t>
            </w:r>
            <w:r>
              <w:rPr>
                <w:spacing w:val="4"/>
                <w14:textOutline w14:w="2705" w14:cap="sq">
                  <w14:solidFill>
                    <w14:srgbClr w14:val="000000"/>
                  </w14:solidFill>
                  <w14:prstDash w14:val="solid"/>
                  <w14:bevel/>
                </w14:textOutline>
              </w:rPr>
              <w:t>1</w:t>
            </w:r>
            <w:r>
              <w:rPr>
                <w:spacing w:val="4"/>
              </w:rPr>
              <w:t xml:space="preserve"> </w:t>
            </w:r>
            <w:r>
              <w:rPr>
                <w:spacing w:val="4"/>
                <w14:textOutline w14:w="2705" w14:cap="sq">
                  <w14:solidFill>
                    <w14:srgbClr w14:val="000000"/>
                  </w14:solidFill>
                  <w14:prstDash w14:val="solid"/>
                  <w14:bevel/>
                </w14:textOutline>
              </w:rPr>
              <w:t>日所在周）</w:t>
            </w:r>
          </w:p>
        </w:tc>
        <w:tc>
          <w:tcPr>
            <w:tcW w:w="1999" w:type="dxa"/>
            <w:tcBorders>
              <w:bottom w:val="single" w:sz="2" w:space="0" w:color="000000"/>
            </w:tcBorders>
            <w:vAlign w:val="top"/>
          </w:tcPr>
          <w:p>
            <w:pPr>
              <w:pStyle w:val="TableText"/>
              <w:spacing w:before="63" w:line="194" w:lineRule="auto"/>
              <w:ind w:left="1486"/>
            </w:pPr>
            <w:r>
              <w:rPr>
                <w:spacing w:val="3"/>
              </w:rPr>
              <w:t>2.69</w:t>
            </w:r>
          </w:p>
        </w:tc>
        <w:tc>
          <w:tcPr>
            <w:tcW w:w="1287" w:type="dxa"/>
            <w:tcBorders>
              <w:bottom w:val="single" w:sz="2" w:space="0" w:color="000000"/>
            </w:tcBorders>
            <w:vAlign w:val="top"/>
          </w:tcPr>
          <w:p>
            <w:pPr>
              <w:pStyle w:val="TableText"/>
              <w:spacing w:before="63" w:line="194" w:lineRule="auto"/>
              <w:ind w:left="602"/>
            </w:pPr>
            <w:r>
              <w:rPr>
                <w:spacing w:val="3"/>
              </w:rPr>
              <w:t>3125.02</w:t>
            </w:r>
          </w:p>
        </w:tc>
        <w:tc>
          <w:tcPr>
            <w:tcW w:w="1216" w:type="dxa"/>
            <w:tcBorders>
              <w:bottom w:val="single" w:sz="2" w:space="0" w:color="000000"/>
            </w:tcBorders>
            <w:vAlign w:val="top"/>
          </w:tcPr>
          <w:p>
            <w:pPr>
              <w:pStyle w:val="TableText"/>
              <w:spacing w:before="63" w:line="194" w:lineRule="auto"/>
              <w:jc w:val="right"/>
            </w:pPr>
            <w:r>
              <w:rPr>
                <w:spacing w:val="3"/>
              </w:rPr>
              <w:t>3766.41</w:t>
            </w:r>
          </w:p>
        </w:tc>
      </w:tr>
    </w:tbl>
    <w:p>
      <w:pPr>
        <w:pStyle w:val="BodyText"/>
        <w:spacing w:before="83" w:line="214" w:lineRule="auto"/>
        <w:ind w:left="2321"/>
        <w:rPr>
          <w:sz w:val="16"/>
          <w:szCs w:val="16"/>
        </w:rPr>
      </w:pPr>
      <w:r>
        <w:rPr>
          <w:spacing w:val="-1"/>
          <w:sz w:val="16"/>
          <w:szCs w:val="16"/>
        </w:rPr>
        <w:t>资料来源：WIND，国信证券经济研究所整理及测算</w:t>
      </w:r>
    </w:p>
    <w:p>
      <w:pPr>
        <w:spacing w:line="280" w:lineRule="auto"/>
        <w:rPr>
          <w:rFonts w:ascii="Arial"/>
          <w:sz w:val="21"/>
        </w:rPr>
      </w:pPr>
    </w:p>
    <w:p>
      <w:pPr>
        <w:spacing w:line="280" w:lineRule="auto"/>
        <w:rPr>
          <w:rFonts w:ascii="Arial"/>
          <w:sz w:val="21"/>
        </w:rPr>
      </w:pPr>
    </w:p>
    <w:p>
      <w:pPr>
        <w:pStyle w:val="BodyText"/>
        <w:spacing w:before="114" w:line="227" w:lineRule="auto"/>
        <w:ind w:left="2343"/>
        <w:outlineLvl w:val="0"/>
        <w:rPr>
          <w:sz w:val="35"/>
          <w:szCs w:val="35"/>
        </w:rPr>
      </w:pPr>
      <w:bookmarkStart w:id="21" w:name="bookmark9"/>
      <w:bookmarkEnd w:id="21"/>
      <w:bookmarkStart w:id="22" w:name="bookmark10"/>
      <w:bookmarkEnd w:id="22"/>
      <w:r>
        <w:rPr>
          <w:color w:val="004477"/>
          <w:sz w:val="35"/>
          <w:szCs w:val="35"/>
          <w14:textOutline w14:w="6537" w14:cap="sq">
            <w14:solidFill>
              <w14:srgbClr w14:val="004477"/>
            </w14:solidFill>
            <w14:prstDash w14:val="solid"/>
            <w14:bevel/>
          </w14:textOutline>
        </w:rPr>
        <w:t>附录</w:t>
      </w:r>
    </w:p>
    <w:p>
      <w:pPr>
        <w:pStyle w:val="BodyText"/>
        <w:spacing w:before="270" w:line="222" w:lineRule="auto"/>
        <w:ind w:left="2320"/>
        <w:outlineLvl w:val="1"/>
        <w:rPr>
          <w:sz w:val="24"/>
          <w:szCs w:val="24"/>
        </w:rPr>
      </w:pPr>
      <w:r>
        <w:rPr>
          <w:spacing w:val="21"/>
          <w:sz w:val="24"/>
          <w:szCs w:val="24"/>
          <w14:textOutline w14:w="4358" w14:cap="sq">
            <w14:solidFill>
              <w14:srgbClr w14:val="000000"/>
            </w14:solidFill>
            <w14:prstDash w14:val="solid"/>
            <w14:bevel/>
          </w14:textOutline>
        </w:rPr>
        <w:t>周度高频指标与十年期国债利率的相关性分析</w:t>
      </w:r>
    </w:p>
    <w:p>
      <w:pPr>
        <w:pStyle w:val="BodyText"/>
        <w:spacing w:before="189" w:line="243" w:lineRule="auto"/>
        <w:ind w:left="2320" w:right="53" w:firstLine="9"/>
      </w:pPr>
      <w:r>
        <w:rPr>
          <w:spacing w:val="10"/>
        </w:rPr>
        <w:t>国信宏观扩散指数周同比与滞后一周的十年期国债利率一年移动相关系</w:t>
      </w:r>
      <w:r>
        <w:rPr>
          <w:spacing w:val="9"/>
        </w:rPr>
        <w:t>数如下图</w:t>
      </w:r>
      <w:r>
        <w:t xml:space="preserve"> </w:t>
      </w:r>
      <w:r>
        <w:rPr>
          <w:spacing w:val="2"/>
        </w:rPr>
        <w:t>所示。</w:t>
      </w:r>
    </w:p>
    <w:p>
      <w:pPr>
        <w:pStyle w:val="BodyText"/>
        <w:spacing w:before="188" w:line="253" w:lineRule="auto"/>
        <w:ind w:left="2321" w:right="49" w:hanging="5"/>
        <w:jc w:val="both"/>
      </w:pPr>
      <w:r>
        <w:rPr>
          <w:spacing w:val="8"/>
        </w:rPr>
        <w:t>2017</w:t>
      </w:r>
      <w:r>
        <w:rPr>
          <w:spacing w:val="-36"/>
        </w:rPr>
        <w:t xml:space="preserve"> </w:t>
      </w:r>
      <w:r>
        <w:rPr>
          <w:spacing w:val="8"/>
        </w:rPr>
        <w:t>年以来，一年移动相关系数的峰值（根据经济逻辑，二者应当具有正相关关</w:t>
      </w:r>
      <w:r>
        <w:t xml:space="preserve"> </w:t>
      </w:r>
      <w:r>
        <w:rPr>
          <w:spacing w:val="3"/>
        </w:rPr>
        <w:t>系）有四个，分别对应如下四个时间区间</w:t>
      </w:r>
      <w:r>
        <w:rPr>
          <w:spacing w:val="-16"/>
        </w:rPr>
        <w:t>：（</w:t>
      </w:r>
      <w:r>
        <w:rPr>
          <w:spacing w:val="3"/>
        </w:rPr>
        <w:t>1）2017</w:t>
      </w:r>
      <w:r>
        <w:rPr>
          <w:spacing w:val="-38"/>
        </w:rPr>
        <w:t xml:space="preserve"> </w:t>
      </w:r>
      <w:r>
        <w:rPr>
          <w:spacing w:val="3"/>
        </w:rPr>
        <w:t>年</w:t>
      </w:r>
      <w:r>
        <w:rPr>
          <w:spacing w:val="-26"/>
        </w:rPr>
        <w:t xml:space="preserve"> </w:t>
      </w:r>
      <w:r>
        <w:rPr>
          <w:spacing w:val="3"/>
        </w:rPr>
        <w:t>10</w:t>
      </w:r>
      <w:r>
        <w:rPr>
          <w:spacing w:val="-36"/>
        </w:rPr>
        <w:t xml:space="preserve"> </w:t>
      </w:r>
      <w:r>
        <w:rPr>
          <w:spacing w:val="3"/>
        </w:rPr>
        <w:t>月</w:t>
      </w:r>
      <w:r>
        <w:rPr>
          <w:spacing w:val="-28"/>
        </w:rPr>
        <w:t xml:space="preserve"> </w:t>
      </w:r>
      <w:r>
        <w:rPr>
          <w:spacing w:val="3"/>
        </w:rPr>
        <w:t>13</w:t>
      </w:r>
      <w:r>
        <w:rPr>
          <w:spacing w:val="3"/>
        </w:rPr>
        <w:t xml:space="preserve"> </w:t>
      </w:r>
      <w:r>
        <w:rPr>
          <w:spacing w:val="3"/>
        </w:rPr>
        <w:t>日至</w:t>
      </w:r>
      <w:r>
        <w:rPr>
          <w:spacing w:val="-36"/>
        </w:rPr>
        <w:t xml:space="preserve"> </w:t>
      </w:r>
      <w:r>
        <w:rPr>
          <w:spacing w:val="3"/>
        </w:rPr>
        <w:t>2018</w:t>
      </w:r>
      <w:r>
        <w:rPr>
          <w:spacing w:val="-40"/>
        </w:rPr>
        <w:t xml:space="preserve"> </w:t>
      </w:r>
      <w:r>
        <w:rPr>
          <w:spacing w:val="3"/>
        </w:rPr>
        <w:t>年</w:t>
      </w:r>
      <w:r>
        <w:rPr>
          <w:spacing w:val="-26"/>
        </w:rPr>
        <w:t xml:space="preserve"> </w:t>
      </w:r>
      <w:r>
        <w:rPr>
          <w:spacing w:val="3"/>
        </w:rPr>
        <w:t>10</w:t>
      </w:r>
      <w:r>
        <w:t xml:space="preserve"> </w:t>
      </w:r>
      <w:r>
        <w:rPr>
          <w:spacing w:val="1"/>
        </w:rPr>
        <w:t>月</w:t>
      </w:r>
      <w:r>
        <w:rPr>
          <w:spacing w:val="-35"/>
        </w:rPr>
        <w:t xml:space="preserve"> </w:t>
      </w:r>
      <w:r>
        <w:rPr>
          <w:spacing w:val="1"/>
        </w:rPr>
        <w:t>5</w:t>
      </w:r>
      <w:r>
        <w:rPr>
          <w:spacing w:val="1"/>
        </w:rPr>
        <w:t xml:space="preserve"> </w:t>
      </w:r>
      <w:r>
        <w:rPr>
          <w:spacing w:val="1"/>
        </w:rPr>
        <w:t>日</w:t>
      </w:r>
      <w:r>
        <w:rPr>
          <w:spacing w:val="4"/>
        </w:rPr>
        <w:t>；（</w:t>
      </w:r>
      <w:r>
        <w:rPr>
          <w:spacing w:val="1"/>
        </w:rPr>
        <w:t>2）2018</w:t>
      </w:r>
      <w:r>
        <w:rPr>
          <w:spacing w:val="-32"/>
        </w:rPr>
        <w:t xml:space="preserve"> </w:t>
      </w:r>
      <w:r>
        <w:rPr>
          <w:spacing w:val="1"/>
        </w:rPr>
        <w:t>年</w:t>
      </w:r>
      <w:r>
        <w:rPr>
          <w:spacing w:val="-21"/>
        </w:rPr>
        <w:t xml:space="preserve"> </w:t>
      </w:r>
      <w:r>
        <w:rPr>
          <w:spacing w:val="1"/>
        </w:rPr>
        <w:t>10</w:t>
      </w:r>
      <w:r>
        <w:rPr>
          <w:spacing w:val="-28"/>
        </w:rPr>
        <w:t xml:space="preserve"> </w:t>
      </w:r>
      <w:r>
        <w:rPr>
          <w:spacing w:val="1"/>
        </w:rPr>
        <w:t>月</w:t>
      </w:r>
      <w:r>
        <w:rPr>
          <w:spacing w:val="-22"/>
        </w:rPr>
        <w:t xml:space="preserve"> </w:t>
      </w:r>
      <w:r>
        <w:rPr>
          <w:spacing w:val="1"/>
        </w:rPr>
        <w:t>19</w:t>
      </w:r>
      <w:r>
        <w:rPr>
          <w:spacing w:val="1"/>
        </w:rPr>
        <w:t xml:space="preserve"> </w:t>
      </w:r>
      <w:r>
        <w:rPr>
          <w:spacing w:val="1"/>
        </w:rPr>
        <w:t>日至</w:t>
      </w:r>
      <w:r>
        <w:rPr>
          <w:spacing w:val="-33"/>
        </w:rPr>
        <w:t xml:space="preserve"> </w:t>
      </w:r>
      <w:r>
        <w:rPr>
          <w:spacing w:val="1"/>
        </w:rPr>
        <w:t>2019</w:t>
      </w:r>
      <w:r>
        <w:rPr>
          <w:spacing w:val="-33"/>
        </w:rPr>
        <w:t xml:space="preserve"> </w:t>
      </w:r>
      <w:r>
        <w:rPr>
          <w:spacing w:val="1"/>
        </w:rPr>
        <w:t>年</w:t>
      </w:r>
      <w:r>
        <w:rPr>
          <w:spacing w:val="-21"/>
        </w:rPr>
        <w:t xml:space="preserve"> </w:t>
      </w:r>
      <w:r>
        <w:rPr>
          <w:spacing w:val="1"/>
        </w:rPr>
        <w:t>10</w:t>
      </w:r>
      <w:r>
        <w:rPr>
          <w:spacing w:val="-31"/>
        </w:rPr>
        <w:t xml:space="preserve"> </w:t>
      </w:r>
      <w:r>
        <w:rPr>
          <w:spacing w:val="1"/>
        </w:rPr>
        <w:t>月</w:t>
      </w:r>
      <w:r>
        <w:rPr>
          <w:spacing w:val="-19"/>
        </w:rPr>
        <w:t xml:space="preserve"> </w:t>
      </w:r>
      <w:r>
        <w:rPr>
          <w:spacing w:val="1"/>
        </w:rPr>
        <w:t>1</w:t>
      </w:r>
      <w:r>
        <w:t>1</w:t>
      </w:r>
      <w:r>
        <w:t xml:space="preserve"> </w:t>
      </w:r>
      <w:r>
        <w:t>日</w:t>
      </w:r>
      <w:r>
        <w:rPr>
          <w:spacing w:val="4"/>
        </w:rPr>
        <w:t>；（</w:t>
      </w:r>
      <w:r>
        <w:t>3）2020</w:t>
      </w:r>
      <w:r>
        <w:rPr>
          <w:spacing w:val="-32"/>
        </w:rPr>
        <w:t xml:space="preserve"> </w:t>
      </w:r>
      <w:r>
        <w:t>年</w:t>
      </w:r>
      <w:r>
        <w:rPr>
          <w:spacing w:val="-32"/>
        </w:rPr>
        <w:t xml:space="preserve"> </w:t>
      </w:r>
      <w:r>
        <w:t>3</w:t>
      </w:r>
      <w:r>
        <w:rPr>
          <w:spacing w:val="-28"/>
        </w:rPr>
        <w:t xml:space="preserve"> </w:t>
      </w:r>
      <w:r>
        <w:t>月</w:t>
      </w:r>
      <w:r>
        <w:rPr>
          <w:spacing w:val="-22"/>
        </w:rPr>
        <w:t xml:space="preserve"> </w:t>
      </w:r>
      <w:r>
        <w:t>13</w:t>
      </w:r>
      <w:r>
        <w:t xml:space="preserve"> </w:t>
      </w:r>
      <w:r>
        <w:rPr>
          <w:spacing w:val="1"/>
        </w:rPr>
        <w:t>日至</w:t>
      </w:r>
      <w:r>
        <w:rPr>
          <w:spacing w:val="-38"/>
        </w:rPr>
        <w:t xml:space="preserve"> </w:t>
      </w:r>
      <w:r>
        <w:rPr>
          <w:spacing w:val="1"/>
        </w:rPr>
        <w:t>2021</w:t>
      </w:r>
      <w:r>
        <w:rPr>
          <w:spacing w:val="-37"/>
        </w:rPr>
        <w:t xml:space="preserve"> </w:t>
      </w:r>
      <w:r>
        <w:rPr>
          <w:spacing w:val="1"/>
        </w:rPr>
        <w:t>年</w:t>
      </w:r>
      <w:r>
        <w:rPr>
          <w:spacing w:val="-35"/>
        </w:rPr>
        <w:t xml:space="preserve"> </w:t>
      </w:r>
      <w:r>
        <w:rPr>
          <w:spacing w:val="1"/>
        </w:rPr>
        <w:t>3</w:t>
      </w:r>
      <w:r>
        <w:rPr>
          <w:spacing w:val="-33"/>
        </w:rPr>
        <w:t xml:space="preserve"> </w:t>
      </w:r>
      <w:r>
        <w:rPr>
          <w:spacing w:val="1"/>
        </w:rPr>
        <w:t>月</w:t>
      </w:r>
      <w:r>
        <w:rPr>
          <w:spacing w:val="-39"/>
        </w:rPr>
        <w:t xml:space="preserve"> </w:t>
      </w:r>
      <w:r>
        <w:rPr>
          <w:spacing w:val="1"/>
        </w:rPr>
        <w:t>5</w:t>
      </w:r>
      <w:r>
        <w:rPr>
          <w:spacing w:val="1"/>
        </w:rPr>
        <w:t xml:space="preserve"> </w:t>
      </w:r>
      <w:r>
        <w:rPr>
          <w:spacing w:val="1"/>
        </w:rPr>
        <w:t>日；（4）2021</w:t>
      </w:r>
      <w:r>
        <w:rPr>
          <w:spacing w:val="-37"/>
        </w:rPr>
        <w:t xml:space="preserve"> </w:t>
      </w:r>
      <w:r>
        <w:rPr>
          <w:spacing w:val="1"/>
        </w:rPr>
        <w:t>年</w:t>
      </w:r>
      <w:r>
        <w:rPr>
          <w:spacing w:val="-26"/>
        </w:rPr>
        <w:t xml:space="preserve"> </w:t>
      </w:r>
      <w:r>
        <w:rPr>
          <w:spacing w:val="1"/>
        </w:rPr>
        <w:t>1</w:t>
      </w:r>
      <w:r>
        <w:rPr>
          <w:spacing w:val="-31"/>
        </w:rPr>
        <w:t xml:space="preserve"> </w:t>
      </w:r>
      <w:r>
        <w:rPr>
          <w:spacing w:val="1"/>
        </w:rPr>
        <w:t>月</w:t>
      </w:r>
      <w:r>
        <w:rPr>
          <w:spacing w:val="-38"/>
        </w:rPr>
        <w:t xml:space="preserve"> </w:t>
      </w:r>
      <w:r>
        <w:rPr>
          <w:spacing w:val="1"/>
        </w:rPr>
        <w:t>29</w:t>
      </w:r>
      <w:r>
        <w:rPr>
          <w:spacing w:val="1"/>
        </w:rPr>
        <w:t xml:space="preserve"> </w:t>
      </w:r>
      <w:r>
        <w:rPr>
          <w:spacing w:val="1"/>
        </w:rPr>
        <w:t>日至</w:t>
      </w:r>
      <w:r>
        <w:rPr>
          <w:spacing w:val="-39"/>
        </w:rPr>
        <w:t xml:space="preserve"> </w:t>
      </w:r>
      <w:r>
        <w:rPr>
          <w:spacing w:val="1"/>
        </w:rPr>
        <w:t>2022</w:t>
      </w:r>
      <w:r>
        <w:rPr>
          <w:spacing w:val="-37"/>
        </w:rPr>
        <w:t xml:space="preserve"> </w:t>
      </w:r>
      <w:r>
        <w:rPr>
          <w:spacing w:val="1"/>
        </w:rPr>
        <w:t>年</w:t>
      </w:r>
      <w:r>
        <w:rPr>
          <w:spacing w:val="-26"/>
        </w:rPr>
        <w:t xml:space="preserve"> </w:t>
      </w:r>
      <w:r>
        <w:rPr>
          <w:spacing w:val="1"/>
        </w:rPr>
        <w:t>1</w:t>
      </w:r>
      <w:r>
        <w:rPr>
          <w:spacing w:val="-31"/>
        </w:rPr>
        <w:t xml:space="preserve"> </w:t>
      </w:r>
      <w:r>
        <w:rPr>
          <w:spacing w:val="1"/>
        </w:rPr>
        <w:t>月</w:t>
      </w:r>
      <w:r>
        <w:rPr>
          <w:spacing w:val="-38"/>
        </w:rPr>
        <w:t xml:space="preserve"> </w:t>
      </w:r>
      <w:r>
        <w:rPr>
          <w:spacing w:val="1"/>
        </w:rPr>
        <w:t>21</w:t>
      </w:r>
      <w:r>
        <w:rPr>
          <w:spacing w:val="1"/>
        </w:rPr>
        <w:t xml:space="preserve"> </w:t>
      </w:r>
      <w:r>
        <w:rPr>
          <w:spacing w:val="1"/>
        </w:rPr>
        <w:t>日（注：</w:t>
      </w:r>
      <w:r>
        <w:t>此处</w:t>
      </w:r>
      <w:r>
        <w:t xml:space="preserve"> </w:t>
      </w:r>
      <w:r>
        <w:rPr>
          <w:spacing w:val="6"/>
        </w:rPr>
        <w:t>日期指当日所在周）。</w:t>
      </w:r>
    </w:p>
    <w:p>
      <w:pPr>
        <w:pStyle w:val="BodyText"/>
        <w:spacing w:before="183" w:line="250" w:lineRule="auto"/>
        <w:ind w:left="2316" w:firstLine="14"/>
        <w:jc w:val="both"/>
      </w:pPr>
      <w:r>
        <w:rPr>
          <w:spacing w:val="-1"/>
        </w:rPr>
        <w:t>因此，我们分别选</w:t>
      </w:r>
      <w:r>
        <w:rPr>
          <w:spacing w:val="-38"/>
        </w:rPr>
        <w:t xml:space="preserve"> </w:t>
      </w:r>
      <w:r>
        <w:rPr>
          <w:spacing w:val="-1"/>
        </w:rPr>
        <w:t>2017</w:t>
      </w:r>
      <w:r>
        <w:rPr>
          <w:spacing w:val="-40"/>
        </w:rPr>
        <w:t xml:space="preserve"> </w:t>
      </w:r>
      <w:r>
        <w:rPr>
          <w:spacing w:val="-1"/>
        </w:rPr>
        <w:t>年</w:t>
      </w:r>
      <w:r>
        <w:rPr>
          <w:spacing w:val="-28"/>
        </w:rPr>
        <w:t xml:space="preserve"> </w:t>
      </w:r>
      <w:r>
        <w:rPr>
          <w:spacing w:val="-1"/>
        </w:rPr>
        <w:t>10</w:t>
      </w:r>
      <w:r>
        <w:rPr>
          <w:spacing w:val="-33"/>
        </w:rPr>
        <w:t xml:space="preserve"> </w:t>
      </w:r>
      <w:r>
        <w:rPr>
          <w:spacing w:val="-1"/>
        </w:rPr>
        <w:t>月</w:t>
      </w:r>
      <w:r>
        <w:rPr>
          <w:spacing w:val="-29"/>
        </w:rPr>
        <w:t xml:space="preserve"> </w:t>
      </w:r>
      <w:r>
        <w:rPr>
          <w:spacing w:val="-1"/>
        </w:rPr>
        <w:t>13</w:t>
      </w:r>
      <w:r>
        <w:rPr>
          <w:spacing w:val="-1"/>
        </w:rPr>
        <w:t xml:space="preserve"> </w:t>
      </w:r>
      <w:r>
        <w:rPr>
          <w:spacing w:val="-1"/>
        </w:rPr>
        <w:t>日、2018</w:t>
      </w:r>
      <w:r>
        <w:rPr>
          <w:spacing w:val="-39"/>
        </w:rPr>
        <w:t xml:space="preserve"> </w:t>
      </w:r>
      <w:r>
        <w:rPr>
          <w:spacing w:val="-1"/>
        </w:rPr>
        <w:t>年</w:t>
      </w:r>
      <w:r>
        <w:rPr>
          <w:spacing w:val="-27"/>
        </w:rPr>
        <w:t xml:space="preserve"> </w:t>
      </w:r>
      <w:r>
        <w:rPr>
          <w:spacing w:val="-2"/>
        </w:rPr>
        <w:t>10</w:t>
      </w:r>
      <w:r>
        <w:rPr>
          <w:spacing w:val="-35"/>
        </w:rPr>
        <w:t xml:space="preserve"> </w:t>
      </w:r>
      <w:r>
        <w:rPr>
          <w:spacing w:val="-2"/>
        </w:rPr>
        <w:t>月</w:t>
      </w:r>
      <w:r>
        <w:rPr>
          <w:spacing w:val="-26"/>
        </w:rPr>
        <w:t xml:space="preserve"> </w:t>
      </w:r>
      <w:r>
        <w:rPr>
          <w:spacing w:val="-2"/>
        </w:rPr>
        <w:t>19</w:t>
      </w:r>
      <w:r>
        <w:rPr>
          <w:spacing w:val="-2"/>
        </w:rPr>
        <w:t xml:space="preserve"> </w:t>
      </w:r>
      <w:r>
        <w:rPr>
          <w:spacing w:val="-2"/>
        </w:rPr>
        <w:t>日、2020</w:t>
      </w:r>
      <w:r>
        <w:rPr>
          <w:spacing w:val="-40"/>
        </w:rPr>
        <w:t xml:space="preserve"> </w:t>
      </w:r>
      <w:r>
        <w:rPr>
          <w:spacing w:val="-2"/>
        </w:rPr>
        <w:t>年</w:t>
      </w:r>
      <w:r>
        <w:rPr>
          <w:spacing w:val="-39"/>
        </w:rPr>
        <w:t xml:space="preserve"> </w:t>
      </w:r>
      <w:r>
        <w:rPr>
          <w:spacing w:val="-2"/>
        </w:rPr>
        <w:t>3</w:t>
      </w:r>
      <w:r>
        <w:rPr>
          <w:spacing w:val="-33"/>
        </w:rPr>
        <w:t xml:space="preserve"> </w:t>
      </w:r>
      <w:r>
        <w:rPr>
          <w:spacing w:val="-2"/>
        </w:rPr>
        <w:t>月</w:t>
      </w:r>
      <w:r>
        <w:rPr>
          <w:spacing w:val="-28"/>
        </w:rPr>
        <w:t xml:space="preserve"> </w:t>
      </w:r>
      <w:r>
        <w:rPr>
          <w:spacing w:val="-2"/>
        </w:rPr>
        <w:t>13</w:t>
      </w:r>
      <w:r>
        <w:rPr>
          <w:spacing w:val="-2"/>
        </w:rPr>
        <w:t xml:space="preserve"> </w:t>
      </w:r>
      <w:r>
        <w:rPr>
          <w:spacing w:val="-2"/>
        </w:rPr>
        <w:t>日、</w:t>
      </w:r>
      <w:r>
        <w:t xml:space="preserve"> </w:t>
      </w:r>
      <w:r>
        <w:rPr>
          <w:spacing w:val="2"/>
        </w:rPr>
        <w:t>2021</w:t>
      </w:r>
      <w:r>
        <w:rPr>
          <w:spacing w:val="-39"/>
        </w:rPr>
        <w:t xml:space="preserve"> </w:t>
      </w:r>
      <w:r>
        <w:rPr>
          <w:spacing w:val="2"/>
        </w:rPr>
        <w:t>年</w:t>
      </w:r>
      <w:r>
        <w:rPr>
          <w:spacing w:val="-26"/>
        </w:rPr>
        <w:t xml:space="preserve"> </w:t>
      </w:r>
      <w:r>
        <w:rPr>
          <w:spacing w:val="2"/>
        </w:rPr>
        <w:t>1</w:t>
      </w:r>
      <w:r>
        <w:rPr>
          <w:spacing w:val="-36"/>
        </w:rPr>
        <w:t xml:space="preserve"> </w:t>
      </w:r>
      <w:r>
        <w:rPr>
          <w:spacing w:val="2"/>
        </w:rPr>
        <w:t>月</w:t>
      </w:r>
      <w:r>
        <w:rPr>
          <w:spacing w:val="-38"/>
        </w:rPr>
        <w:t xml:space="preserve"> </w:t>
      </w:r>
      <w:r>
        <w:rPr>
          <w:spacing w:val="2"/>
        </w:rPr>
        <w:t>29</w:t>
      </w:r>
      <w:r>
        <w:rPr>
          <w:spacing w:val="2"/>
        </w:rPr>
        <w:t xml:space="preserve"> </w:t>
      </w:r>
      <w:r>
        <w:rPr>
          <w:spacing w:val="2"/>
        </w:rPr>
        <w:t>日以及最开始的</w:t>
      </w:r>
      <w:r>
        <w:rPr>
          <w:spacing w:val="-41"/>
        </w:rPr>
        <w:t xml:space="preserve"> </w:t>
      </w:r>
      <w:r>
        <w:rPr>
          <w:spacing w:val="2"/>
        </w:rPr>
        <w:t>2017</w:t>
      </w:r>
      <w:r>
        <w:rPr>
          <w:spacing w:val="-40"/>
        </w:rPr>
        <w:t xml:space="preserve"> </w:t>
      </w:r>
      <w:r>
        <w:rPr>
          <w:spacing w:val="2"/>
        </w:rPr>
        <w:t>年</w:t>
      </w:r>
      <w:r>
        <w:rPr>
          <w:spacing w:val="-26"/>
        </w:rPr>
        <w:t xml:space="preserve"> </w:t>
      </w:r>
      <w:r>
        <w:rPr>
          <w:spacing w:val="2"/>
        </w:rPr>
        <w:t>1</w:t>
      </w:r>
      <w:r>
        <w:rPr>
          <w:spacing w:val="-35"/>
        </w:rPr>
        <w:t xml:space="preserve"> </w:t>
      </w:r>
      <w:r>
        <w:rPr>
          <w:spacing w:val="2"/>
        </w:rPr>
        <w:t>月</w:t>
      </w:r>
      <w:r>
        <w:rPr>
          <w:spacing w:val="-38"/>
        </w:rPr>
        <w:t xml:space="preserve"> </w:t>
      </w:r>
      <w:r>
        <w:rPr>
          <w:spacing w:val="2"/>
        </w:rPr>
        <w:t>6</w:t>
      </w:r>
      <w:r>
        <w:rPr>
          <w:spacing w:val="2"/>
        </w:rPr>
        <w:t xml:space="preserve"> </w:t>
      </w:r>
      <w:r>
        <w:rPr>
          <w:spacing w:val="2"/>
        </w:rPr>
        <w:t>日所在周为起始点，计算累</w:t>
      </w:r>
      <w:r>
        <w:rPr>
          <w:spacing w:val="1"/>
        </w:rPr>
        <w:t>计相关</w:t>
      </w:r>
      <w:r>
        <w:t xml:space="preserve"> </w:t>
      </w:r>
      <w:r>
        <w:rPr>
          <w:spacing w:val="3"/>
        </w:rPr>
        <w:t>系数。</w:t>
      </w:r>
    </w:p>
    <w:p>
      <w:pPr>
        <w:pStyle w:val="BodyText"/>
        <w:spacing w:before="184" w:line="249" w:lineRule="auto"/>
        <w:ind w:left="2317" w:right="50"/>
        <w:jc w:val="both"/>
      </w:pPr>
      <w:r>
        <w:rPr>
          <w:spacing w:val="5"/>
        </w:rPr>
        <w:t>从累计相关系数的测算结果来看，2018</w:t>
      </w:r>
      <w:r>
        <w:rPr>
          <w:spacing w:val="-39"/>
        </w:rPr>
        <w:t xml:space="preserve"> </w:t>
      </w:r>
      <w:r>
        <w:rPr>
          <w:spacing w:val="5"/>
        </w:rPr>
        <w:t>年</w:t>
      </w:r>
      <w:r>
        <w:rPr>
          <w:spacing w:val="-29"/>
        </w:rPr>
        <w:t xml:space="preserve"> </w:t>
      </w:r>
      <w:r>
        <w:rPr>
          <w:spacing w:val="5"/>
        </w:rPr>
        <w:t>10</w:t>
      </w:r>
      <w:r>
        <w:rPr>
          <w:spacing w:val="-33"/>
        </w:rPr>
        <w:t xml:space="preserve"> </w:t>
      </w:r>
      <w:r>
        <w:rPr>
          <w:spacing w:val="5"/>
        </w:rPr>
        <w:t>月</w:t>
      </w:r>
      <w:r>
        <w:rPr>
          <w:spacing w:val="-28"/>
        </w:rPr>
        <w:t xml:space="preserve"> </w:t>
      </w:r>
      <w:r>
        <w:rPr>
          <w:spacing w:val="5"/>
        </w:rPr>
        <w:t>19</w:t>
      </w:r>
      <w:r>
        <w:rPr>
          <w:spacing w:val="5"/>
        </w:rPr>
        <w:t xml:space="preserve"> </w:t>
      </w:r>
      <w:r>
        <w:rPr>
          <w:spacing w:val="5"/>
        </w:rPr>
        <w:t>日起累计相关系数</w:t>
      </w:r>
      <w:r>
        <w:rPr>
          <w:spacing w:val="4"/>
        </w:rPr>
        <w:t>稳定在较高</w:t>
      </w:r>
      <w:r>
        <w:t xml:space="preserve"> </w:t>
      </w:r>
      <w:r>
        <w:rPr>
          <w:spacing w:val="12"/>
        </w:rPr>
        <w:t>水平，且在最近的时间里累计相关系数绝对值最高，因此我们选择采用</w:t>
      </w:r>
      <w:r>
        <w:rPr>
          <w:spacing w:val="-36"/>
        </w:rPr>
        <w:t xml:space="preserve"> </w:t>
      </w:r>
      <w:r>
        <w:rPr>
          <w:spacing w:val="12"/>
        </w:rPr>
        <w:t>2018</w:t>
      </w:r>
      <w:r>
        <w:rPr>
          <w:spacing w:val="-34"/>
        </w:rPr>
        <w:t xml:space="preserve"> </w:t>
      </w:r>
      <w:r>
        <w:rPr>
          <w:spacing w:val="12"/>
        </w:rPr>
        <w:t>年</w:t>
      </w:r>
      <w:r>
        <w:t xml:space="preserve"> </w:t>
      </w:r>
      <w:r>
        <w:rPr>
          <w:spacing w:val="3"/>
        </w:rPr>
        <w:t>10</w:t>
      </w:r>
      <w:r>
        <w:rPr>
          <w:spacing w:val="-24"/>
        </w:rPr>
        <w:t xml:space="preserve"> </w:t>
      </w:r>
      <w:r>
        <w:rPr>
          <w:spacing w:val="3"/>
        </w:rPr>
        <w:t>月</w:t>
      </w:r>
      <w:r>
        <w:rPr>
          <w:spacing w:val="-29"/>
        </w:rPr>
        <w:t xml:space="preserve"> </w:t>
      </w:r>
      <w:r>
        <w:rPr>
          <w:spacing w:val="3"/>
        </w:rPr>
        <w:t>19</w:t>
      </w:r>
      <w:r>
        <w:rPr>
          <w:spacing w:val="3"/>
        </w:rPr>
        <w:t xml:space="preserve"> </w:t>
      </w:r>
      <w:r>
        <w:rPr>
          <w:spacing w:val="3"/>
        </w:rPr>
        <w:t>日起的数据建立线性拟合模型。</w:t>
      </w:r>
    </w:p>
    <w:p>
      <w:pPr>
        <w:spacing w:line="249" w:lineRule="auto"/>
        <w:sectPr>
          <w:footerReference w:type="default" r:id="rId26"/>
          <w:pgSz w:w="11906" w:h="16839"/>
          <w:pgMar w:top="875" w:right="1083" w:bottom="1250" w:left="1090" w:header="0" w:footer="979" w:gutter="0"/>
          <w:pgNumType w:start="12"/>
          <w:cols w:space="708"/>
        </w:sectPr>
      </w:pPr>
    </w:p>
    <w:p>
      <w:pPr>
        <w:pStyle w:val="BodyText"/>
        <w:spacing w:before="143" w:line="230" w:lineRule="auto"/>
        <w:ind w:right="1"/>
        <w:jc w:val="right"/>
      </w:pPr>
      <w:r>
        <w:drawing>
          <wp:anchor distT="0" distB="0" distL="0" distR="0" simplePos="0" relativeHeight="251674624" behindDoc="0" locked="0" layoutInCell="0" allowOverlap="1">
            <wp:simplePos x="0" y="0"/>
            <wp:positionH relativeFrom="page">
              <wp:posOffset>754380</wp:posOffset>
            </wp:positionH>
            <wp:positionV relativeFrom="page">
              <wp:posOffset>556259</wp:posOffset>
            </wp:positionV>
            <wp:extent cx="1260347" cy="303276"/>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9"/>
                    <a:stretch>
                      <a:fillRect/>
                    </a:stretch>
                  </pic:blipFill>
                  <pic:spPr>
                    <a:xfrm>
                      <a:off x="0" y="0"/>
                      <a:ext cx="1260347" cy="303276"/>
                    </a:xfrm>
                    <a:prstGeom prst="rect">
                      <a:avLst/>
                    </a:prstGeom>
                  </pic:spPr>
                </pic:pic>
              </a:graphicData>
            </a:graphic>
          </wp:anchor>
        </w:drawing>
      </w:r>
      <w:bookmarkStart w:id="23" w:name="bookmark23"/>
      <w:bookmarkEnd w:id="23"/>
      <w:bookmarkStart w:id="24" w:name="bookmark36"/>
      <w:bookmarkEnd w:id="24"/>
      <w:r>
        <w:rPr>
          <w:spacing w:val="9"/>
          <w14:textOutline w14:w="3795" w14:cap="sq">
            <w14:solidFill>
              <w14:srgbClr w14:val="000000"/>
            </w14:solidFill>
            <w14:prstDash w14:val="solid"/>
            <w14:bevel/>
          </w14:textOutline>
        </w:rPr>
        <w:t>证券研究报告</w:t>
      </w:r>
    </w:p>
    <w:p>
      <w:pPr>
        <w:spacing w:line="63" w:lineRule="exact"/>
      </w:pPr>
    </w:p>
    <w:tbl>
      <w:tblPr>
        <w:tblStyle w:val="TableNormal3"/>
        <w:tblW w:w="7376" w:type="dxa"/>
        <w:tblInd w:w="2311" w:type="dxa"/>
        <w:tblBorders>
          <w:top w:val="nil"/>
          <w:left w:val="nil"/>
          <w:bottom w:val="nil"/>
          <w:right w:val="nil"/>
          <w:insideH w:val="nil"/>
          <w:insideV w:val="nil"/>
        </w:tblBorders>
        <w:tblLayout w:type="fixed"/>
      </w:tblPr>
      <w:tblGrid>
        <w:gridCol w:w="2155"/>
        <w:gridCol w:w="2595"/>
        <w:gridCol w:w="2626"/>
      </w:tblGrid>
      <w:tr>
        <w:tblPrEx>
          <w:tblW w:w="7376" w:type="dxa"/>
          <w:tblInd w:w="2311" w:type="dxa"/>
          <w:tblBorders>
            <w:top w:val="nil"/>
            <w:left w:val="nil"/>
            <w:bottom w:val="nil"/>
            <w:right w:val="nil"/>
            <w:insideH w:val="nil"/>
            <w:insideV w:val="nil"/>
          </w:tblBorders>
          <w:tblLayout w:type="fixed"/>
        </w:tblPrEx>
        <w:trPr>
          <w:trHeight w:val="704"/>
        </w:trPr>
        <w:tc>
          <w:tcPr>
            <w:tcW w:w="7376" w:type="dxa"/>
            <w:gridSpan w:val="3"/>
            <w:tcBorders>
              <w:top w:val="single" w:sz="10" w:space="0" w:color="044477"/>
              <w:bottom w:val="single" w:sz="2" w:space="0" w:color="000000"/>
            </w:tcBorders>
            <w:vAlign w:val="top"/>
          </w:tcPr>
          <w:p>
            <w:pPr>
              <w:spacing w:line="403" w:lineRule="auto"/>
              <w:rPr>
                <w:rFonts w:ascii="Arial"/>
                <w:sz w:val="21"/>
              </w:rPr>
            </w:pPr>
          </w:p>
          <w:p>
            <w:pPr>
              <w:pStyle w:val="TableText"/>
              <w:spacing w:before="58" w:line="222" w:lineRule="auto"/>
              <w:ind w:left="14"/>
              <w:outlineLvl w:val="2"/>
              <w:rPr>
                <w:sz w:val="18"/>
                <w:szCs w:val="18"/>
              </w:rPr>
            </w:pPr>
            <w:r>
              <w:rPr>
                <w:spacing w:val="-1"/>
                <w:sz w:val="16"/>
                <w:szCs w:val="16"/>
              </w:rPr>
              <w:t>图8：</w:t>
            </w:r>
            <w:r>
              <w:rPr>
                <w:spacing w:val="-1"/>
                <w:sz w:val="18"/>
                <w:szCs w:val="18"/>
              </w:rPr>
              <w:t>国信宏观扩散指数周同比与滞后一周的十年期国债利率一年移动相</w:t>
            </w:r>
            <w:r>
              <w:rPr>
                <w:spacing w:val="-2"/>
                <w:sz w:val="18"/>
                <w:szCs w:val="18"/>
              </w:rPr>
              <w:t>关系数</w:t>
            </w:r>
          </w:p>
        </w:tc>
      </w:tr>
      <w:tr>
        <w:tblPrEx>
          <w:tblW w:w="7376" w:type="dxa"/>
          <w:tblInd w:w="2311" w:type="dxa"/>
          <w:tblLayout w:type="fixed"/>
        </w:tblPrEx>
        <w:trPr>
          <w:trHeight w:val="4596"/>
        </w:trPr>
        <w:tc>
          <w:tcPr>
            <w:tcW w:w="2155" w:type="dxa"/>
            <w:tcBorders>
              <w:top w:val="single" w:sz="2" w:space="0" w:color="000000"/>
              <w:bottom w:val="single" w:sz="2" w:space="0" w:color="000000"/>
            </w:tcBorders>
            <w:vAlign w:val="top"/>
          </w:tcPr>
          <w:p>
            <w:pPr>
              <w:spacing w:line="437" w:lineRule="auto"/>
              <w:rPr>
                <w:rFonts w:ascii="Arial"/>
                <w:sz w:val="21"/>
              </w:rPr>
            </w:pPr>
          </w:p>
          <w:p>
            <w:pPr>
              <w:pStyle w:val="TableText"/>
              <w:spacing w:line="689" w:lineRule="exact"/>
              <w:ind w:firstLine="795"/>
            </w:pPr>
            <w:r>
              <w:rPr>
                <w:position w:val="-13"/>
              </w:rPr>
              <w:pict>
                <v:group id="_x0000_i1045" style="width:66.05pt;height:34.5pt;mso-position-horizontal-relative:char;mso-position-vertical-relative:line" coordorigin="0,0" coordsize="1321,690" filled="f" stroked="f">
                  <v:shape id="_x0000_s1046" type="#_x0000_t75" style="width:1321;height:690;position:absolute" filled="f" stroked="f">
                    <v:imagedata r:id="rId27" o:title=""/>
                  </v:shape>
                  <v:shape id="_x0000_s1047" type="#_x0000_t202" style="width:1361;height:730;left:-20;position:absolute;top:-20" filled="f" stroked="f">
                    <o:lock v:ext="edit" aspectratio="f"/>
                    <v:textbox inset="0,0,0,0">
                      <w:txbxContent>
                        <w:p>
                          <w:pPr>
                            <w:spacing w:before="154" w:line="225" w:lineRule="auto"/>
                            <w:ind w:left="474" w:right="191" w:hanging="280"/>
                            <w:rPr>
                              <w:rFonts w:ascii="SimHei" w:eastAsia="SimHei" w:hAnsi="SimHei" w:cs="SimHei"/>
                              <w:sz w:val="13"/>
                              <w:szCs w:val="13"/>
                            </w:rPr>
                          </w:pPr>
                          <w:r>
                            <w:rPr>
                              <w:rFonts w:ascii="SimHei" w:eastAsia="SimHei" w:hAnsi="SimHei" w:cs="SimHei"/>
                              <w:spacing w:val="4"/>
                              <w:sz w:val="13"/>
                              <w:szCs w:val="13"/>
                            </w:rPr>
                            <w:t>2017.10.13-201</w:t>
                          </w:r>
                          <w:r>
                            <w:rPr>
                              <w:rFonts w:ascii="SimHei" w:eastAsia="SimHei" w:hAnsi="SimHei" w:cs="SimHei"/>
                              <w:spacing w:val="7"/>
                              <w:sz w:val="13"/>
                              <w:szCs w:val="13"/>
                            </w:rPr>
                            <w:t xml:space="preserve"> </w:t>
                          </w:r>
                          <w:r>
                            <w:rPr>
                              <w:rFonts w:ascii="SimHei" w:eastAsia="SimHei" w:hAnsi="SimHei" w:cs="SimHei"/>
                              <w:spacing w:val="3"/>
                              <w:sz w:val="13"/>
                              <w:szCs w:val="13"/>
                            </w:rPr>
                            <w:t>8.10.5</w:t>
                          </w:r>
                        </w:p>
                      </w:txbxContent>
                    </v:textbox>
                  </v:shape>
                  <w10:wrap type="none"/>
                </v:group>
              </w:pict>
            </w:r>
          </w:p>
          <w:p>
            <w:pPr>
              <w:spacing w:before="11" w:line="182" w:lineRule="exact"/>
              <w:ind w:firstLine="1433"/>
            </w:pPr>
            <w:r>
              <w:rPr>
                <w:position w:val="-3"/>
              </w:rPr>
              <w:pict>
                <v:shape id="_x0000_i1048" style="width:6.4pt;height:9.15pt;mso-position-horizontal-relative:char;mso-position-vertical-relative:line" coordorigin="0,0" coordsize="128,182" path="m,90c,40,28,,63,c98,,127,40,127,91c127,141,98,182,63,182c28,182,,141,,90e" filled="t" fillcolor="#44546a" stroked="f">
                  <v:fill opacity="32897f"/>
                  <w10:wrap type="none"/>
                </v:shape>
              </w:pict>
            </w:r>
          </w:p>
        </w:tc>
        <w:tc>
          <w:tcPr>
            <w:tcW w:w="2595" w:type="dxa"/>
            <w:tcBorders>
              <w:top w:val="single" w:sz="2" w:space="0" w:color="000000"/>
              <w:bottom w:val="single" w:sz="2" w:space="0" w:color="000000"/>
            </w:tcBorders>
            <w:vAlign w:val="top"/>
          </w:tcPr>
          <w:p>
            <w:pPr>
              <w:spacing w:before="156"/>
            </w:pPr>
            <w:r>
              <w:pict>
                <v:shape id="_x0000_s1049" style="width:6.35pt;height:9.15pt;margin-top:36.05pt;margin-left:-36.34pt;mso-position-horizontal-relative:right-margin-area;mso-position-vertical-relative:top-margin-area;position:absolute;z-index:-251644928" coordorigin="0,0" coordsize="126,182" path="m,90c,40,28,,63,c98,,126,40,126,91c126,141,98,182,63,182c28,182,,141,,90e" filled="t" fillcolor="#44546a" stroked="f">
                  <v:fill opacity="32897f"/>
                </v:shape>
              </w:pict>
            </w:r>
            <w:r>
              <w:drawing>
                <wp:anchor distT="0" distB="0" distL="0" distR="0" simplePos="0" relativeHeight="251672576" behindDoc="1" locked="0" layoutInCell="1" allowOverlap="1">
                  <wp:simplePos x="0" y="0"/>
                  <wp:positionH relativeFrom="rightMargin">
                    <wp:posOffset>-603872</wp:posOffset>
                  </wp:positionH>
                  <wp:positionV relativeFrom="topMargin">
                    <wp:posOffset>571665</wp:posOffset>
                  </wp:positionV>
                  <wp:extent cx="186258" cy="34781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8"/>
                          <a:stretch>
                            <a:fillRect/>
                          </a:stretch>
                        </pic:blipFill>
                        <pic:spPr>
                          <a:xfrm>
                            <a:off x="0" y="0"/>
                            <a:ext cx="186258" cy="347815"/>
                          </a:xfrm>
                          <a:prstGeom prst="rect">
                            <a:avLst/>
                          </a:prstGeom>
                        </pic:spPr>
                      </pic:pic>
                    </a:graphicData>
                  </a:graphic>
                </wp:anchor>
              </w:drawing>
            </w:r>
            <w:r>
              <w:drawing>
                <wp:anchor distT="0" distB="0" distL="0" distR="0" simplePos="0" relativeHeight="251675648" behindDoc="0" locked="0" layoutInCell="1" allowOverlap="1">
                  <wp:simplePos x="0" y="0"/>
                  <wp:positionH relativeFrom="rightMargin">
                    <wp:posOffset>-1371904</wp:posOffset>
                  </wp:positionH>
                  <wp:positionV relativeFrom="topMargin">
                    <wp:posOffset>586740</wp:posOffset>
                  </wp:positionV>
                  <wp:extent cx="84759" cy="137833"/>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9"/>
                          <a:stretch>
                            <a:fillRect/>
                          </a:stretch>
                        </pic:blipFill>
                        <pic:spPr>
                          <a:xfrm>
                            <a:off x="0" y="0"/>
                            <a:ext cx="84759" cy="137833"/>
                          </a:xfrm>
                          <a:prstGeom prst="rect">
                            <a:avLst/>
                          </a:prstGeom>
                        </pic:spPr>
                      </pic:pic>
                    </a:graphicData>
                  </a:graphic>
                </wp:anchor>
              </w:drawing>
            </w:r>
          </w:p>
          <w:tbl>
            <w:tblPr>
              <w:tblStyle w:val="TableNormal3"/>
              <w:tblW w:w="1290" w:type="dxa"/>
              <w:tblInd w:w="53" w:type="dxa"/>
              <w:tblBorders>
                <w:top w:val="single" w:sz="12" w:space="0" w:color="41719C"/>
                <w:left w:val="single" w:sz="12" w:space="0" w:color="41719C"/>
                <w:bottom w:val="single" w:sz="12" w:space="0" w:color="41719C"/>
                <w:right w:val="single" w:sz="12" w:space="0" w:color="41719C"/>
              </w:tblBorders>
              <w:tblLayout w:type="fixed"/>
            </w:tblPr>
            <w:tblGrid>
              <w:gridCol w:w="1290"/>
            </w:tblGrid>
            <w:tr>
              <w:tblPrEx>
                <w:tblW w:w="1290" w:type="dxa"/>
                <w:tblInd w:w="53" w:type="dxa"/>
                <w:tblBorders>
                  <w:top w:val="single" w:sz="12" w:space="0" w:color="41719C"/>
                  <w:left w:val="single" w:sz="12" w:space="0" w:color="41719C"/>
                  <w:bottom w:val="single" w:sz="12" w:space="0" w:color="41719C"/>
                  <w:right w:val="single" w:sz="12" w:space="0" w:color="41719C"/>
                </w:tblBorders>
                <w:tblLayout w:type="fixed"/>
              </w:tblPrEx>
              <w:trPr>
                <w:trHeight w:val="487"/>
              </w:trPr>
              <w:tc>
                <w:tcPr>
                  <w:tcW w:w="1290" w:type="dxa"/>
                  <w:vAlign w:val="top"/>
                </w:tcPr>
                <w:p>
                  <w:pPr>
                    <w:pStyle w:val="TableText"/>
                    <w:spacing w:before="102" w:line="227" w:lineRule="auto"/>
                    <w:ind w:left="387" w:right="142" w:hanging="244"/>
                    <w:rPr>
                      <w:sz w:val="13"/>
                      <w:szCs w:val="13"/>
                    </w:rPr>
                  </w:pPr>
                  <w:r>
                    <w:drawing>
                      <wp:anchor distT="0" distB="0" distL="0" distR="0" simplePos="0" relativeHeight="251670528" behindDoc="1" locked="0" layoutInCell="1" allowOverlap="1">
                        <wp:simplePos x="0" y="0"/>
                        <wp:positionH relativeFrom="column">
                          <wp:posOffset>-1364233</wp:posOffset>
                        </wp:positionH>
                        <wp:positionV relativeFrom="paragraph">
                          <wp:posOffset>-233728</wp:posOffset>
                        </wp:positionV>
                        <wp:extent cx="4584191" cy="2775204"/>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0"/>
                                <a:stretch>
                                  <a:fillRect/>
                                </a:stretch>
                              </pic:blipFill>
                              <pic:spPr>
                                <a:xfrm>
                                  <a:off x="0" y="0"/>
                                  <a:ext cx="4584191" cy="2775204"/>
                                </a:xfrm>
                                <a:prstGeom prst="rect">
                                  <a:avLst/>
                                </a:prstGeom>
                              </pic:spPr>
                            </pic:pic>
                          </a:graphicData>
                        </a:graphic>
                      </wp:anchor>
                    </w:drawing>
                  </w:r>
                  <w:r>
                    <w:rPr>
                      <w:spacing w:val="4"/>
                      <w:sz w:val="13"/>
                      <w:szCs w:val="13"/>
                    </w:rPr>
                    <w:t>2018.10.19-201</w:t>
                  </w:r>
                  <w:r>
                    <w:rPr>
                      <w:spacing w:val="7"/>
                      <w:sz w:val="13"/>
                      <w:szCs w:val="13"/>
                    </w:rPr>
                    <w:t xml:space="preserve"> </w:t>
                  </w:r>
                  <w:r>
                    <w:rPr>
                      <w:spacing w:val="4"/>
                      <w:sz w:val="13"/>
                      <w:szCs w:val="13"/>
                    </w:rPr>
                    <w:t>9.10.11</w:t>
                  </w:r>
                </w:p>
              </w:tc>
            </w:tr>
          </w:tbl>
          <w:p>
            <w:pPr>
              <w:spacing w:before="120" w:line="182" w:lineRule="exact"/>
              <w:ind w:firstLine="375"/>
            </w:pPr>
            <w:r>
              <w:rPr>
                <w:position w:val="-3"/>
              </w:rPr>
              <w:pict>
                <v:shape id="_x0000_i1050" style="width:6.35pt;height:9.15pt;mso-position-horizontal-relative:char;mso-position-vertical-relative:line" coordorigin="0,0" coordsize="126,182" path="m,91c,40,28,,63,c98,,126,40,126,91c126,141,98,182,63,182c28,182,,141,,91e" filled="t" fillcolor="#44546a" stroked="f">
                  <v:fill opacity="32897f"/>
                  <w10:wrap type="none"/>
                </v:shape>
              </w:pict>
            </w:r>
          </w:p>
          <w:p>
            <w:pPr>
              <w:spacing w:line="190" w:lineRule="exact"/>
            </w:pPr>
          </w:p>
          <w:tbl>
            <w:tblPr>
              <w:tblStyle w:val="TableNormal3"/>
              <w:tblW w:w="1290" w:type="dxa"/>
              <w:tblInd w:w="1005" w:type="dxa"/>
              <w:tblBorders>
                <w:top w:val="single" w:sz="12" w:space="0" w:color="41719C"/>
                <w:left w:val="single" w:sz="12" w:space="0" w:color="41719C"/>
                <w:bottom w:val="single" w:sz="12" w:space="0" w:color="41719C"/>
                <w:right w:val="single" w:sz="12" w:space="0" w:color="41719C"/>
              </w:tblBorders>
              <w:tblLayout w:type="fixed"/>
            </w:tblPr>
            <w:tblGrid>
              <w:gridCol w:w="1290"/>
            </w:tblGrid>
            <w:tr>
              <w:tblPrEx>
                <w:tblW w:w="1290" w:type="dxa"/>
                <w:tblInd w:w="1005" w:type="dxa"/>
                <w:tblBorders>
                  <w:top w:val="single" w:sz="12" w:space="0" w:color="41719C"/>
                  <w:left w:val="single" w:sz="12" w:space="0" w:color="41719C"/>
                  <w:bottom w:val="single" w:sz="12" w:space="0" w:color="41719C"/>
                  <w:right w:val="single" w:sz="12" w:space="0" w:color="41719C"/>
                </w:tblBorders>
                <w:tblLayout w:type="fixed"/>
              </w:tblPrEx>
              <w:trPr>
                <w:trHeight w:val="487"/>
              </w:trPr>
              <w:tc>
                <w:tcPr>
                  <w:tcW w:w="1290" w:type="dxa"/>
                  <w:vAlign w:val="top"/>
                </w:tcPr>
                <w:p>
                  <w:pPr>
                    <w:pStyle w:val="TableText"/>
                    <w:spacing w:before="104" w:line="225" w:lineRule="auto"/>
                    <w:ind w:left="499" w:right="141" w:hanging="356"/>
                    <w:rPr>
                      <w:sz w:val="13"/>
                      <w:szCs w:val="13"/>
                    </w:rPr>
                  </w:pPr>
                  <w:r>
                    <w:rPr>
                      <w:spacing w:val="4"/>
                      <w:sz w:val="13"/>
                      <w:szCs w:val="13"/>
                    </w:rPr>
                    <w:t>2020.3.13-2021</w:t>
                  </w:r>
                  <w:r>
                    <w:rPr>
                      <w:spacing w:val="7"/>
                      <w:sz w:val="13"/>
                      <w:szCs w:val="13"/>
                    </w:rPr>
                    <w:t xml:space="preserve"> </w:t>
                  </w:r>
                  <w:r>
                    <w:rPr>
                      <w:spacing w:val="1"/>
                      <w:sz w:val="13"/>
                      <w:szCs w:val="13"/>
                    </w:rPr>
                    <w:t>.3.5</w:t>
                  </w:r>
                </w:p>
              </w:tc>
            </w:tr>
          </w:tbl>
          <w:p>
            <w:pPr>
              <w:rPr>
                <w:rFonts w:ascii="Arial"/>
                <w:sz w:val="21"/>
              </w:rPr>
            </w:pPr>
          </w:p>
        </w:tc>
        <w:tc>
          <w:tcPr>
            <w:tcW w:w="2626" w:type="dxa"/>
            <w:tcBorders>
              <w:top w:val="single" w:sz="2" w:space="0" w:color="000000"/>
              <w:bottom w:val="single" w:sz="2" w:space="0" w:color="000000"/>
            </w:tcBorders>
            <w:vAlign w:val="top"/>
          </w:tcPr>
          <w:p>
            <w:pPr>
              <w:spacing w:line="432" w:lineRule="auto"/>
              <w:rPr>
                <w:rFonts w:ascii="Arial"/>
                <w:sz w:val="21"/>
              </w:rPr>
            </w:pPr>
          </w:p>
          <w:p>
            <w:pPr>
              <w:pStyle w:val="TableText"/>
              <w:spacing w:line="548" w:lineRule="exact"/>
              <w:ind w:firstLine="283"/>
            </w:pPr>
            <w:r>
              <w:rPr>
                <w:position w:val="-10"/>
              </w:rPr>
              <w:pict>
                <v:group id="_x0000_i1051" style="width:88.65pt;height:27.45pt;mso-position-horizontal-relative:char;mso-position-vertical-relative:line" coordorigin="0,0" coordsize="1773,549" filled="f" stroked="f">
                  <v:shape id="_x0000_s1052" type="#_x0000_t75" style="width:1773;height:549;position:absolute" filled="f" stroked="f">
                    <v:imagedata r:id="rId31" o:title=""/>
                  </v:shape>
                  <v:shape id="_x0000_s1053" type="#_x0000_t202" style="width:1813;height:589;left:-20;position:absolute;top:-20" filled="f" stroked="f">
                    <o:lock v:ext="edit" aspectratio="f"/>
                    <v:textbox inset="0,0,0,0">
                      <w:txbxContent>
                        <w:p>
                          <w:pPr>
                            <w:spacing w:before="154" w:line="225" w:lineRule="auto"/>
                            <w:ind w:left="965" w:right="193" w:hanging="320"/>
                            <w:rPr>
                              <w:rFonts w:ascii="SimHei" w:eastAsia="SimHei" w:hAnsi="SimHei" w:cs="SimHei"/>
                              <w:sz w:val="13"/>
                              <w:szCs w:val="13"/>
                            </w:rPr>
                          </w:pPr>
                          <w:r>
                            <w:rPr>
                              <w:rFonts w:ascii="SimHei" w:eastAsia="SimHei" w:hAnsi="SimHei" w:cs="SimHei"/>
                              <w:spacing w:val="4"/>
                              <w:sz w:val="13"/>
                              <w:szCs w:val="13"/>
                            </w:rPr>
                            <w:t>2021.1.29-2022</w:t>
                          </w:r>
                          <w:r>
                            <w:rPr>
                              <w:rFonts w:ascii="SimHei" w:eastAsia="SimHei" w:hAnsi="SimHei" w:cs="SimHei"/>
                              <w:spacing w:val="5"/>
                              <w:sz w:val="13"/>
                              <w:szCs w:val="13"/>
                            </w:rPr>
                            <w:t xml:space="preserve"> </w:t>
                          </w:r>
                          <w:r>
                            <w:rPr>
                              <w:rFonts w:ascii="SimHei" w:eastAsia="SimHei" w:hAnsi="SimHei" w:cs="SimHei"/>
                              <w:spacing w:val="2"/>
                              <w:sz w:val="13"/>
                              <w:szCs w:val="13"/>
                            </w:rPr>
                            <w:t>.1.21</w:t>
                          </w:r>
                        </w:p>
                      </w:txbxContent>
                    </v:textbox>
                  </v:shape>
                  <w10:wrap type="none"/>
                </v:group>
              </w:pict>
            </w:r>
          </w:p>
        </w:tc>
      </w:tr>
      <w:tr>
        <w:tblPrEx>
          <w:tblW w:w="7376" w:type="dxa"/>
          <w:tblInd w:w="2311" w:type="dxa"/>
          <w:tblLayout w:type="fixed"/>
        </w:tblPrEx>
        <w:trPr>
          <w:trHeight w:val="1375"/>
        </w:trPr>
        <w:tc>
          <w:tcPr>
            <w:tcW w:w="7376" w:type="dxa"/>
            <w:gridSpan w:val="3"/>
            <w:tcBorders>
              <w:top w:val="single" w:sz="2" w:space="0" w:color="000000"/>
              <w:bottom w:val="single" w:sz="2" w:space="0" w:color="000000"/>
            </w:tcBorders>
            <w:vAlign w:val="top"/>
          </w:tcPr>
          <w:p>
            <w:pPr>
              <w:pStyle w:val="TableText"/>
              <w:spacing w:before="83" w:line="214" w:lineRule="auto"/>
              <w:ind w:left="10"/>
              <w:rPr>
                <w:sz w:val="16"/>
                <w:szCs w:val="16"/>
              </w:rPr>
            </w:pPr>
            <w:r>
              <w:rPr>
                <w:spacing w:val="-1"/>
                <w:sz w:val="16"/>
                <w:szCs w:val="16"/>
              </w:rPr>
              <w:t>资料来源：WIND，国信证券经济研究所整理</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59" w:line="222" w:lineRule="auto"/>
              <w:ind w:left="14"/>
              <w:outlineLvl w:val="2"/>
              <w:rPr>
                <w:sz w:val="18"/>
                <w:szCs w:val="18"/>
              </w:rPr>
            </w:pPr>
            <w:bookmarkStart w:id="25" w:name="bookmark24"/>
            <w:bookmarkEnd w:id="25"/>
            <w:r>
              <w:rPr>
                <w:spacing w:val="-1"/>
                <w:sz w:val="16"/>
                <w:szCs w:val="16"/>
              </w:rPr>
              <w:t>图9：</w:t>
            </w:r>
            <w:r>
              <w:rPr>
                <w:spacing w:val="-1"/>
                <w:sz w:val="18"/>
                <w:szCs w:val="18"/>
              </w:rPr>
              <w:t>国信宏观扩散指数周同比与滞后一周的十年期国债利率累</w:t>
            </w:r>
            <w:r>
              <w:rPr>
                <w:spacing w:val="-2"/>
                <w:sz w:val="18"/>
                <w:szCs w:val="18"/>
              </w:rPr>
              <w:t>计相关系数</w:t>
            </w:r>
          </w:p>
        </w:tc>
      </w:tr>
      <w:tr>
        <w:tblPrEx>
          <w:tblW w:w="7376" w:type="dxa"/>
          <w:tblInd w:w="2311" w:type="dxa"/>
          <w:tblLayout w:type="fixed"/>
        </w:tblPrEx>
        <w:trPr>
          <w:trHeight w:val="4538"/>
        </w:trPr>
        <w:tc>
          <w:tcPr>
            <w:tcW w:w="2155" w:type="dxa"/>
            <w:tcBorders>
              <w:top w:val="single" w:sz="2" w:space="0" w:color="000000"/>
              <w:bottom w:val="single" w:sz="2" w:space="0" w:color="000000"/>
            </w:tcBorders>
            <w:vAlign w:val="top"/>
          </w:tcPr>
          <w:p>
            <w:pPr>
              <w:spacing w:line="293" w:lineRule="auto"/>
              <w:rPr>
                <w:rFonts w:ascii="Arial"/>
                <w:sz w:val="21"/>
              </w:rPr>
            </w:pPr>
          </w:p>
          <w:p>
            <w:pPr>
              <w:spacing w:line="293" w:lineRule="auto"/>
              <w:rPr>
                <w:rFonts w:ascii="Arial"/>
                <w:sz w:val="21"/>
              </w:rPr>
            </w:pPr>
          </w:p>
          <w:p>
            <w:pPr>
              <w:pStyle w:val="TableText"/>
              <w:spacing w:before="42" w:line="253" w:lineRule="auto"/>
              <w:ind w:left="974" w:right="30"/>
              <w:jc w:val="both"/>
              <w:rPr>
                <w:sz w:val="13"/>
                <w:szCs w:val="13"/>
              </w:rPr>
            </w:pPr>
            <w:r>
              <w:drawing>
                <wp:anchor distT="0" distB="0" distL="0" distR="0" simplePos="0" relativeHeight="251673600" behindDoc="1" locked="0" layoutInCell="1" allowOverlap="1">
                  <wp:simplePos x="0" y="0"/>
                  <wp:positionH relativeFrom="column">
                    <wp:posOffset>54101</wp:posOffset>
                  </wp:positionH>
                  <wp:positionV relativeFrom="paragraph">
                    <wp:posOffset>-333658</wp:posOffset>
                  </wp:positionV>
                  <wp:extent cx="4572000" cy="274320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2"/>
                          <a:stretch>
                            <a:fillRect/>
                          </a:stretch>
                        </pic:blipFill>
                        <pic:spPr>
                          <a:xfrm>
                            <a:off x="0" y="0"/>
                            <a:ext cx="4572000" cy="2743200"/>
                          </a:xfrm>
                          <a:prstGeom prst="rect">
                            <a:avLst/>
                          </a:prstGeom>
                        </pic:spPr>
                      </pic:pic>
                    </a:graphicData>
                  </a:graphic>
                </wp:anchor>
              </w:drawing>
            </w:r>
            <w:r>
              <w:rPr>
                <w:spacing w:val="-1"/>
                <w:sz w:val="13"/>
                <w:szCs w:val="13"/>
              </w:rPr>
              <w:t>2018</w:t>
            </w:r>
            <w:r>
              <w:rPr>
                <w:spacing w:val="-22"/>
                <w:sz w:val="13"/>
                <w:szCs w:val="13"/>
              </w:rPr>
              <w:t xml:space="preserve"> </w:t>
            </w:r>
            <w:r>
              <w:rPr>
                <w:spacing w:val="-1"/>
                <w:sz w:val="13"/>
                <w:szCs w:val="13"/>
              </w:rPr>
              <w:t>年</w:t>
            </w:r>
            <w:r>
              <w:rPr>
                <w:spacing w:val="-16"/>
                <w:sz w:val="13"/>
                <w:szCs w:val="13"/>
              </w:rPr>
              <w:t xml:space="preserve"> </w:t>
            </w:r>
            <w:r>
              <w:rPr>
                <w:spacing w:val="-1"/>
                <w:sz w:val="13"/>
                <w:szCs w:val="13"/>
              </w:rPr>
              <w:t>10</w:t>
            </w:r>
            <w:r>
              <w:rPr>
                <w:spacing w:val="-20"/>
                <w:sz w:val="13"/>
                <w:szCs w:val="13"/>
              </w:rPr>
              <w:t xml:space="preserve"> </w:t>
            </w:r>
            <w:r>
              <w:rPr>
                <w:spacing w:val="-1"/>
                <w:sz w:val="13"/>
                <w:szCs w:val="13"/>
              </w:rPr>
              <w:t>月</w:t>
            </w:r>
            <w:r>
              <w:rPr>
                <w:spacing w:val="-17"/>
                <w:sz w:val="13"/>
                <w:szCs w:val="13"/>
              </w:rPr>
              <w:t xml:space="preserve"> </w:t>
            </w:r>
            <w:r>
              <w:rPr>
                <w:spacing w:val="-1"/>
                <w:sz w:val="13"/>
                <w:szCs w:val="13"/>
              </w:rPr>
              <w:t>19</w:t>
            </w:r>
            <w:r>
              <w:rPr>
                <w:spacing w:val="-1"/>
                <w:sz w:val="13"/>
                <w:szCs w:val="13"/>
              </w:rPr>
              <w:t xml:space="preserve"> </w:t>
            </w:r>
            <w:r>
              <w:rPr>
                <w:spacing w:val="-1"/>
                <w:sz w:val="13"/>
                <w:szCs w:val="13"/>
              </w:rPr>
              <w:t>日</w:t>
            </w:r>
            <w:r>
              <w:rPr>
                <w:sz w:val="13"/>
                <w:szCs w:val="13"/>
              </w:rPr>
              <w:t xml:space="preserve"> </w:t>
            </w:r>
            <w:r>
              <w:rPr>
                <w:spacing w:val="9"/>
                <w:sz w:val="13"/>
                <w:szCs w:val="13"/>
              </w:rPr>
              <w:t>起累计相关系数稳</w:t>
            </w:r>
            <w:r>
              <w:rPr>
                <w:spacing w:val="1"/>
                <w:sz w:val="13"/>
                <w:szCs w:val="13"/>
              </w:rPr>
              <w:t xml:space="preserve"> </w:t>
            </w:r>
            <w:r>
              <w:rPr>
                <w:spacing w:val="9"/>
                <w:sz w:val="13"/>
                <w:szCs w:val="13"/>
              </w:rPr>
              <w:t>定在较高水平，而</w:t>
            </w:r>
            <w:r>
              <w:rPr>
                <w:spacing w:val="1"/>
                <w:sz w:val="13"/>
                <w:szCs w:val="13"/>
              </w:rPr>
              <w:t xml:space="preserve"> </w:t>
            </w:r>
            <w:r>
              <w:rPr>
                <w:spacing w:val="9"/>
                <w:sz w:val="13"/>
                <w:szCs w:val="13"/>
              </w:rPr>
              <w:t>之前的相关系数波</w:t>
            </w:r>
            <w:r>
              <w:rPr>
                <w:spacing w:val="1"/>
                <w:sz w:val="13"/>
                <w:szCs w:val="13"/>
              </w:rPr>
              <w:t xml:space="preserve"> </w:t>
            </w:r>
            <w:r>
              <w:rPr>
                <w:spacing w:val="8"/>
                <w:sz w:val="13"/>
                <w:szCs w:val="13"/>
              </w:rPr>
              <w:t>动较大</w:t>
            </w:r>
          </w:p>
        </w:tc>
        <w:tc>
          <w:tcPr>
            <w:tcW w:w="5221" w:type="dxa"/>
            <w:gridSpan w:val="2"/>
            <w:tcBorders>
              <w:top w:val="single" w:sz="2" w:space="0" w:color="000000"/>
              <w:bottom w:val="single" w:sz="2" w:space="0" w:color="000000"/>
            </w:tcBorders>
            <w:vAlign w:val="top"/>
          </w:tcPr>
          <w:p>
            <w:pPr>
              <w:spacing w:line="353" w:lineRule="auto"/>
              <w:rPr>
                <w:rFonts w:ascii="Arial"/>
                <w:sz w:val="21"/>
              </w:rPr>
            </w:pPr>
          </w:p>
          <w:p>
            <w:pPr>
              <w:spacing w:line="353" w:lineRule="auto"/>
              <w:rPr>
                <w:rFonts w:ascii="Arial"/>
                <w:sz w:val="21"/>
              </w:rPr>
            </w:pPr>
          </w:p>
          <w:p>
            <w:pPr>
              <w:spacing w:line="2646" w:lineRule="exact"/>
              <w:ind w:firstLine="65"/>
            </w:pPr>
            <w:r>
              <w:rPr>
                <w:position w:val="-52"/>
              </w:rPr>
              <w:drawing>
                <wp:inline distT="0" distB="0" distL="0" distR="0">
                  <wp:extent cx="233044" cy="168021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3"/>
                          <a:stretch>
                            <a:fillRect/>
                          </a:stretch>
                        </pic:blipFill>
                        <pic:spPr>
                          <a:xfrm>
                            <a:off x="0" y="0"/>
                            <a:ext cx="233044" cy="1680210"/>
                          </a:xfrm>
                          <a:prstGeom prst="rect">
                            <a:avLst/>
                          </a:prstGeom>
                        </pic:spPr>
                      </pic:pic>
                    </a:graphicData>
                  </a:graphic>
                </wp:inline>
              </w:drawing>
            </w:r>
          </w:p>
        </w:tc>
      </w:tr>
    </w:tbl>
    <w:p>
      <w:pPr>
        <w:pStyle w:val="BodyText"/>
        <w:spacing w:before="85" w:line="214" w:lineRule="auto"/>
        <w:ind w:left="2321"/>
        <w:rPr>
          <w:sz w:val="16"/>
          <w:szCs w:val="16"/>
        </w:rPr>
      </w:pPr>
      <w:r>
        <w:rPr>
          <w:spacing w:val="-1"/>
          <w:sz w:val="16"/>
          <w:szCs w:val="16"/>
        </w:rPr>
        <w:t>资料来源：WIND，国信证券经济研究所整理</w:t>
      </w:r>
    </w:p>
    <w:p>
      <w:pPr>
        <w:spacing w:line="257" w:lineRule="auto"/>
        <w:rPr>
          <w:rFonts w:ascii="Arial"/>
          <w:sz w:val="21"/>
        </w:rPr>
      </w:pPr>
    </w:p>
    <w:p>
      <w:pPr>
        <w:spacing w:line="257" w:lineRule="auto"/>
        <w:rPr>
          <w:rFonts w:ascii="Arial"/>
          <w:sz w:val="21"/>
        </w:rPr>
      </w:pPr>
    </w:p>
    <w:p>
      <w:pPr>
        <w:pStyle w:val="BodyText"/>
        <w:spacing w:before="78" w:line="222" w:lineRule="auto"/>
        <w:ind w:left="2320"/>
        <w:outlineLvl w:val="1"/>
        <w:rPr>
          <w:sz w:val="24"/>
          <w:szCs w:val="24"/>
        </w:rPr>
      </w:pPr>
      <w:bookmarkStart w:id="26" w:name="bookmark11"/>
      <w:bookmarkEnd w:id="26"/>
      <w:r>
        <w:rPr>
          <w:spacing w:val="20"/>
          <w:sz w:val="24"/>
          <w:szCs w:val="24"/>
          <w14:textOutline w14:w="4358" w14:cap="sq">
            <w14:solidFill>
              <w14:srgbClr w14:val="000000"/>
            </w14:solidFill>
            <w14:prstDash w14:val="solid"/>
            <w14:bevel/>
          </w14:textOutline>
        </w:rPr>
        <w:t>周度高频指标与上证综指的相关性分析</w:t>
      </w: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4" w:history="1">
        <w:r>
          <w:rPr>
            <w:rFonts w:ascii="SimSun" w:eastAsia="SimSun" w:hAnsi="SimSun" w:cs="SimSun"/>
            <w:b/>
            <w:bCs/>
            <w:noProof w:val="0"/>
            <w:snapToGrid/>
            <w:color w:val="0000EE"/>
            <w:kern w:val="0"/>
            <w:sz w:val="30"/>
            <w:szCs w:val="30"/>
            <w:u w:val="single" w:color="0000EE"/>
          </w:rPr>
          <w:t>https://d.book118.com/406100121014010053</w:t>
        </w:r>
      </w:hyperlink>
    </w:p>
    <w:p>
      <w:pPr>
        <w:pStyle w:val="BodyText"/>
        <w:spacing w:before="78" w:line="222" w:lineRule="auto"/>
        <w:ind w:left="2320"/>
        <w:outlineLvl w:val="1"/>
        <w:rPr>
          <w:sz w:val="24"/>
          <w:szCs w:val="24"/>
        </w:rPr>
      </w:pPr>
    </w:p>
    <w:sectPr>
      <w:footerReference w:type="default" r:id="rId35"/>
      <w:pgSz w:w="11906" w:h="16839"/>
      <w:pgMar w:top="875" w:right="1127" w:bottom="1250" w:left="1090" w:header="0" w:footer="979"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52" w:line="210" w:lineRule="auto"/>
      <w:ind w:left="678"/>
      <w:rPr>
        <w:sz w:val="16"/>
        <w:szCs w:val="16"/>
      </w:rPr>
    </w:pPr>
    <w:r>
      <w:pict>
        <v:shape id="_x0000_s2049" style="width:527.3pt;height:0.5pt;margin-top:786.5pt;margin-left:34pt;mso-position-horizontal-relative:page;mso-position-vertical-relative:page;position:absolute;z-index:251658240" coordorigin="0,0" coordsize="10545,10" o:allowincell="f" path="m,l10545,l10545,9l,9l,xe" filled="t" fillcolor="#047" stroked="f"/>
      </w:pict>
    </w:r>
    <w:r>
      <w:rPr>
        <w:i/>
        <w:iCs/>
        <w:color w:val="004477"/>
        <w:spacing w:val="2"/>
        <w:sz w:val="16"/>
        <w:szCs w:val="16"/>
      </w:rPr>
      <w:t>请务必阅读正文之后的免责声明及其项下所有内容</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52" w:line="210" w:lineRule="auto"/>
      <w:ind w:left="678"/>
      <w:rPr>
        <w:sz w:val="16"/>
        <w:szCs w:val="16"/>
      </w:rPr>
    </w:pPr>
    <w:r>
      <w:pict>
        <v:shape id="_x0000_s2050" style="width:527.3pt;height:0.5pt;margin-top:786.5pt;margin-left:34pt;mso-position-horizontal-relative:page;mso-position-vertical-relative:page;position:absolute;z-index:251659264" coordorigin="0,0" coordsize="10545,10" o:allowincell="f" path="m,l10545,l10545,9l,9l,xe" filled="t" fillcolor="#047" stroked="f"/>
      </w:pict>
    </w:r>
    <w:r>
      <w:rPr>
        <w:i/>
        <w:iCs/>
        <w:color w:val="004477"/>
        <w:spacing w:val="2"/>
        <w:sz w:val="16"/>
        <w:szCs w:val="16"/>
      </w:rPr>
      <w:t>请务必阅读正文之后的免责声明及其项下所有内容</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143173902"/>
      <w:docPartObj>
        <w:docPartGallery w:val="Table of Contents"/>
        <w:docPartUnique/>
      </w:docPartObj>
    </w:sdtPr>
    <w:sdtEndPr>
      <w:rPr>
        <w:rFonts w:ascii="SimHei" w:eastAsia="SimHei" w:hAnsi="SimHei" w:cs="SimHei"/>
        <w:sz w:val="18"/>
        <w:szCs w:val="18"/>
      </w:rPr>
    </w:sdtEndPr>
    <w:sdtContent>
      <w:p>
        <w:pPr>
          <w:pStyle w:val="BodyText"/>
          <w:spacing w:before="51" w:line="214" w:lineRule="auto"/>
          <w:rPr>
            <w:sz w:val="18"/>
            <w:szCs w:val="18"/>
          </w:rPr>
        </w:pPr>
        <w:r>
          <w:pict>
            <v:shape id="_x0000_s2051" style="width:484pt;height:0.5pt;margin-top:779.4pt;margin-left:54.6pt;mso-position-horizontal-relative:page;mso-position-vertical-relative:page;position:absolute;z-index:251660288"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 w:history="1">
          <w:r>
            <w:rPr>
              <w:spacing w:val="1"/>
              <w:position w:val="-2"/>
              <w:sz w:val="18"/>
              <w:szCs w:val="18"/>
            </w:rPr>
            <w:t>2</w:t>
          </w:r>
        </w:hyperlink>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619909349"/>
      <w:docPartObj>
        <w:docPartGallery w:val="Table of Contents"/>
        <w:docPartUnique/>
      </w:docPartObj>
    </w:sdtPr>
    <w:sdtEndPr>
      <w:rPr>
        <w:rFonts w:ascii="SimHei" w:eastAsia="SimHei" w:hAnsi="SimHei" w:cs="SimHei"/>
        <w:sz w:val="18"/>
        <w:szCs w:val="18"/>
      </w:rPr>
    </w:sdtEndPr>
    <w:sdtContent>
      <w:p>
        <w:pPr>
          <w:pStyle w:val="BodyText"/>
          <w:spacing w:before="52" w:line="213" w:lineRule="auto"/>
          <w:rPr>
            <w:sz w:val="18"/>
            <w:szCs w:val="18"/>
          </w:rPr>
        </w:pPr>
        <w:r>
          <w:pict>
            <v:shape id="_x0000_s2052" style="width:484pt;height:0.5pt;margin-top:779.4pt;margin-left:54.6pt;mso-position-horizontal-relative:page;mso-position-vertical-relative:page;position:absolute;z-index:251661312"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15" w:history="1">
          <w:r>
            <w:rPr>
              <w:spacing w:val="1"/>
              <w:position w:val="-2"/>
              <w:sz w:val="18"/>
              <w:szCs w:val="18"/>
            </w:rPr>
            <w:t>3</w:t>
          </w:r>
        </w:hyperlink>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297635438"/>
      <w:docPartObj>
        <w:docPartGallery w:val="Table of Contents"/>
        <w:docPartUnique/>
      </w:docPartObj>
    </w:sdtPr>
    <w:sdtEndPr>
      <w:rPr>
        <w:rFonts w:ascii="SimHei" w:eastAsia="SimHei" w:hAnsi="SimHei" w:cs="SimHei"/>
        <w:sz w:val="18"/>
        <w:szCs w:val="18"/>
      </w:rPr>
    </w:sdtEndPr>
    <w:sdtContent>
      <w:p>
        <w:pPr>
          <w:pStyle w:val="BodyText"/>
          <w:spacing w:before="51" w:line="214" w:lineRule="auto"/>
          <w:rPr>
            <w:sz w:val="18"/>
            <w:szCs w:val="18"/>
          </w:rPr>
        </w:pPr>
        <w:r>
          <w:pict>
            <v:shape id="_x0000_s2053" style="width:484pt;height:0.5pt;margin-top:779.4pt;margin-left:54.6pt;mso-position-horizontal-relative:page;mso-position-vertical-relative:page;position:absolute;z-index:251662336"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2" w:history="1">
          <w:r>
            <w:rPr>
              <w:spacing w:val="1"/>
              <w:position w:val="-2"/>
              <w:sz w:val="18"/>
              <w:szCs w:val="18"/>
            </w:rPr>
            <w:t>4</w:t>
          </w:r>
        </w:hyperlink>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106828489"/>
      <w:docPartObj>
        <w:docPartGallery w:val="Table of Contents"/>
        <w:docPartUnique/>
      </w:docPartObj>
    </w:sdtPr>
    <w:sdtEndPr>
      <w:rPr>
        <w:rFonts w:ascii="SimHei" w:eastAsia="SimHei" w:hAnsi="SimHei" w:cs="SimHei"/>
        <w:sz w:val="18"/>
        <w:szCs w:val="18"/>
      </w:rPr>
    </w:sdtEndPr>
    <w:sdtContent>
      <w:p>
        <w:pPr>
          <w:pStyle w:val="BodyText"/>
          <w:spacing w:before="52" w:line="212" w:lineRule="auto"/>
          <w:rPr>
            <w:sz w:val="18"/>
            <w:szCs w:val="18"/>
          </w:rPr>
        </w:pPr>
        <w:r>
          <w:pict>
            <v:shape id="_x0000_s2054" style="width:484pt;height:0.5pt;margin-top:779.4pt;margin-left:54.6pt;mso-position-horizontal-relative:page;mso-position-vertical-relative:page;position:absolute;z-index:251663360"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3" w:history="1">
          <w:r>
            <w:rPr>
              <w:spacing w:val="1"/>
              <w:position w:val="-2"/>
              <w:sz w:val="18"/>
              <w:szCs w:val="18"/>
            </w:rPr>
            <w:t>5</w:t>
          </w:r>
        </w:hyperlink>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497586208"/>
      <w:docPartObj>
        <w:docPartGallery w:val="Table of Contents"/>
        <w:docPartUnique/>
      </w:docPartObj>
    </w:sdtPr>
    <w:sdtEndPr>
      <w:rPr>
        <w:rFonts w:ascii="SimHei" w:eastAsia="SimHei" w:hAnsi="SimHei" w:cs="SimHei"/>
        <w:sz w:val="18"/>
        <w:szCs w:val="18"/>
      </w:rPr>
    </w:sdtEndPr>
    <w:sdtContent>
      <w:p>
        <w:pPr>
          <w:pStyle w:val="BodyText"/>
          <w:spacing w:before="52" w:line="212" w:lineRule="auto"/>
          <w:rPr>
            <w:sz w:val="18"/>
            <w:szCs w:val="18"/>
          </w:rPr>
        </w:pPr>
        <w:r>
          <w:pict>
            <v:shape id="_x0000_s2055" style="width:484pt;height:0.5pt;margin-top:779.4pt;margin-left:54.6pt;mso-position-horizontal-relative:page;mso-position-vertical-relative:page;position:absolute;z-index:251664384"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3" w:history="1">
          <w:r>
            <w:rPr>
              <w:spacing w:val="1"/>
              <w:position w:val="-2"/>
              <w:sz w:val="18"/>
              <w:szCs w:val="18"/>
            </w:rPr>
            <w:t>5</w:t>
          </w:r>
        </w:hyperlink>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016429424"/>
      <w:docPartObj>
        <w:docPartGallery w:val="Table of Contents"/>
        <w:docPartUnique/>
      </w:docPartObj>
    </w:sdtPr>
    <w:sdtEndPr>
      <w:rPr>
        <w:rFonts w:ascii="SimHei" w:eastAsia="SimHei" w:hAnsi="SimHei" w:cs="SimHei"/>
        <w:sz w:val="18"/>
        <w:szCs w:val="18"/>
      </w:rPr>
    </w:sdtEndPr>
    <w:sdtContent>
      <w:p>
        <w:pPr>
          <w:pStyle w:val="BodyText"/>
          <w:spacing w:before="52" w:line="212" w:lineRule="auto"/>
          <w:rPr>
            <w:sz w:val="18"/>
            <w:szCs w:val="18"/>
          </w:rPr>
        </w:pPr>
        <w:r>
          <w:pict>
            <v:shape id="_x0000_s2056" style="width:484pt;height:0.5pt;margin-top:779.4pt;margin-left:54.6pt;mso-position-horizontal-relative:page;mso-position-vertical-relative:page;position:absolute;z-index:251665408"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4" w:history="1">
          <w:r>
            <w:rPr>
              <w:spacing w:val="1"/>
              <w:position w:val="-2"/>
              <w:sz w:val="18"/>
              <w:szCs w:val="18"/>
            </w:rPr>
            <w:t>6</w:t>
          </w:r>
        </w:hyperlink>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669498292"/>
      <w:docPartObj>
        <w:docPartGallery w:val="Table of Contents"/>
        <w:docPartUnique/>
      </w:docPartObj>
    </w:sdtPr>
    <w:sdtEndPr>
      <w:rPr>
        <w:rFonts w:ascii="SimHei" w:eastAsia="SimHei" w:hAnsi="SimHei" w:cs="SimHei"/>
        <w:sz w:val="18"/>
        <w:szCs w:val="18"/>
      </w:rPr>
    </w:sdtEndPr>
    <w:sdtContent>
      <w:p>
        <w:pPr>
          <w:pStyle w:val="BodyText"/>
          <w:spacing w:before="52" w:line="212" w:lineRule="auto"/>
          <w:rPr>
            <w:sz w:val="18"/>
            <w:szCs w:val="18"/>
          </w:rPr>
        </w:pPr>
        <w:r>
          <w:pict>
            <v:shape id="_x0000_s2057" style="width:484pt;height:0.5pt;margin-top:779.4pt;margin-left:54.6pt;mso-position-horizontal-relative:page;mso-position-vertical-relative:page;position:absolute;z-index:251666432"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4" w:history="1">
          <w:r>
            <w:rPr>
              <w:spacing w:val="1"/>
              <w:position w:val="-2"/>
              <w:sz w:val="18"/>
              <w:szCs w:val="18"/>
            </w:rPr>
            <w:t>6</w:t>
          </w:r>
        </w:hyperlink>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891087347"/>
      <w:docPartObj>
        <w:docPartGallery w:val="Table of Contents"/>
        <w:docPartUnique/>
      </w:docPartObj>
    </w:sdtPr>
    <w:sdtEndPr>
      <w:rPr>
        <w:rFonts w:ascii="SimHei" w:eastAsia="SimHei" w:hAnsi="SimHei" w:cs="SimHei"/>
        <w:sz w:val="18"/>
        <w:szCs w:val="18"/>
      </w:rPr>
    </w:sdtEndPr>
    <w:sdtContent>
      <w:p>
        <w:pPr>
          <w:pStyle w:val="BodyText"/>
          <w:spacing w:before="52" w:line="212" w:lineRule="auto"/>
          <w:rPr>
            <w:sz w:val="18"/>
            <w:szCs w:val="18"/>
          </w:rPr>
        </w:pPr>
        <w:r>
          <w:pict>
            <v:shape id="_x0000_s2058" style="width:484pt;height:0.5pt;margin-top:779.4pt;margin-left:54.6pt;mso-position-horizontal-relative:page;mso-position-vertical-relative:page;position:absolute;z-index:251667456"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4" w:history="1">
          <w:r>
            <w:rPr>
              <w:spacing w:val="1"/>
              <w:position w:val="-2"/>
              <w:sz w:val="18"/>
              <w:szCs w:val="18"/>
            </w:rPr>
            <w:t>6</w:t>
          </w:r>
        </w:hyperlink>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970356487"/>
      <w:docPartObj>
        <w:docPartGallery w:val="Table of Contents"/>
        <w:docPartUnique/>
      </w:docPartObj>
    </w:sdtPr>
    <w:sdtEndPr>
      <w:rPr>
        <w:rFonts w:ascii="SimHei" w:eastAsia="SimHei" w:hAnsi="SimHei" w:cs="SimHei"/>
        <w:sz w:val="18"/>
        <w:szCs w:val="18"/>
      </w:rPr>
    </w:sdtEndPr>
    <w:sdtContent>
      <w:p>
        <w:pPr>
          <w:pStyle w:val="BodyText"/>
          <w:spacing w:before="52" w:line="212" w:lineRule="auto"/>
          <w:rPr>
            <w:sz w:val="18"/>
            <w:szCs w:val="18"/>
          </w:rPr>
        </w:pPr>
        <w:r>
          <w:pict>
            <v:shape id="_x0000_s2059" style="width:484pt;height:0.5pt;margin-top:779.4pt;margin-left:54.6pt;mso-position-horizontal-relative:page;mso-position-vertical-relative:page;position:absolute;z-index:251668480"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4" w:history="1">
          <w:r>
            <w:rPr>
              <w:spacing w:val="1"/>
              <w:position w:val="-2"/>
              <w:sz w:val="18"/>
              <w:szCs w:val="18"/>
            </w:rPr>
            <w:t>6</w:t>
          </w:r>
        </w:hyperlink>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972935516"/>
      <w:docPartObj>
        <w:docPartGallery w:val="Table of Contents"/>
        <w:docPartUnique/>
      </w:docPartObj>
    </w:sdtPr>
    <w:sdtEndPr>
      <w:rPr>
        <w:rFonts w:ascii="SimHei" w:eastAsia="SimHei" w:hAnsi="SimHei" w:cs="SimHei"/>
        <w:sz w:val="18"/>
        <w:szCs w:val="18"/>
      </w:rPr>
    </w:sdtEndPr>
    <w:sdtContent>
      <w:p>
        <w:pPr>
          <w:pStyle w:val="BodyText"/>
          <w:spacing w:before="51" w:line="214" w:lineRule="auto"/>
          <w:rPr>
            <w:sz w:val="18"/>
            <w:szCs w:val="18"/>
          </w:rPr>
        </w:pPr>
        <w:r>
          <w:pict>
            <v:shape id="_x0000_s2060" style="width:484pt;height:0.5pt;margin-top:779.4pt;margin-left:54.6pt;mso-position-horizontal-relative:page;mso-position-vertical-relative:page;position:absolute;z-index:251669504"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5" w:history="1">
          <w:r>
            <w:rPr>
              <w:spacing w:val="1"/>
              <w:position w:val="-2"/>
              <w:sz w:val="18"/>
              <w:szCs w:val="18"/>
            </w:rPr>
            <w:t>7</w:t>
          </w:r>
        </w:hyperlink>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2103363356"/>
      <w:docPartObj>
        <w:docPartGallery w:val="Table of Contents"/>
        <w:docPartUnique/>
      </w:docPartObj>
    </w:sdtPr>
    <w:sdtEndPr>
      <w:rPr>
        <w:rFonts w:ascii="SimHei" w:eastAsia="SimHei" w:hAnsi="SimHei" w:cs="SimHei"/>
        <w:sz w:val="18"/>
        <w:szCs w:val="18"/>
      </w:rPr>
    </w:sdtEndPr>
    <w:sdtContent>
      <w:p>
        <w:pPr>
          <w:pStyle w:val="BodyText"/>
          <w:spacing w:before="52" w:line="213" w:lineRule="auto"/>
          <w:rPr>
            <w:sz w:val="18"/>
            <w:szCs w:val="18"/>
          </w:rPr>
        </w:pPr>
        <w:r>
          <w:pict>
            <v:shape id="_x0000_s2061" style="width:484pt;height:0.5pt;margin-top:779.4pt;margin-left:54.6pt;mso-position-horizontal-relative:page;mso-position-vertical-relative:page;position:absolute;z-index:251670528" coordorigin="0,0" coordsize="9680,10" o:allowincell="f" path="m,l9679,l9679,9l,9l,xe" filled="t" fillcolor="#044477" stroked="f"/>
          </w:pict>
        </w:r>
        <w:r>
          <w:rPr>
            <w:i/>
            <w:iCs/>
            <w:color w:val="044477"/>
            <w:spacing w:val="2"/>
            <w:sz w:val="16"/>
            <w:szCs w:val="16"/>
          </w:rPr>
          <w:t>请务必阅读正文之后的免责声明及其项下所有内容</w:t>
        </w:r>
        <w:r>
          <w:rPr>
            <w:color w:val="044477"/>
            <w:spacing w:val="2"/>
            <w:sz w:val="16"/>
            <w:szCs w:val="16"/>
          </w:rPr>
          <w:t xml:space="preserve">                               </w:t>
        </w:r>
        <w:r>
          <w:rPr>
            <w:color w:val="044477"/>
            <w:spacing w:val="1"/>
            <w:sz w:val="16"/>
            <w:szCs w:val="16"/>
          </w:rPr>
          <w:t xml:space="preserve">                                           </w:t>
        </w:r>
        <w:hyperlink w:anchor="bookmark36" w:history="1">
          <w:r>
            <w:rPr>
              <w:spacing w:val="1"/>
              <w:position w:val="-2"/>
              <w:sz w:val="18"/>
              <w:szCs w:val="18"/>
            </w:rPr>
            <w:t>8</w:t>
          </w:r>
        </w:hyperlink>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0"/>
      <w:szCs w:val="20"/>
      <w:lang w:val="en-US" w:eastAsia="en-US" w:bidi="ar-SA"/>
    </w:rPr>
  </w:style>
  <w:style w:type="paragraph" w:customStyle="1" w:styleId="TableText">
    <w:name w:val="Table Text"/>
    <w:basedOn w:val="Normal"/>
    <w:semiHidden/>
    <w:qFormat/>
    <w:rPr>
      <w:rFonts w:ascii="SimHei" w:eastAsia="SimHei" w:hAnsi="SimHei" w:cs="SimHei"/>
      <w:sz w:val="14"/>
      <w:szCs w:val="1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5.jpeg" /><Relationship Id="rId13" Type="http://schemas.openxmlformats.org/officeDocument/2006/relationships/footer" Target="footer5.xml"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jpeg"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jpeg" /><Relationship Id="rId22" Type="http://schemas.openxmlformats.org/officeDocument/2006/relationships/footer" Target="footer8.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jpeg" /><Relationship Id="rId31" Type="http://schemas.openxmlformats.org/officeDocument/2006/relationships/image" Target="media/image16.png" /><Relationship Id="rId32" Type="http://schemas.openxmlformats.org/officeDocument/2006/relationships/image" Target="media/image17.jpeg" /><Relationship Id="rId33" Type="http://schemas.openxmlformats.org/officeDocument/2006/relationships/image" Target="media/image18.png" /><Relationship Id="rId34" Type="http://schemas.openxmlformats.org/officeDocument/2006/relationships/hyperlink" Target="https://d.book118.com/406100121014010053" TargetMode="External" /><Relationship Id="rId35" Type="http://schemas.openxmlformats.org/officeDocument/2006/relationships/footer" Target="footer13.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image" Target="media/image3.jpeg" /><Relationship Id="rId8" Type="http://schemas.openxmlformats.org/officeDocument/2006/relationships/footer" Target="footer2.xml"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国信证券-宏观经济专题研究：国信宏观扩散指数对于短频股债交易的指引-240227.pdf</dc:title>
  <cp:revision>0</cp:revision>
  <dcterms:created xsi:type="dcterms:W3CDTF">2024-02-28T21:38:49Z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2024-02-28T22:07:07Z</vt:filetime>
  </property>
  <property fmtid="{D5CDD505-2E9C-101B-9397-08002B2CF9AE}" pid="3" name="CRO">
    <vt:lpwstr>wqlLaW5nc29mdCBQREYgdG8gV1BTIDkw</vt:lpwstr>
  </property>
</Properties>
</file>