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1" w:lineRule="auto"/>
      </w:pPr>
    </w:p>
    <w:p>
      <w:pPr>
        <w:spacing w:before="144" w:line="189" w:lineRule="auto"/>
        <w:ind w:left="2024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天津市工程建设标准</w:t>
      </w:r>
      <w:r>
        <w:rPr>
          <w:rFonts w:ascii="SimHei" w:eastAsia="SimHei" w:hAnsi="SimHei" w:cs="SimHei"/>
          <w:spacing w:val="14"/>
          <w:sz w:val="32"/>
          <w:szCs w:val="32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4"/>
          <w:position w:val="-3"/>
          <w:sz w:val="50"/>
          <w:szCs w:val="50"/>
        </w:rPr>
        <w:t>DB</w:t>
      </w:r>
    </w:p>
    <w:p>
      <w:pPr>
        <w:pStyle w:val="BodyText"/>
        <w:spacing w:line="401" w:lineRule="auto"/>
      </w:pPr>
    </w:p>
    <w:p>
      <w:pPr>
        <w:spacing w:before="100" w:line="206" w:lineRule="auto"/>
        <w:ind w:left="4300" w:right="56" w:firstLine="640"/>
        <w:rPr>
          <w:rFonts w:ascii="SimHei" w:eastAsia="SimHei" w:hAnsi="SimHei" w:cs="SimHei"/>
          <w:sz w:val="27"/>
          <w:szCs w:val="27"/>
        </w:rPr>
      </w:pPr>
      <w:r>
        <w:rPr>
          <w:rFonts w:ascii="SimSun" w:eastAsia="SimSun" w:hAnsi="SimSun" w:cs="SimSun"/>
          <w:spacing w:val="-1"/>
          <w:sz w:val="31"/>
          <w:szCs w:val="31"/>
        </w:rPr>
        <w:t>DB29-65-2011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27"/>
          <w:szCs w:val="27"/>
        </w:rPr>
        <w:t>备案号</w:t>
      </w:r>
      <w:r>
        <w:rPr>
          <w:rFonts w:ascii="SimHei" w:eastAsia="SimHei" w:hAnsi="SimHei" w:cs="SimHei"/>
          <w:spacing w:val="-5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2"/>
          <w:sz w:val="27"/>
          <w:szCs w:val="27"/>
        </w:rPr>
        <w:t>J10360-2011</w:t>
      </w:r>
    </w:p>
    <w:p>
      <w:pPr>
        <w:spacing w:before="31" w:line="30" w:lineRule="exact"/>
      </w:pPr>
      <w:r>
        <w:drawing>
          <wp:inline distT="0" distB="0" distL="0" distR="0">
            <wp:extent cx="4343383" cy="1904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383" cy="1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3" w:lineRule="auto"/>
      </w:pPr>
    </w:p>
    <w:p>
      <w:pPr>
        <w:pStyle w:val="BodyText"/>
        <w:spacing w:line="344" w:lineRule="auto"/>
      </w:pPr>
    </w:p>
    <w:p>
      <w:pPr>
        <w:spacing w:before="137" w:line="222" w:lineRule="auto"/>
        <w:ind w:left="1565"/>
        <w:outlineLvl w:val="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3"/>
          <w:sz w:val="42"/>
          <w:szCs w:val="42"/>
        </w:rPr>
        <w:t>挤扩灌注桩技术规程</w:t>
      </w:r>
    </w:p>
    <w:p>
      <w:pPr>
        <w:pStyle w:val="BodyText"/>
        <w:spacing w:before="318" w:line="387" w:lineRule="exact"/>
        <w:ind w:left="1849"/>
        <w:rPr>
          <w:sz w:val="27"/>
          <w:szCs w:val="27"/>
        </w:rPr>
      </w:pPr>
      <w:r>
        <w:rPr>
          <w:b/>
          <w:bCs/>
          <w:spacing w:val="-9"/>
          <w:position w:val="4"/>
          <w:sz w:val="27"/>
          <w:szCs w:val="27"/>
        </w:rPr>
        <w:t>Technical specificat</w:t>
      </w:r>
      <w:r>
        <w:rPr>
          <w:b/>
          <w:bCs/>
          <w:spacing w:val="-10"/>
          <w:position w:val="4"/>
          <w:sz w:val="27"/>
          <w:szCs w:val="27"/>
        </w:rPr>
        <w:t>ion for</w:t>
      </w:r>
    </w:p>
    <w:p>
      <w:pPr>
        <w:pStyle w:val="BodyText"/>
        <w:spacing w:before="92" w:line="196" w:lineRule="auto"/>
        <w:ind w:left="199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cast-in-situ</w:t>
      </w:r>
      <w:r>
        <w:rPr>
          <w:b/>
          <w:bCs/>
          <w:spacing w:val="14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piles with expan</w:t>
      </w:r>
      <w:r>
        <w:rPr>
          <w:b/>
          <w:bCs/>
          <w:spacing w:val="-7"/>
          <w:sz w:val="27"/>
          <w:szCs w:val="27"/>
        </w:rPr>
        <w:t>ded branches and plates</w:t>
      </w:r>
    </w:p>
    <w:p>
      <w:pPr>
        <w:pStyle w:val="BodyText"/>
        <w:spacing w:line="342" w:lineRule="auto"/>
      </w:pPr>
    </w:p>
    <w:p>
      <w:pPr>
        <w:pStyle w:val="BodyText"/>
        <w:spacing w:line="342" w:lineRule="auto"/>
      </w:pPr>
    </w:p>
    <w:p>
      <w:pPr>
        <w:spacing w:before="114" w:line="221" w:lineRule="auto"/>
        <w:ind w:left="158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28"/>
          <w:sz w:val="35"/>
          <w:szCs w:val="35"/>
        </w:rPr>
        <w:t>2018年11月确认继续有效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pgSz w:w="7830" w:h="11490"/>
          <w:pgMar w:top="976" w:right="449" w:bottom="0" w:left="530" w:header="0" w:footer="0" w:gutter="0"/>
          <w:cols w:space="708"/>
        </w:sectPr>
      </w:pPr>
    </w:p>
    <w:p>
      <w:pPr>
        <w:spacing w:before="88" w:line="227" w:lineRule="auto"/>
        <w:ind w:left="24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7"/>
          <w:sz w:val="27"/>
          <w:szCs w:val="27"/>
        </w:rPr>
        <w:t>2011-02-17发布</w:t>
      </w:r>
      <w:r>
        <w:rPr>
          <w:rFonts w:ascii="SimHei" w:eastAsia="SimHei" w:hAnsi="SimHei" w:cs="SimHei"/>
          <w:spacing w:val="8"/>
          <w:sz w:val="27"/>
          <w:szCs w:val="27"/>
        </w:rPr>
        <w:t xml:space="preserve">              </w:t>
      </w:r>
      <w:r>
        <w:rPr>
          <w:rFonts w:ascii="SimHei" w:eastAsia="SimHei" w:hAnsi="SimHei" w:cs="SimHei"/>
          <w:b/>
          <w:bCs/>
          <w:spacing w:val="7"/>
          <w:position w:val="1"/>
          <w:sz w:val="27"/>
          <w:szCs w:val="27"/>
        </w:rPr>
        <w:t>2011-05-01</w:t>
      </w:r>
      <w:r>
        <w:rPr>
          <w:rFonts w:ascii="SimHei" w:eastAsia="SimHei" w:hAnsi="SimHei" w:cs="SimHei"/>
          <w:spacing w:val="7"/>
          <w:position w:val="1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7"/>
          <w:position w:val="1"/>
          <w:sz w:val="27"/>
          <w:szCs w:val="27"/>
        </w:rPr>
        <w:t>实施</w:t>
      </w:r>
    </w:p>
    <w:p>
      <w:pPr>
        <w:spacing w:before="162" w:line="30" w:lineRule="exact"/>
        <w:ind w:firstLine="10"/>
      </w:pPr>
      <w:r>
        <w:drawing>
          <wp:inline distT="0" distB="0" distL="0" distR="0">
            <wp:extent cx="4343383" cy="1904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3383" cy="1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102" w:line="221" w:lineRule="auto"/>
        <w:ind w:left="93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"/>
          <w:sz w:val="31"/>
          <w:szCs w:val="31"/>
        </w:rPr>
        <w:t>天津市城乡建设和交通委员会</w:t>
      </w:r>
      <w:r>
        <w:rPr>
          <w:rFonts w:ascii="SimHei" w:eastAsia="SimHei" w:hAnsi="SimHei" w:cs="SimHei"/>
          <w:spacing w:val="-1"/>
          <w:sz w:val="31"/>
          <w:szCs w:val="3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1"/>
          <w:szCs w:val="31"/>
        </w:rPr>
        <w:t>发布</w:t>
      </w:r>
    </w:p>
    <w:p>
      <w:pPr>
        <w:spacing w:line="221" w:lineRule="auto"/>
        <w:rPr>
          <w:rFonts w:ascii="SimHei" w:eastAsia="SimHei" w:hAnsi="SimHei" w:cs="SimHei"/>
          <w:sz w:val="31"/>
          <w:szCs w:val="31"/>
        </w:rPr>
        <w:sectPr>
          <w:type w:val="nextPage"/>
          <w:pgSz w:w="7830" w:h="11490"/>
          <w:pgMar w:top="976" w:right="449" w:bottom="0" w:left="53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spacing w:before="104" w:line="222" w:lineRule="auto"/>
        <w:ind w:left="126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6"/>
          <w:sz w:val="32"/>
          <w:szCs w:val="32"/>
        </w:rPr>
        <w:t>天津市工程建设标准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04" w:line="219" w:lineRule="auto"/>
        <w:ind w:left="104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31"/>
          <w:sz w:val="32"/>
          <w:szCs w:val="32"/>
        </w:rPr>
        <w:t>挤扩灌注桩技术规程</w:t>
      </w:r>
    </w:p>
    <w:p>
      <w:pPr>
        <w:pStyle w:val="BodyText"/>
        <w:spacing w:before="274" w:line="272" w:lineRule="exact"/>
        <w:ind w:left="1455"/>
        <w:rPr>
          <w:sz w:val="20"/>
          <w:szCs w:val="20"/>
        </w:rPr>
      </w:pPr>
      <w:r>
        <w:rPr>
          <w:spacing w:val="-1"/>
          <w:position w:val="3"/>
          <w:sz w:val="20"/>
          <w:szCs w:val="20"/>
        </w:rPr>
        <w:t>Technical</w:t>
      </w:r>
      <w:r>
        <w:rPr>
          <w:spacing w:val="55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specification</w:t>
      </w:r>
      <w:r>
        <w:rPr>
          <w:spacing w:val="37"/>
          <w:w w:val="101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for</w:t>
      </w:r>
    </w:p>
    <w:p>
      <w:pPr>
        <w:pStyle w:val="BodyText"/>
        <w:spacing w:before="37" w:line="272" w:lineRule="exact"/>
        <w:ind w:left="244"/>
        <w:rPr>
          <w:sz w:val="20"/>
          <w:szCs w:val="20"/>
        </w:rPr>
      </w:pPr>
      <w:r>
        <w:rPr>
          <w:spacing w:val="-1"/>
          <w:position w:val="3"/>
          <w:sz w:val="20"/>
          <w:szCs w:val="20"/>
        </w:rPr>
        <w:t>cast-in-situ</w:t>
      </w:r>
      <w:r>
        <w:rPr>
          <w:spacing w:val="47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piles</w:t>
      </w:r>
      <w:r>
        <w:rPr>
          <w:spacing w:val="34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with</w:t>
      </w:r>
      <w:r>
        <w:rPr>
          <w:spacing w:val="41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expanded</w:t>
      </w:r>
      <w:r>
        <w:rPr>
          <w:spacing w:val="46"/>
          <w:w w:val="101"/>
          <w:position w:val="3"/>
          <w:sz w:val="20"/>
          <w:szCs w:val="20"/>
        </w:rPr>
        <w:t xml:space="preserve"> </w:t>
      </w:r>
      <w:r>
        <w:rPr>
          <w:spacing w:val="-2"/>
          <w:position w:val="3"/>
          <w:sz w:val="20"/>
          <w:szCs w:val="20"/>
        </w:rPr>
        <w:t>branches</w:t>
      </w:r>
      <w:r>
        <w:rPr>
          <w:spacing w:val="41"/>
          <w:position w:val="3"/>
          <w:sz w:val="20"/>
          <w:szCs w:val="20"/>
        </w:rPr>
        <w:t xml:space="preserve"> </w:t>
      </w:r>
      <w:r>
        <w:rPr>
          <w:spacing w:val="-2"/>
          <w:position w:val="3"/>
          <w:sz w:val="20"/>
          <w:szCs w:val="20"/>
        </w:rPr>
        <w:t>and</w:t>
      </w:r>
      <w:r>
        <w:rPr>
          <w:spacing w:val="46"/>
          <w:w w:val="101"/>
          <w:position w:val="3"/>
          <w:sz w:val="20"/>
          <w:szCs w:val="20"/>
        </w:rPr>
        <w:t xml:space="preserve"> </w:t>
      </w:r>
      <w:r>
        <w:rPr>
          <w:spacing w:val="-2"/>
          <w:position w:val="3"/>
          <w:sz w:val="20"/>
          <w:szCs w:val="20"/>
        </w:rPr>
        <w:t>plates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65" w:line="184" w:lineRule="auto"/>
        <w:ind w:left="185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DB29-65-2011</w:t>
      </w:r>
    </w:p>
    <w:p>
      <w:pPr>
        <w:spacing w:before="79" w:line="184" w:lineRule="auto"/>
        <w:ind w:left="198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J10360  -2011</w:t>
      </w:r>
    </w:p>
    <w:p>
      <w:pPr>
        <w:spacing w:before="169" w:line="221" w:lineRule="auto"/>
        <w:ind w:left="79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2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0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16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8</w:t>
      </w:r>
      <w:r>
        <w:rPr>
          <w:rFonts w:ascii="SimHei" w:eastAsia="SimHei" w:hAnsi="SimHei" w:cs="SimHei"/>
          <w:spacing w:val="-2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年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66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月确认继续有效</w:t>
      </w:r>
    </w:p>
    <w:p>
      <w:pPr>
        <w:spacing w:before="190" w:line="219" w:lineRule="auto"/>
        <w:ind w:left="79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主编单位：天津市勘察院</w:t>
      </w:r>
    </w:p>
    <w:p>
      <w:pPr>
        <w:spacing w:before="71" w:line="219" w:lineRule="auto"/>
        <w:ind w:left="79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批准部门：天津市城乡建设和交通委员会</w:t>
      </w:r>
    </w:p>
    <w:p>
      <w:pPr>
        <w:spacing w:before="64" w:line="219" w:lineRule="auto"/>
        <w:ind w:left="79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1"/>
          <w:sz w:val="20"/>
          <w:szCs w:val="20"/>
        </w:rPr>
        <w:t>实施日期：2011年05月01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日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65" w:line="223" w:lineRule="auto"/>
        <w:ind w:left="198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2011</w:t>
      </w:r>
      <w:r>
        <w:rPr>
          <w:rFonts w:ascii="SimHei" w:eastAsia="SimHei" w:hAnsi="SimHei" w:cs="SimHei"/>
          <w:spacing w:val="3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天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津</w:t>
      </w:r>
    </w:p>
    <w:p>
      <w:pPr>
        <w:spacing w:line="223" w:lineRule="auto"/>
        <w:rPr>
          <w:rFonts w:ascii="SimHei" w:eastAsia="SimHei" w:hAnsi="SimHei" w:cs="SimHei"/>
          <w:sz w:val="20"/>
          <w:szCs w:val="20"/>
        </w:rPr>
        <w:sectPr>
          <w:pgSz w:w="7900" w:h="12020"/>
          <w:pgMar w:top="1021" w:right="1185" w:bottom="0" w:left="1185" w:header="0" w:footer="0" w:gutter="0"/>
          <w:pgNumType w:start="3"/>
          <w:cols w:space="708"/>
        </w:sectPr>
      </w:pPr>
    </w:p>
    <w:p>
      <w:pPr>
        <w:pStyle w:val="BodyText"/>
        <w:spacing w:line="350" w:lineRule="auto"/>
      </w:pPr>
    </w:p>
    <w:p>
      <w:pPr>
        <w:spacing w:before="126" w:line="219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3"/>
          <w:sz w:val="39"/>
          <w:szCs w:val="39"/>
        </w:rPr>
        <w:t>天津市城乡建设和交通委员会文件</w:t>
      </w:r>
    </w:p>
    <w:p>
      <w:pPr>
        <w:pStyle w:val="BodyText"/>
        <w:spacing w:line="344" w:lineRule="auto"/>
      </w:pPr>
    </w:p>
    <w:p>
      <w:pPr>
        <w:spacing w:before="72" w:line="222" w:lineRule="auto"/>
        <w:ind w:left="205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5"/>
          <w:sz w:val="22"/>
          <w:szCs w:val="22"/>
        </w:rPr>
        <w:t>建科[2011]120</w:t>
      </w:r>
      <w:r>
        <w:rPr>
          <w:rFonts w:ascii="SimHei" w:eastAsia="SimHei" w:hAnsi="SimHei" w:cs="SimHei"/>
          <w:spacing w:val="-4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5"/>
          <w:sz w:val="22"/>
          <w:szCs w:val="22"/>
        </w:rPr>
        <w:t>号</w:t>
      </w:r>
    </w:p>
    <w:p>
      <w:pPr>
        <w:pStyle w:val="BodyText"/>
        <w:spacing w:line="398" w:lineRule="auto"/>
      </w:pPr>
    </w:p>
    <w:p>
      <w:pPr>
        <w:spacing w:before="71" w:line="222" w:lineRule="auto"/>
        <w:ind w:left="423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3"/>
          <w:sz w:val="22"/>
          <w:szCs w:val="22"/>
        </w:rPr>
        <w:t>签发人：韩培俊</w:t>
      </w:r>
    </w:p>
    <w:p>
      <w:pPr>
        <w:spacing w:before="335" w:line="219" w:lineRule="auto"/>
        <w:ind w:left="3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30"/>
          <w:sz w:val="31"/>
          <w:szCs w:val="31"/>
        </w:rPr>
        <w:t>关于颁布《挤扩灌注桩技术规程》的通知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各有关单位：</w:t>
      </w:r>
    </w:p>
    <w:p>
      <w:pPr>
        <w:spacing w:before="67" w:line="233" w:lineRule="auto"/>
        <w:ind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sz w:val="22"/>
          <w:szCs w:val="22"/>
        </w:rPr>
        <w:t>为规范挤扩灌注桩的合理应用、确保工程质量，天津市勘察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6"/>
          <w:sz w:val="22"/>
          <w:szCs w:val="22"/>
        </w:rPr>
        <w:t>院等单位按照我委《关于下达2009年度天</w:t>
      </w:r>
      <w:r>
        <w:rPr>
          <w:rFonts w:ascii="SimSun" w:eastAsia="SimSun" w:hAnsi="SimSun" w:cs="SimSun"/>
          <w:spacing w:val="-7"/>
          <w:sz w:val="22"/>
          <w:szCs w:val="22"/>
        </w:rPr>
        <w:t>津市建设系统第一批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"/>
          <w:sz w:val="22"/>
          <w:szCs w:val="22"/>
        </w:rPr>
        <w:t>工程建设地方标准编制计划的通知》(建科教[2009]338号)的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4"/>
          <w:sz w:val="22"/>
          <w:szCs w:val="22"/>
        </w:rPr>
        <w:t>要求，对《挤扩灌注桩技术规程》(DB29-65-2004)</w:t>
      </w:r>
      <w:r>
        <w:rPr>
          <w:rFonts w:ascii="SimSun" w:eastAsia="SimSun" w:hAnsi="SimSun" w:cs="SimSun"/>
          <w:spacing w:val="39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4"/>
          <w:sz w:val="22"/>
          <w:szCs w:val="22"/>
        </w:rPr>
        <w:t>进行了全面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3"/>
          <w:sz w:val="22"/>
          <w:szCs w:val="22"/>
        </w:rPr>
        <w:t>修订。经我委组织专家审定，现批准《挤扩灌注桩技术规程》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(DB29-65-2011)  为我市地方工程建设标准，</w:t>
      </w:r>
      <w:r>
        <w:rPr>
          <w:rFonts w:ascii="SimSun" w:eastAsia="SimSun" w:hAnsi="SimSun" w:cs="SimSun"/>
          <w:spacing w:val="-1"/>
          <w:sz w:val="22"/>
          <w:szCs w:val="22"/>
        </w:rPr>
        <w:t>自2011年5月1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1"/>
          <w:sz w:val="22"/>
          <w:szCs w:val="22"/>
        </w:rPr>
        <w:t>日起在我市实施。其中，第3.0.1条为强制性条文，必须严</w:t>
      </w:r>
      <w:r>
        <w:rPr>
          <w:rFonts w:ascii="SimSun" w:eastAsia="SimSun" w:hAnsi="SimSun" w:cs="SimSun"/>
          <w:spacing w:val="-12"/>
          <w:sz w:val="22"/>
          <w:szCs w:val="22"/>
        </w:rPr>
        <w:t>格执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1"/>
          <w:sz w:val="22"/>
          <w:szCs w:val="22"/>
        </w:rPr>
        <w:t>行。原《挤扩灌注桩技术规程》(DB29-65-2004)  同时废止。</w:t>
      </w:r>
    </w:p>
    <w:p>
      <w:pPr>
        <w:spacing w:before="19" w:line="227" w:lineRule="auto"/>
        <w:ind w:right="98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sz w:val="22"/>
          <w:szCs w:val="22"/>
        </w:rPr>
        <w:t>各相关单位要认真执行本规程，实施过程中如有不明之处及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修改意见请及时反馈给天津市勘察院。</w:t>
      </w:r>
    </w:p>
    <w:p>
      <w:pPr>
        <w:spacing w:before="19" w:line="227" w:lineRule="auto"/>
        <w:ind w:right="91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本规程由天津市城乡建设和交通委员会负责管理及</w:t>
      </w:r>
      <w:r>
        <w:rPr>
          <w:rFonts w:ascii="SimSun" w:eastAsia="SimSun" w:hAnsi="SimSun" w:cs="SimSun"/>
          <w:spacing w:val="-7"/>
          <w:sz w:val="22"/>
          <w:szCs w:val="22"/>
        </w:rPr>
        <w:t>对强制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性条文的解释。</w:t>
      </w:r>
    </w:p>
    <w:p>
      <w:pPr>
        <w:spacing w:before="17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本规程由天津市勘察院负责具体技术内容的解释。</w:t>
      </w:r>
    </w:p>
    <w:p>
      <w:pPr>
        <w:spacing w:before="21" w:line="227" w:lineRule="auto"/>
        <w:ind w:right="101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sz w:val="22"/>
          <w:szCs w:val="22"/>
        </w:rPr>
        <w:t>本规程由天津市建设科技信息中心负责征订和发行，任何单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位和个人不得翻印和复制。</w:t>
      </w:r>
    </w:p>
    <w:p>
      <w:pPr>
        <w:spacing w:before="19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特此通知</w:t>
      </w:r>
    </w:p>
    <w:p>
      <w:pPr>
        <w:pStyle w:val="BodyText"/>
        <w:spacing w:line="243" w:lineRule="auto"/>
        <w:sectPr>
          <w:pgSz w:w="7860" w:h="11990"/>
          <w:pgMar w:top="1019" w:right="949" w:bottom="0" w:left="1050" w:header="0" w:footer="0" w:gutter="0"/>
          <w:pgNumType w:start="4"/>
          <w:cols w:space="708"/>
        </w:sectPr>
      </w:pPr>
    </w:p>
    <w:p>
      <w:pPr>
        <w:spacing w:before="72" w:line="228" w:lineRule="auto"/>
        <w:ind w:left="3069" w:right="70" w:firstLine="10"/>
        <w:rPr>
          <w:rFonts w:ascii="SimSun" w:eastAsia="SimSun" w:hAnsi="SimSun" w:cs="SimSun"/>
          <w:sz w:val="22"/>
          <w:szCs w:val="22"/>
        </w:rPr>
      </w:pPr>
      <w:r>
        <w:rPr>
          <w:rFonts w:ascii="SimHei" w:eastAsia="SimHei" w:hAnsi="SimHei" w:cs="SimHei"/>
          <w:spacing w:val="-13"/>
          <w:sz w:val="22"/>
          <w:szCs w:val="22"/>
        </w:rPr>
        <w:t>天津市城乡建设和交通委员会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 xml:space="preserve">二 </w:t>
      </w: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>O</w:t>
      </w:r>
      <w:r>
        <w:rPr>
          <w:rFonts w:ascii="Times New Roman" w:eastAsia="Times New Roman" w:hAnsi="Times New Roman" w:cs="Times New Roman"/>
          <w:spacing w:val="34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一</w:t>
      </w:r>
      <w:r>
        <w:rPr>
          <w:rFonts w:ascii="SimSun" w:eastAsia="SimSun" w:hAnsi="SimSun" w:cs="SimSun"/>
          <w:spacing w:val="-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一</w:t>
      </w:r>
      <w:r>
        <w:rPr>
          <w:rFonts w:ascii="SimSun" w:eastAsia="SimSun" w:hAnsi="SimSun" w:cs="SimSun"/>
          <w:spacing w:val="-4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年</w:t>
      </w:r>
      <w:r>
        <w:rPr>
          <w:rFonts w:ascii="SimSun" w:eastAsia="SimSun" w:hAnsi="SimSun" w:cs="SimSun"/>
          <w:spacing w:val="-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二</w:t>
      </w:r>
      <w:r>
        <w:rPr>
          <w:rFonts w:ascii="SimSun" w:eastAsia="SimSun" w:hAnsi="SimSun" w:cs="SimSun"/>
          <w:spacing w:val="-3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月</w:t>
      </w:r>
      <w:r>
        <w:rPr>
          <w:rFonts w:ascii="SimSun" w:eastAsia="SimSun" w:hAnsi="SimSun" w:cs="SimSun"/>
          <w:spacing w:val="-4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十</w:t>
      </w:r>
      <w:r>
        <w:rPr>
          <w:rFonts w:ascii="SimSun" w:eastAsia="SimSun" w:hAnsi="SimSun" w:cs="SimSun"/>
          <w:spacing w:val="-4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七 日</w:t>
      </w:r>
    </w:p>
    <w:p>
      <w:pPr>
        <w:spacing w:line="228" w:lineRule="auto"/>
        <w:rPr>
          <w:rFonts w:ascii="SimSun" w:eastAsia="SimSun" w:hAnsi="SimSun" w:cs="SimSun"/>
          <w:sz w:val="22"/>
          <w:szCs w:val="22"/>
        </w:rPr>
        <w:sectPr>
          <w:type w:val="nextPage"/>
          <w:pgSz w:w="7860" w:h="11990"/>
          <w:pgMar w:top="1019" w:right="949" w:bottom="0" w:left="105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366" w:lineRule="auto"/>
      </w:pPr>
    </w:p>
    <w:p>
      <w:pPr>
        <w:spacing w:before="88" w:line="222" w:lineRule="auto"/>
        <w:ind w:left="234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9"/>
          <w:sz w:val="27"/>
          <w:szCs w:val="27"/>
        </w:rPr>
        <w:t>前</w:t>
      </w:r>
      <w:r>
        <w:rPr>
          <w:rFonts w:ascii="SimHei" w:eastAsia="SimHei" w:hAnsi="SimHei" w:cs="SimHei"/>
          <w:spacing w:val="2"/>
          <w:sz w:val="27"/>
          <w:szCs w:val="27"/>
        </w:rPr>
        <w:t xml:space="preserve">    </w:t>
      </w:r>
      <w:r>
        <w:rPr>
          <w:rFonts w:ascii="SimHei" w:eastAsia="SimHei" w:hAnsi="SimHei" w:cs="SimHei"/>
          <w:b/>
          <w:bCs/>
          <w:spacing w:val="-9"/>
          <w:sz w:val="27"/>
          <w:szCs w:val="27"/>
        </w:rPr>
        <w:t>言</w:t>
      </w:r>
    </w:p>
    <w:p>
      <w:pPr>
        <w:pStyle w:val="BodyText"/>
        <w:spacing w:line="377" w:lineRule="auto"/>
      </w:pPr>
    </w:p>
    <w:p>
      <w:pPr>
        <w:spacing w:before="65" w:line="267" w:lineRule="auto"/>
        <w:ind w:right="46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根据天津市城乡建设和交通委员会《关于下达2009年度天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津市建设系统第一批工程建设地方标准编制计划的通知》(建科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教[2009]338号)文件要求，规程编制组经广泛调研</w:t>
      </w:r>
      <w:r>
        <w:rPr>
          <w:rFonts w:ascii="SimSun" w:eastAsia="SimSun" w:hAnsi="SimSun" w:cs="SimSun"/>
          <w:spacing w:val="4"/>
          <w:sz w:val="20"/>
          <w:szCs w:val="20"/>
        </w:rPr>
        <w:t>，认真总结实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践经验的基础上，修订本规程。</w:t>
      </w:r>
    </w:p>
    <w:p>
      <w:pPr>
        <w:spacing w:before="82" w:line="262" w:lineRule="auto"/>
        <w:ind w:right="34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本规程主要技术内容有：基本规定、桩基设计、桩基施工、质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量检查与检测及有关附录。</w:t>
      </w:r>
    </w:p>
    <w:p>
      <w:pPr>
        <w:spacing w:before="51" w:line="277" w:lineRule="auto"/>
        <w:ind w:right="46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本规程修订增加的内容主要有：设置抗压及抗拔承力盘的地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层位置选择；桩身主筋配置；单桩、单排桩和疏桩基础沉降计算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等。调整的主要内容有：工作条件系数；桩基分层总和法沉降计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算；施工允许偏差；桩身完整性检测比例等。</w:t>
      </w:r>
    </w:p>
    <w:p>
      <w:pPr>
        <w:spacing w:before="72" w:line="262" w:lineRule="auto"/>
        <w:ind w:right="47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2"/>
          <w:sz w:val="20"/>
          <w:szCs w:val="20"/>
        </w:rPr>
        <w:t>本规程中以黑体字标志的条文为强制性条文，必须严格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执行。</w:t>
      </w:r>
    </w:p>
    <w:p>
      <w:pPr>
        <w:spacing w:before="39" w:line="277" w:lineRule="auto"/>
        <w:ind w:right="39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本规程由天津市城乡建设和交通委员会负责管理</w:t>
      </w:r>
      <w:r>
        <w:rPr>
          <w:rFonts w:ascii="SimSun" w:eastAsia="SimSun" w:hAnsi="SimSun" w:cs="SimSun"/>
          <w:spacing w:val="13"/>
          <w:sz w:val="20"/>
          <w:szCs w:val="20"/>
        </w:rPr>
        <w:t>和对强制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性条文的解释，由天津市勘察院负责具体技</w:t>
      </w:r>
      <w:r>
        <w:rPr>
          <w:rFonts w:ascii="SimSun" w:eastAsia="SimSun" w:hAnsi="SimSun" w:cs="SimSun"/>
          <w:spacing w:val="5"/>
          <w:sz w:val="20"/>
          <w:szCs w:val="20"/>
        </w:rPr>
        <w:t>术内容的解释。执行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过程中如有意见和建议，请寄天津市勘察院(地址：天津市南开区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红旗南路428号，邮编300191)。</w:t>
      </w:r>
    </w:p>
    <w:p>
      <w:pPr>
        <w:spacing w:before="78" w:line="221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本</w:t>
      </w:r>
      <w:r>
        <w:rPr>
          <w:rFonts w:ascii="SimHei" w:eastAsia="SimHei" w:hAnsi="SimHei" w:cs="SimHei"/>
          <w:spacing w:val="-10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规</w:t>
      </w:r>
      <w:r>
        <w:rPr>
          <w:rFonts w:ascii="SimHei" w:eastAsia="SimHei" w:hAnsi="SimHei" w:cs="SimHei"/>
          <w:spacing w:val="-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程</w:t>
      </w:r>
      <w:r>
        <w:rPr>
          <w:rFonts w:ascii="SimHei" w:eastAsia="SimHei" w:hAnsi="SimHei" w:cs="SimHei"/>
          <w:spacing w:val="-10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主</w:t>
      </w:r>
      <w:r>
        <w:rPr>
          <w:rFonts w:ascii="SimHei" w:eastAsia="SimHei" w:hAnsi="SimHei" w:cs="SimHei"/>
          <w:spacing w:val="-1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编</w:t>
      </w:r>
      <w:r>
        <w:rPr>
          <w:rFonts w:ascii="SimHei" w:eastAsia="SimHei" w:hAnsi="SimHei" w:cs="SimHei"/>
          <w:spacing w:val="-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单</w:t>
      </w:r>
      <w:r>
        <w:rPr>
          <w:rFonts w:ascii="SimHei" w:eastAsia="SimHei" w:hAnsi="SimHei" w:cs="SimHei"/>
          <w:spacing w:val="-1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位</w:t>
      </w:r>
      <w:r>
        <w:rPr>
          <w:rFonts w:ascii="SimSun" w:eastAsia="SimSun" w:hAnsi="SimSun" w:cs="SimSun"/>
          <w:spacing w:val="-10"/>
          <w:sz w:val="20"/>
          <w:szCs w:val="20"/>
        </w:rPr>
        <w:t>：天津市勘察院</w:t>
      </w:r>
    </w:p>
    <w:p>
      <w:pPr>
        <w:spacing w:before="61" w:line="221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本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规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程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参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编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单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位：</w:t>
      </w:r>
      <w:r>
        <w:rPr>
          <w:rFonts w:ascii="SimSun" w:eastAsia="SimSun" w:hAnsi="SimSun" w:cs="SimSun"/>
          <w:spacing w:val="-6"/>
          <w:sz w:val="20"/>
          <w:szCs w:val="20"/>
        </w:rPr>
        <w:t>天津大学建筑设计研究院</w:t>
      </w:r>
    </w:p>
    <w:p>
      <w:pPr>
        <w:spacing w:before="95" w:line="219" w:lineRule="auto"/>
        <w:ind w:left="2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天津市建筑设计院</w:t>
      </w:r>
    </w:p>
    <w:p>
      <w:pPr>
        <w:spacing w:before="53" w:line="257" w:lineRule="auto"/>
        <w:ind w:left="2410" w:right="4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天津华汇工程建筑设计有限公司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天津大学建工学院</w:t>
      </w:r>
    </w:p>
    <w:p>
      <w:pPr>
        <w:spacing w:before="83" w:line="219" w:lineRule="auto"/>
        <w:ind w:left="2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天津市房屋鉴定设计院</w:t>
      </w:r>
    </w:p>
    <w:p>
      <w:pPr>
        <w:spacing w:before="83" w:line="219" w:lineRule="auto"/>
        <w:ind w:left="2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北京中阔地基基础技术有限公司</w:t>
      </w:r>
    </w:p>
    <w:tbl>
      <w:tblPr>
        <w:tblStyle w:val="TableNormal0"/>
        <w:tblW w:w="5105" w:type="dxa"/>
        <w:tblInd w:w="4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18"/>
        <w:gridCol w:w="827"/>
        <w:gridCol w:w="822"/>
        <w:gridCol w:w="738"/>
      </w:tblGrid>
      <w:tr>
        <w:tblPrEx>
          <w:tblW w:w="5105" w:type="dxa"/>
          <w:tblInd w:w="4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3"/>
        </w:trPr>
        <w:tc>
          <w:tcPr>
            <w:tcW w:w="2718" w:type="dxa"/>
            <w:vAlign w:val="top"/>
          </w:tcPr>
          <w:p>
            <w:pPr>
              <w:spacing w:line="220" w:lineRule="auto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本规程主要起草人员：</w:t>
            </w:r>
            <w:r>
              <w:rPr>
                <w:rFonts w:ascii="SimHei" w:eastAsia="SimHei" w:hAnsi="SimHei" w:cs="SimHei"/>
                <w:spacing w:val="-2"/>
                <w:sz w:val="20"/>
                <w:szCs w:val="20"/>
              </w:rPr>
              <w:t>吴永红</w:t>
            </w:r>
          </w:p>
        </w:tc>
        <w:tc>
          <w:tcPr>
            <w:tcW w:w="827" w:type="dxa"/>
            <w:vAlign w:val="top"/>
          </w:tcPr>
          <w:p>
            <w:pPr>
              <w:spacing w:line="220" w:lineRule="auto"/>
              <w:ind w:left="79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周玉明</w:t>
            </w:r>
          </w:p>
        </w:tc>
        <w:tc>
          <w:tcPr>
            <w:tcW w:w="822" w:type="dxa"/>
            <w:vAlign w:val="top"/>
          </w:tcPr>
          <w:p>
            <w:pPr>
              <w:spacing w:line="221" w:lineRule="auto"/>
              <w:ind w:left="9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12"/>
                <w:sz w:val="20"/>
                <w:szCs w:val="20"/>
              </w:rPr>
              <w:t>李文春</w:t>
            </w:r>
          </w:p>
        </w:tc>
        <w:tc>
          <w:tcPr>
            <w:tcW w:w="738" w:type="dxa"/>
            <w:vAlign w:val="top"/>
          </w:tcPr>
          <w:p>
            <w:pPr>
              <w:spacing w:line="220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丁永君</w:t>
            </w:r>
          </w:p>
        </w:tc>
      </w:tr>
      <w:tr>
        <w:tblPrEx>
          <w:tblW w:w="5105" w:type="dxa"/>
          <w:tblInd w:w="422" w:type="dxa"/>
          <w:tblLayout w:type="fixed"/>
        </w:tblPrEx>
        <w:trPr>
          <w:trHeight w:val="321"/>
        </w:trPr>
        <w:tc>
          <w:tcPr>
            <w:tcW w:w="2718" w:type="dxa"/>
            <w:vAlign w:val="top"/>
          </w:tcPr>
          <w:p>
            <w:pPr>
              <w:spacing w:before="60" w:line="219" w:lineRule="auto"/>
              <w:ind w:left="19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陈敖宜</w:t>
            </w:r>
          </w:p>
        </w:tc>
        <w:tc>
          <w:tcPr>
            <w:tcW w:w="827" w:type="dxa"/>
            <w:vAlign w:val="top"/>
          </w:tcPr>
          <w:p>
            <w:pPr>
              <w:spacing w:before="61" w:line="219" w:lineRule="auto"/>
              <w:ind w:left="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左克伟</w:t>
            </w:r>
          </w:p>
        </w:tc>
        <w:tc>
          <w:tcPr>
            <w:tcW w:w="822" w:type="dxa"/>
            <w:vAlign w:val="top"/>
          </w:tcPr>
          <w:p>
            <w:pPr>
              <w:spacing w:before="61" w:line="219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郑</w:t>
            </w:r>
            <w:r>
              <w:rPr>
                <w:rFonts w:ascii="SimSun" w:eastAsia="SimSun" w:hAnsi="SimSun" w:cs="SimSun"/>
                <w:spacing w:val="26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刚</w:t>
            </w:r>
          </w:p>
        </w:tc>
        <w:tc>
          <w:tcPr>
            <w:tcW w:w="738" w:type="dxa"/>
            <w:vAlign w:val="top"/>
          </w:tcPr>
          <w:p>
            <w:pPr>
              <w:spacing w:before="61" w:line="219" w:lineRule="auto"/>
              <w:ind w:right="12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仲晓梅</w:t>
            </w:r>
          </w:p>
        </w:tc>
      </w:tr>
    </w:tbl>
    <w:p>
      <w:pPr>
        <w:sectPr>
          <w:pgSz w:w="7890" w:h="12010"/>
          <w:pgMar w:top="1020" w:right="1183" w:bottom="0" w:left="900" w:header="0" w:footer="0" w:gutter="0"/>
          <w:pgNumType w:start="6"/>
          <w:cols w:space="708"/>
        </w:sectPr>
      </w:pPr>
    </w:p>
    <w:tbl>
      <w:tblPr>
        <w:tblStyle w:val="TableNormal1"/>
        <w:tblW w:w="5105" w:type="dxa"/>
        <w:tblInd w:w="4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18"/>
        <w:gridCol w:w="827"/>
        <w:gridCol w:w="822"/>
        <w:gridCol w:w="738"/>
      </w:tblGrid>
      <w:tr>
        <w:tblPrEx>
          <w:tblW w:w="5105" w:type="dxa"/>
          <w:tblInd w:w="4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"/>
        </w:trPr>
        <w:tc>
          <w:tcPr>
            <w:tcW w:w="2718" w:type="dxa"/>
            <w:vAlign w:val="top"/>
          </w:tcPr>
          <w:p>
            <w:pPr>
              <w:spacing w:before="60" w:line="175" w:lineRule="auto"/>
              <w:ind w:left="19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王成华</w:t>
            </w:r>
          </w:p>
        </w:tc>
        <w:tc>
          <w:tcPr>
            <w:tcW w:w="827" w:type="dxa"/>
            <w:vAlign w:val="top"/>
          </w:tcPr>
          <w:p>
            <w:pPr>
              <w:spacing w:before="60" w:line="175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赵志峰</w:t>
            </w:r>
          </w:p>
        </w:tc>
        <w:tc>
          <w:tcPr>
            <w:tcW w:w="822" w:type="dxa"/>
            <w:vAlign w:val="top"/>
          </w:tcPr>
          <w:p>
            <w:pPr>
              <w:spacing w:before="60" w:line="175" w:lineRule="auto"/>
              <w:ind w:left="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黄兆伟</w:t>
            </w:r>
          </w:p>
        </w:tc>
        <w:tc>
          <w:tcPr>
            <w:tcW w:w="738" w:type="dxa"/>
            <w:vAlign w:val="top"/>
          </w:tcPr>
          <w:p>
            <w:pPr>
              <w:spacing w:before="60" w:line="175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邓永胜</w:t>
            </w:r>
          </w:p>
        </w:tc>
      </w:tr>
    </w:tbl>
    <w:p>
      <w:pPr>
        <w:pStyle w:val="BodyText"/>
      </w:pPr>
    </w:p>
    <w:p>
      <w:pPr>
        <w:sectPr>
          <w:type w:val="nextPage"/>
          <w:pgSz w:w="7890" w:h="12010"/>
          <w:pgMar w:top="1020" w:right="1183" w:bottom="0" w:left="900" w:header="0" w:footer="0" w:gutter="0"/>
          <w:pgNumType w:start="7"/>
          <w:cols w:space="708"/>
          <w:titlePg w:val="0"/>
        </w:sectPr>
      </w:pPr>
    </w:p>
    <w:p>
      <w:pPr>
        <w:spacing w:before="215"/>
      </w:pPr>
    </w:p>
    <w:p>
      <w:pPr>
        <w:sectPr>
          <w:pgSz w:w="7920" w:h="12030"/>
          <w:pgMar w:top="1022" w:right="1188" w:bottom="0" w:left="1188" w:header="0" w:footer="0" w:gutter="0"/>
          <w:pgNumType w:start="8"/>
          <w:cols w:num="1" w:space="708" w:equalWidth="0">
            <w:col w:w="5545" w:space="0"/>
          </w:cols>
        </w:sectPr>
      </w:pPr>
    </w:p>
    <w:p>
      <w:pPr>
        <w:spacing w:before="38" w:line="220" w:lineRule="auto"/>
        <w:ind w:left="2361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贺德新</w:t>
      </w:r>
    </w:p>
    <w:p>
      <w:pPr>
        <w:spacing w:before="89" w:line="249" w:lineRule="auto"/>
        <w:ind w:left="394" w:right="77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本规程主要审查人员：</w:t>
      </w:r>
      <w:r>
        <w:rPr>
          <w:rFonts w:ascii="SimHei" w:eastAsia="SimHei" w:hAnsi="SimHei" w:cs="SimHei"/>
          <w:spacing w:val="9"/>
          <w:sz w:val="19"/>
          <w:szCs w:val="19"/>
        </w:rPr>
        <w:t>顾晓鲁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雷立争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</w:pPr>
    </w:p>
    <w:p>
      <w:pPr>
        <w:spacing w:before="62" w:line="249" w:lineRule="auto"/>
        <w:ind w:right="81" w:firstLine="8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spacing w:val="22"/>
          <w:sz w:val="19"/>
          <w:szCs w:val="19"/>
        </w:rPr>
        <w:t>方继圣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眭</w:t>
      </w:r>
      <w:r>
        <w:rPr>
          <w:rFonts w:ascii="SimSun" w:eastAsia="SimSun" w:hAnsi="SimSun" w:cs="SimSun"/>
          <w:spacing w:val="2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9"/>
          <w:sz w:val="19"/>
          <w:szCs w:val="19"/>
        </w:rPr>
        <w:t>彪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</w:pPr>
    </w:p>
    <w:p>
      <w:pPr>
        <w:spacing w:before="62" w:line="249" w:lineRule="auto"/>
        <w:ind w:left="12" w:right="76" w:hanging="12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spacing w:val="23"/>
          <w:sz w:val="19"/>
          <w:szCs w:val="19"/>
        </w:rPr>
        <w:t>宋昭煌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0"/>
          <w:sz w:val="19"/>
          <w:szCs w:val="19"/>
        </w:rPr>
        <w:t>尹金凤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</w:pPr>
    </w:p>
    <w:p>
      <w:pPr>
        <w:spacing w:before="61" w:line="219" w:lineRule="auto"/>
        <w:ind w:left="38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3"/>
          <w:sz w:val="19"/>
          <w:szCs w:val="19"/>
        </w:rPr>
        <w:t>付金栋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type w:val="continuous"/>
          <w:pgSz w:w="7920" w:h="12030"/>
          <w:pgMar w:top="1022" w:right="1188" w:bottom="0" w:left="1188" w:header="0" w:footer="0" w:gutter="0"/>
          <w:pgNumType w:start="9"/>
          <w:cols w:num="4" w:space="708" w:equalWidth="0">
            <w:col w:w="3083" w:space="100"/>
            <w:col w:w="728" w:space="100"/>
            <w:col w:w="720" w:space="94"/>
            <w:col w:w="720" w:space="0"/>
          </w:cols>
        </w:sectPr>
      </w:pPr>
    </w:p>
    <w:p>
      <w:pPr>
        <w:pStyle w:val="BodyText"/>
        <w:spacing w:line="332" w:lineRule="auto"/>
      </w:pPr>
    </w:p>
    <w:sdt>
      <w:sdtPr>
        <w:rPr>
          <w:rFonts w:ascii="SimSun" w:eastAsia="SimSun" w:hAnsi="SimSun" w:cs="SimSun"/>
          <w:sz w:val="26"/>
          <w:szCs w:val="26"/>
        </w:rPr>
        <w:id w:val="164201188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spacing w:before="84" w:line="219" w:lineRule="auto"/>
            <w:ind w:left="2439"/>
            <w:rPr>
              <w:rFonts w:ascii="SimSun" w:eastAsia="SimSun" w:hAnsi="SimSun" w:cs="SimSun"/>
              <w:sz w:val="26"/>
              <w:szCs w:val="26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30"/>
              <w:sz w:val="26"/>
              <w:szCs w:val="26"/>
            </w:rPr>
            <w:t>目</w:t>
          </w:r>
          <w:r>
            <w:rPr>
              <w:rFonts w:ascii="SimSun" w:eastAsia="SimSun" w:hAnsi="SimSun" w:cs="SimSun"/>
              <w:spacing w:val="21"/>
              <w:sz w:val="26"/>
              <w:szCs w:val="26"/>
            </w:rPr>
            <w:t xml:space="preserve">    </w:t>
          </w:r>
          <w:r>
            <w:rPr>
              <w:rFonts w:ascii="SimSun" w:eastAsia="SimSun" w:hAnsi="SimSun" w:cs="SimSun"/>
              <w:spacing w:val="-30"/>
              <w:sz w:val="26"/>
              <w:szCs w:val="26"/>
            </w:rPr>
            <w:t>次</w:t>
          </w:r>
        </w:p>
        <w:p>
          <w:pPr>
            <w:pStyle w:val="BodyText"/>
            <w:spacing w:line="372" w:lineRule="auto"/>
          </w:pPr>
        </w:p>
        <w:p>
          <w:pPr>
            <w:tabs>
              <w:tab w:val="right" w:leader="dot" w:pos="5735"/>
            </w:tabs>
            <w:spacing w:before="65" w:line="22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7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-17"/>
              <w:sz w:val="20"/>
              <w:szCs w:val="20"/>
            </w:rPr>
            <w:t>总</w:t>
          </w:r>
          <w:r>
            <w:rPr>
              <w:rFonts w:ascii="SimSun" w:eastAsia="SimSun" w:hAnsi="SimSun" w:cs="SimSun"/>
              <w:spacing w:val="-25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17"/>
              <w:sz w:val="20"/>
              <w:szCs w:val="20"/>
            </w:rPr>
            <w:t>则</w:t>
          </w:r>
          <w:r>
            <w:rPr>
              <w:rFonts w:ascii="SimSun" w:eastAsia="SimSun" w:hAnsi="SimSun" w:cs="SimSun"/>
              <w:spacing w:val="-8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735"/>
            </w:tabs>
            <w:spacing w:before="81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2   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术语和符号</w:t>
          </w:r>
          <w:r>
            <w:rPr>
              <w:rFonts w:ascii="SimSun" w:eastAsia="SimSun" w:hAnsi="SimSun" w:cs="SimSun"/>
              <w:spacing w:val="-8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7"/>
              <w:sz w:val="20"/>
              <w:szCs w:val="20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725"/>
            </w:tabs>
            <w:spacing w:before="92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>2.1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 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术语</w:t>
          </w:r>
          <w:r>
            <w:rPr>
              <w:rFonts w:ascii="SimSun" w:eastAsia="SimSun" w:hAnsi="SimSun" w:cs="SimSun"/>
              <w:spacing w:val="6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725"/>
            </w:tabs>
            <w:spacing w:before="72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 xml:space="preserve">2.2      </w:t>
          </w:r>
          <w:r>
            <w:rPr>
              <w:rFonts w:ascii="SimSun" w:eastAsia="SimSun" w:hAnsi="SimSun" w:cs="SimSun"/>
              <w:spacing w:val="-2"/>
              <w:sz w:val="20"/>
              <w:szCs w:val="20"/>
            </w:rPr>
            <w:t>符号</w:t>
          </w:r>
          <w:r>
            <w:rPr>
              <w:rFonts w:ascii="SimSun" w:eastAsia="SimSun" w:hAnsi="SimSun" w:cs="SimSun"/>
              <w:spacing w:val="40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715"/>
            </w:tabs>
            <w:spacing w:before="91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>3</w:t>
          </w:r>
          <w:r>
            <w:rPr>
              <w:rFonts w:ascii="Times New Roman" w:eastAsia="Times New Roman" w:hAnsi="Times New Roman" w:cs="Times New Roman"/>
              <w:spacing w:val="13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基本规定</w:t>
          </w:r>
          <w:r>
            <w:rPr>
              <w:rFonts w:ascii="SimSun" w:eastAsia="SimSun" w:hAnsi="SimSun" w:cs="SimSun"/>
              <w:spacing w:val="-8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730"/>
            </w:tabs>
            <w:spacing w:before="74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1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20"/>
              <w:szCs w:val="20"/>
            </w:rPr>
            <w:t>桩基设计</w:t>
          </w:r>
          <w:r>
            <w:rPr>
              <w:rFonts w:ascii="SimSun" w:eastAsia="SimSun" w:hAnsi="SimSun" w:cs="SimSun"/>
              <w:spacing w:val="-7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7"/>
              <w:sz w:val="20"/>
              <w:szCs w:val="20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5720"/>
            </w:tabs>
            <w:spacing w:before="73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>4.1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单桩竖向承载力特征值</w:t>
          </w:r>
          <w:r>
            <w:rPr>
              <w:rFonts w:ascii="SimSun" w:eastAsia="SimSun" w:hAnsi="SimSun" w:cs="SimSun"/>
              <w:spacing w:val="3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5722"/>
            </w:tabs>
            <w:spacing w:before="73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>4.2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桩基水平承载力</w:t>
          </w:r>
          <w:r>
            <w:rPr>
              <w:rFonts w:ascii="SimSun" w:eastAsia="SimSun" w:hAnsi="SimSun" w:cs="SimSun"/>
              <w:spacing w:val="4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732"/>
            </w:tabs>
            <w:spacing w:before="83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>4.3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spacing w:val="7"/>
              <w:sz w:val="20"/>
              <w:szCs w:val="20"/>
            </w:rPr>
            <w:t>桩身强度</w:t>
          </w:r>
          <w:r>
            <w:rPr>
              <w:rFonts w:ascii="SimSun" w:eastAsia="SimSun" w:hAnsi="SimSun" w:cs="SimSun"/>
              <w:spacing w:val="4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732"/>
            </w:tabs>
            <w:spacing w:before="82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 xml:space="preserve">4.4      </w:t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>桩基沉降计算</w:t>
          </w:r>
          <w:r>
            <w:rPr>
              <w:rFonts w:ascii="SimSun" w:eastAsia="SimSun" w:hAnsi="SimSun" w:cs="SimSun"/>
              <w:spacing w:val="3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720"/>
            </w:tabs>
            <w:spacing w:before="63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>5</w:t>
          </w:r>
          <w:r>
            <w:rPr>
              <w:rFonts w:ascii="Times New Roman" w:eastAsia="Times New Roman" w:hAnsi="Times New Roman" w:cs="Times New Roman"/>
              <w:spacing w:val="12"/>
              <w:w w:val="101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桩基施工</w:t>
          </w:r>
          <w:r>
            <w:rPr>
              <w:rFonts w:ascii="SimSun" w:eastAsia="SimSun" w:hAnsi="SimSun" w:cs="SimSun"/>
              <w:spacing w:val="-8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68"/>
              <w:sz w:val="20"/>
              <w:szCs w:val="2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5712"/>
            </w:tabs>
            <w:spacing w:before="83" w:line="220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5.1      </w:t>
          </w:r>
          <w:r>
            <w:rPr>
              <w:rFonts w:ascii="SimSun" w:eastAsia="SimSun" w:hAnsi="SimSun" w:cs="SimSun"/>
              <w:sz w:val="20"/>
              <w:szCs w:val="20"/>
            </w:rPr>
            <w:t>一般规定</w:t>
          </w:r>
          <w:r>
            <w:rPr>
              <w:rFonts w:ascii="SimSun" w:eastAsia="SimSun" w:hAnsi="SimSun" w:cs="SimSun"/>
              <w:spacing w:val="4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5725"/>
            </w:tabs>
            <w:spacing w:before="93" w:line="221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5"/>
              <w:sz w:val="20"/>
              <w:szCs w:val="20"/>
            </w:rPr>
            <w:t xml:space="preserve">5.2      </w:t>
          </w:r>
          <w:r>
            <w:rPr>
              <w:rFonts w:ascii="SimSun" w:eastAsia="SimSun" w:hAnsi="SimSun" w:cs="SimSun"/>
              <w:spacing w:val="-5"/>
              <w:sz w:val="20"/>
              <w:szCs w:val="20"/>
            </w:rPr>
            <w:t>施</w:t>
          </w:r>
          <w:r>
            <w:rPr>
              <w:rFonts w:ascii="SimSun" w:eastAsia="SimSun" w:hAnsi="SimSun" w:cs="SimSun"/>
              <w:spacing w:val="-3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0"/>
              <w:szCs w:val="20"/>
            </w:rPr>
            <w:t>工</w:t>
          </w:r>
          <w:r>
            <w:rPr>
              <w:rFonts w:ascii="SimSun" w:eastAsia="SimSun" w:hAnsi="SimSun" w:cs="SimSun"/>
              <w:spacing w:val="-4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0"/>
              <w:szCs w:val="20"/>
            </w:rPr>
            <w:t>准</w:t>
          </w:r>
          <w:r>
            <w:rPr>
              <w:rFonts w:ascii="SimSun" w:eastAsia="SimSun" w:hAnsi="SimSun" w:cs="SimSun"/>
              <w:spacing w:val="-4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0"/>
              <w:szCs w:val="20"/>
            </w:rPr>
            <w:t>备</w:t>
          </w:r>
          <w:r>
            <w:rPr>
              <w:rFonts w:ascii="SimSun" w:eastAsia="SimSun" w:hAnsi="SimSun" w:cs="SimSun"/>
              <w:spacing w:val="7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725"/>
            </w:tabs>
            <w:spacing w:before="59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1"/>
              <w:sz w:val="20"/>
              <w:szCs w:val="20"/>
            </w:rPr>
            <w:t>5.3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spacing w:val="11"/>
              <w:sz w:val="20"/>
              <w:szCs w:val="20"/>
            </w:rPr>
            <w:t>挤扩灌注桩施工</w:t>
          </w:r>
          <w:r>
            <w:rPr>
              <w:rFonts w:ascii="SimSun" w:eastAsia="SimSun" w:hAnsi="SimSun" w:cs="SimSun"/>
              <w:spacing w:val="5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5715"/>
            </w:tabs>
            <w:spacing w:before="83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6    </w:t>
          </w:r>
          <w:r>
            <w:rPr>
              <w:rFonts w:ascii="SimSun" w:eastAsia="SimSun" w:hAnsi="SimSun" w:cs="SimSun"/>
              <w:spacing w:val="9"/>
              <w:sz w:val="20"/>
              <w:szCs w:val="20"/>
            </w:rPr>
            <w:t>质量检查与检测</w:t>
          </w:r>
          <w:r>
            <w:rPr>
              <w:rFonts w:ascii="SimSun" w:eastAsia="SimSun" w:hAnsi="SimSun" w:cs="SimSun"/>
              <w:spacing w:val="5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5715"/>
            </w:tabs>
            <w:spacing w:before="63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6.1   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施工质量检查</w:t>
          </w:r>
          <w:r>
            <w:rPr>
              <w:rFonts w:ascii="SimSun" w:eastAsia="SimSun" w:hAnsi="SimSun" w:cs="SimSun"/>
              <w:spacing w:val="6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7"/>
              <w:sz w:val="20"/>
              <w:szCs w:val="2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5715"/>
            </w:tabs>
            <w:spacing w:before="72" w:line="219" w:lineRule="auto"/>
            <w:ind w:left="37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3"/>
              <w:sz w:val="20"/>
              <w:szCs w:val="20"/>
            </w:rPr>
            <w:t xml:space="preserve">6.2    </w:t>
          </w:r>
          <w:r>
            <w:rPr>
              <w:rFonts w:ascii="SimSun" w:eastAsia="SimSun" w:hAnsi="SimSun" w:cs="SimSun"/>
              <w:spacing w:val="13"/>
              <w:sz w:val="20"/>
              <w:szCs w:val="20"/>
            </w:rPr>
            <w:t>施工后检测</w:t>
          </w:r>
          <w:r>
            <w:rPr>
              <w:rFonts w:ascii="SimSun" w:eastAsia="SimSun" w:hAnsi="SimSun" w:cs="SimSun"/>
              <w:spacing w:val="72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5725"/>
            </w:tabs>
            <w:spacing w:before="92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8"/>
              <w:sz w:val="20"/>
              <w:szCs w:val="20"/>
            </w:rPr>
            <w:t>附录</w:t>
          </w:r>
          <w:r>
            <w:rPr>
              <w:rFonts w:ascii="SimSun" w:eastAsia="SimSun" w:hAnsi="SimSun" w:cs="SimSun"/>
              <w:spacing w:val="-6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A  </w:t>
          </w:r>
          <w:r>
            <w:rPr>
              <w:rFonts w:ascii="SimSun" w:eastAsia="SimSun" w:hAnsi="SimSun" w:cs="SimSun"/>
              <w:spacing w:val="8"/>
              <w:sz w:val="20"/>
              <w:szCs w:val="20"/>
            </w:rPr>
            <w:t>挤扩灌注桩构造示意图</w:t>
          </w:r>
          <w:r>
            <w:rPr>
              <w:rFonts w:ascii="SimSun" w:eastAsia="SimSun" w:hAnsi="SimSun" w:cs="SimSun"/>
              <w:spacing w:val="50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16</w:t>
            </w:r>
          </w:hyperlink>
        </w:p>
        <w:p>
          <w:pPr>
            <w:tabs>
              <w:tab w:val="right" w:leader="dot" w:pos="5715"/>
            </w:tabs>
            <w:spacing w:before="73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0"/>
              <w:sz w:val="20"/>
              <w:szCs w:val="20"/>
            </w:rPr>
            <w:t xml:space="preserve">附录 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B 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液压挤扩装置性能现场检测记录</w:t>
          </w:r>
          <w:r>
            <w:rPr>
              <w:rFonts w:ascii="SimSun" w:eastAsia="SimSun" w:hAnsi="SimSun" w:cs="SimSun"/>
              <w:spacing w:val="-65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5725"/>
            </w:tabs>
            <w:spacing w:before="82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2"/>
              <w:sz w:val="20"/>
              <w:szCs w:val="20"/>
            </w:rPr>
            <w:t>附录</w:t>
          </w:r>
          <w:r>
            <w:rPr>
              <w:rFonts w:ascii="SimSun" w:eastAsia="SimSun" w:hAnsi="SimSun" w:cs="SimSun"/>
              <w:spacing w:val="-7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2"/>
              <w:sz w:val="20"/>
              <w:szCs w:val="20"/>
            </w:rPr>
            <w:t xml:space="preserve">C  </w:t>
          </w:r>
          <w:r>
            <w:rPr>
              <w:rFonts w:ascii="SimSun" w:eastAsia="SimSun" w:hAnsi="SimSun" w:cs="SimSun"/>
              <w:spacing w:val="12"/>
              <w:sz w:val="20"/>
              <w:szCs w:val="20"/>
            </w:rPr>
            <w:t>挤扩灌注桩挤扩施工记录</w:t>
          </w:r>
          <w:r>
            <w:rPr>
              <w:rFonts w:ascii="SimSun" w:eastAsia="SimSun" w:hAnsi="SimSun" w:cs="SimSun"/>
              <w:spacing w:val="-80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68"/>
              <w:sz w:val="20"/>
              <w:szCs w:val="20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18</w:t>
            </w:r>
          </w:hyperlink>
        </w:p>
        <w:p>
          <w:pPr>
            <w:tabs>
              <w:tab w:val="right" w:leader="dot" w:pos="5715"/>
            </w:tabs>
            <w:spacing w:before="65" w:line="220" w:lineRule="auto"/>
            <w:ind w:left="8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-4"/>
              <w:sz w:val="20"/>
              <w:szCs w:val="20"/>
            </w:rPr>
            <w:t>引用标准名录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19</w:t>
            </w:r>
          </w:hyperlink>
        </w:p>
        <w:p>
          <w:pPr>
            <w:tabs>
              <w:tab w:val="right" w:leader="dot" w:pos="5705"/>
            </w:tabs>
            <w:spacing w:before="70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1"/>
              <w:sz w:val="20"/>
              <w:szCs w:val="20"/>
            </w:rPr>
            <w:t>本规程用词说明</w:t>
          </w:r>
          <w:r>
            <w:rPr>
              <w:rFonts w:ascii="SimSun" w:eastAsia="SimSun" w:hAnsi="SimSun" w:cs="SimSun"/>
              <w:spacing w:val="-8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7"/>
              <w:sz w:val="20"/>
              <w:szCs w:val="20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20</w:t>
            </w:r>
          </w:hyperlink>
        </w:p>
        <w:p>
          <w:pPr>
            <w:tabs>
              <w:tab w:val="right" w:leader="dot" w:pos="5745"/>
            </w:tabs>
            <w:spacing w:before="74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20"/>
              <w:sz w:val="20"/>
              <w:szCs w:val="20"/>
            </w:rPr>
            <w:t>条文说明</w:t>
          </w:r>
          <w:r>
            <w:rPr>
              <w:rFonts w:ascii="SimSun" w:eastAsia="SimSun" w:hAnsi="SimSun" w:cs="SimSun"/>
              <w:spacing w:val="-9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17"/>
              <w:sz w:val="20"/>
              <w:szCs w:val="20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21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0"/>
          <w:szCs w:val="20"/>
        </w:rPr>
        <w:sectPr>
          <w:pgSz w:w="7730" w:h="11910"/>
          <w:pgMar w:top="1012" w:right="1134" w:bottom="0" w:left="849" w:header="0" w:footer="0" w:gutter="0"/>
          <w:pgNumType w:start="10"/>
          <w:cols w:space="708"/>
        </w:sectPr>
      </w:pPr>
    </w:p>
    <w:p>
      <w:pPr>
        <w:spacing w:line="11897" w:lineRule="exact"/>
      </w:pPr>
      <w:r>
        <w:rPr>
          <w:position w:val="-237"/>
        </w:rPr>
        <w:drawing>
          <wp:inline distT="0" distB="0" distL="0" distR="0">
            <wp:extent cx="4908550" cy="75547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8550" cy="755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97" w:lineRule="exact"/>
        <w:sectPr>
          <w:headerReference w:type="default" r:id="rId7"/>
          <w:footerReference w:type="default" r:id="rId8"/>
          <w:pgSz w:w="7730" w:h="11910"/>
          <w:pgMar w:top="1" w:right="0" w:bottom="1" w:left="0" w:header="0" w:footer="0" w:gutter="0"/>
          <w:pgNumType w:start="11"/>
          <w:cols w:space="708"/>
        </w:sectPr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sdt>
      <w:sdtPr>
        <w:rPr>
          <w:rFonts w:ascii="Times New Roman" w:eastAsia="Times New Roman" w:hAnsi="Times New Roman" w:cs="Times New Roman"/>
          <w:sz w:val="31"/>
          <w:szCs w:val="31"/>
        </w:rPr>
        <w:id w:val="34893084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89" w:line="188" w:lineRule="auto"/>
            <w:ind w:left="2440"/>
            <w:rPr>
              <w:rFonts w:ascii="Times New Roman" w:eastAsia="Times New Roman" w:hAnsi="Times New Roman" w:cs="Times New Roman"/>
              <w:sz w:val="31"/>
              <w:szCs w:val="31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8"/>
              <w:w w:val="97"/>
              <w:sz w:val="31"/>
              <w:szCs w:val="31"/>
            </w:rPr>
            <w:t>Contents</w:t>
          </w:r>
        </w:p>
        <w:p>
          <w:pPr>
            <w:pStyle w:val="BodyText"/>
            <w:spacing w:line="412" w:lineRule="auto"/>
          </w:pPr>
        </w:p>
        <w:p>
          <w:pPr>
            <w:tabs>
              <w:tab w:val="right" w:leader="dot" w:pos="5780"/>
            </w:tabs>
            <w:spacing w:before="60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General provisions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5780"/>
            </w:tabs>
            <w:spacing w:before="116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2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Terms</w:t>
          </w:r>
          <w:r>
            <w:rPr>
              <w:rFonts w:ascii="Times New Roman" w:eastAsia="Times New Roman" w:hAnsi="Times New Roman" w:cs="Times New Roman"/>
              <w:spacing w:val="2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and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symbols</w:t>
          </w:r>
          <w:r>
            <w:rPr>
              <w:rFonts w:ascii="Times New Roman" w:eastAsia="Times New Roman" w:hAnsi="Times New Roman" w:cs="Times New Roman"/>
              <w:spacing w:val="48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5780"/>
            </w:tabs>
            <w:spacing w:before="173" w:line="188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2.1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Terms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5780"/>
            </w:tabs>
            <w:spacing w:before="84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2.2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Symbols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4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5770"/>
            </w:tabs>
            <w:spacing w:before="126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3    Basic</w:t>
          </w:r>
          <w:r>
            <w:rPr>
              <w:rFonts w:ascii="Times New Roman" w:eastAsia="Times New Roman" w:hAnsi="Times New Roman" w:cs="Times New Roman"/>
              <w:spacing w:val="2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regulation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5775"/>
            </w:tabs>
            <w:spacing w:before="137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Pile</w:t>
          </w:r>
          <w:r>
            <w:rPr>
              <w:rFonts w:ascii="Times New Roman" w:eastAsia="Times New Roman" w:hAnsi="Times New Roman" w:cs="Times New Roman"/>
              <w:spacing w:val="3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foundation</w:t>
          </w:r>
          <w:r>
            <w:rPr>
              <w:rFonts w:ascii="Times New Roman" w:eastAsia="Times New Roman" w:hAnsi="Times New Roman" w:cs="Times New Roman"/>
              <w:spacing w:val="2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desig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ning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spacing w:before="127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4.1     Vertical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bearing</w:t>
          </w:r>
          <w:r>
            <w:rPr>
              <w:rFonts w:ascii="Times New Roman" w:eastAsia="Times New Roman" w:hAnsi="Times New Roman" w:cs="Times New Roman"/>
              <w:spacing w:val="23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capacity  charac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teristic</w:t>
          </w:r>
          <w:r>
            <w:rPr>
              <w:rFonts w:ascii="Times New Roman" w:eastAsia="Times New Roman" w:hAnsi="Times New Roman" w:cs="Times New Roman"/>
              <w:spacing w:val="3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value of</w:t>
          </w:r>
        </w:p>
        <w:p>
          <w:pPr>
            <w:tabs>
              <w:tab w:val="right" w:leader="dot" w:pos="5775"/>
            </w:tabs>
            <w:spacing w:before="137" w:line="192" w:lineRule="auto"/>
            <w:ind w:left="93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single</w:t>
          </w:r>
          <w:r>
            <w:rPr>
              <w:rFonts w:ascii="Times New Roman" w:eastAsia="Times New Roman" w:hAnsi="Times New Roman" w:cs="Times New Roman"/>
              <w:spacing w:val="24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pile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spacing w:before="97" w:line="192" w:lineRule="auto"/>
            <w:ind w:left="39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4.2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Horizontal</w:t>
          </w:r>
          <w:r>
            <w:rPr>
              <w:rFonts w:ascii="Times New Roman" w:eastAsia="Times New Roman" w:hAnsi="Times New Roman" w:cs="Times New Roman"/>
              <w:spacing w:val="3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bearin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g</w:t>
          </w: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capacity  of</w:t>
          </w:r>
          <w:r>
            <w:rPr>
              <w:rFonts w:ascii="Times New Roman" w:eastAsia="Times New Roman" w:hAnsi="Times New Roman" w:cs="Times New Roman"/>
              <w:spacing w:val="-2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single</w:t>
          </w:r>
          <w:r>
            <w:rPr>
              <w:rFonts w:ascii="Times New Roman" w:eastAsia="Times New Roman" w:hAnsi="Times New Roman" w:cs="Times New Roman"/>
              <w:spacing w:val="1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pile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and</w:t>
          </w:r>
        </w:p>
        <w:p>
          <w:pPr>
            <w:tabs>
              <w:tab w:val="right" w:leader="dot" w:pos="5777"/>
            </w:tabs>
            <w:spacing w:before="117" w:line="192" w:lineRule="auto"/>
            <w:ind w:left="93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displacement</w:t>
          </w:r>
          <w:r>
            <w:rPr>
              <w:rFonts w:ascii="Times New Roman" w:eastAsia="Times New Roman" w:hAnsi="Times New Roman" w:cs="Times New Roman"/>
              <w:spacing w:val="4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calculation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5787"/>
            </w:tabs>
            <w:spacing w:before="136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4.3      Strength</w:t>
          </w:r>
          <w:r>
            <w:rPr>
              <w:rFonts w:ascii="Times New Roman" w:eastAsia="Times New Roman" w:hAnsi="Times New Roman" w:cs="Times New Roman"/>
              <w:spacing w:val="30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of pile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shaft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5787"/>
            </w:tabs>
            <w:spacing w:before="108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4.4     Settlement</w:t>
          </w:r>
          <w:r>
            <w:rPr>
              <w:rFonts w:ascii="Times New Roman" w:eastAsia="Times New Roman" w:hAnsi="Times New Roman" w:cs="Times New Roman"/>
              <w:spacing w:val="2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calculation</w:t>
          </w:r>
          <w:r>
            <w:rPr>
              <w:rFonts w:ascii="Times New Roman" w:eastAsia="Times New Roman" w:hAnsi="Times New Roman" w:cs="Times New Roman"/>
              <w:spacing w:val="2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of pi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le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foundation</w:t>
          </w:r>
          <w:r>
            <w:rPr>
              <w:rFonts w:ascii="Times New Roman" w:eastAsia="Times New Roman" w:hAnsi="Times New Roman" w:cs="Times New Roman"/>
              <w:spacing w:val="29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5785"/>
            </w:tabs>
            <w:spacing w:before="126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5</w:t>
          </w: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Construction</w:t>
          </w:r>
          <w:r>
            <w:rPr>
              <w:rFonts w:ascii="Times New Roman" w:eastAsia="Times New Roman" w:hAnsi="Times New Roman" w:cs="Times New Roman"/>
              <w:spacing w:val="30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of</w:t>
          </w:r>
          <w:r>
            <w:rPr>
              <w:rFonts w:ascii="Times New Roman" w:eastAsia="Times New Roman" w:hAnsi="Times New Roman" w:cs="Times New Roman"/>
              <w:spacing w:val="-3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pile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foundati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on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5775"/>
            </w:tabs>
            <w:spacing w:before="139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5.1     General</w:t>
          </w:r>
          <w:r>
            <w:rPr>
              <w:rFonts w:ascii="Times New Roman" w:eastAsia="Times New Roman" w:hAnsi="Times New Roman" w:cs="Times New Roman"/>
              <w:spacing w:val="3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21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5785"/>
            </w:tabs>
            <w:spacing w:before="125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5.2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Construction</w:t>
          </w:r>
          <w:r>
            <w:rPr>
              <w:rFonts w:ascii="Times New Roman" w:eastAsia="Times New Roman" w:hAnsi="Times New Roman" w:cs="Times New Roman"/>
              <w:spacing w:val="2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preparation   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0</w:t>
            </w:r>
          </w:hyperlink>
        </w:p>
        <w:p>
          <w:pPr>
            <w:spacing w:before="61" w:line="192" w:lineRule="auto"/>
            <w:ind w:left="390"/>
            <w:rPr>
              <w:rFonts w:ascii="Times New Roman" w:eastAsia="Times New Roman" w:hAnsi="Times New Roman" w:cs="Times New Roman"/>
              <w:sz w:val="26"/>
              <w:szCs w:val="26"/>
            </w:rPr>
          </w:pP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5.3</w:t>
          </w:r>
          <w:r>
            <w:rPr>
              <w:rFonts w:ascii="Times New Roman" w:eastAsia="Times New Roman" w:hAnsi="Times New Roman" w:cs="Times New Roman"/>
              <w:spacing w:val="6"/>
              <w:sz w:val="26"/>
              <w:szCs w:val="26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Construct</w:t>
          </w:r>
          <w:r>
            <w:rPr>
              <w:rFonts w:ascii="Times New Roman" w:eastAsia="Times New Roman" w:hAnsi="Times New Roman" w:cs="Times New Roman"/>
              <w:spacing w:val="16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cast-in-situ</w:t>
          </w:r>
          <w:r>
            <w:rPr>
              <w:rFonts w:ascii="Times New Roman" w:eastAsia="Times New Roman" w:hAnsi="Times New Roman" w:cs="Times New Roman"/>
              <w:spacing w:val="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piles with</w:t>
          </w:r>
          <w:r>
            <w:rPr>
              <w:rFonts w:ascii="Times New Roman" w:eastAsia="Times New Roman" w:hAnsi="Times New Roman" w:cs="Times New Roman"/>
              <w:spacing w:val="13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expanded</w:t>
          </w:r>
          <w:r>
            <w:rPr>
              <w:rFonts w:ascii="Times New Roman" w:eastAsia="Times New Roman" w:hAnsi="Times New Roman" w:cs="Times New Roman"/>
              <w:spacing w:val="25"/>
              <w:w w:val="101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0"/>
              <w:w w:val="90"/>
              <w:sz w:val="26"/>
              <w:szCs w:val="26"/>
            </w:rPr>
            <w:t>branches</w:t>
          </w:r>
        </w:p>
        <w:p>
          <w:pPr>
            <w:tabs>
              <w:tab w:val="right" w:leader="dot" w:pos="5765"/>
            </w:tabs>
            <w:spacing w:before="117" w:line="192" w:lineRule="auto"/>
            <w:ind w:left="76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and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plates</w:t>
          </w:r>
          <w:r>
            <w:rPr>
              <w:rFonts w:ascii="Times New Roman" w:eastAsia="Times New Roman" w:hAnsi="Times New Roman" w:cs="Times New Roman"/>
              <w:spacing w:val="3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5785"/>
            </w:tabs>
            <w:spacing w:before="126" w:line="19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6    Quarlity</w:t>
          </w:r>
          <w:r>
            <w:rPr>
              <w:rFonts w:ascii="Times New Roman" w:eastAsia="Times New Roman" w:hAnsi="Times New Roman" w:cs="Times New Roman"/>
              <w:spacing w:val="37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examination</w:t>
          </w:r>
          <w:r>
            <w:rPr>
              <w:rFonts w:ascii="Times New Roman" w:eastAsia="Times New Roman" w:hAnsi="Times New Roman" w:cs="Times New Roman"/>
              <w:spacing w:val="1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and</w:t>
          </w:r>
          <w:r>
            <w:rPr>
              <w:rFonts w:ascii="Times New Roman" w:eastAsia="Times New Roman" w:hAnsi="Times New Roman" w:cs="Times New Roman"/>
              <w:spacing w:val="31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test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42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5785"/>
            </w:tabs>
            <w:spacing w:before="87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6.1     Construction</w:t>
          </w:r>
          <w:r>
            <w:rPr>
              <w:rFonts w:ascii="Times New Roman" w:eastAsia="Times New Roman" w:hAnsi="Times New Roman" w:cs="Times New Roman"/>
              <w:spacing w:val="44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quarlity</w:t>
          </w:r>
          <w:r>
            <w:rPr>
              <w:rFonts w:ascii="Times New Roman" w:eastAsia="Times New Roman" w:hAnsi="Times New Roman" w:cs="Times New Roman"/>
              <w:spacing w:val="16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examination 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5785"/>
            </w:tabs>
            <w:spacing w:before="149" w:line="192" w:lineRule="auto"/>
            <w:ind w:left="3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6.2     Pile</w:t>
          </w:r>
          <w:r>
            <w:rPr>
              <w:rFonts w:ascii="Times New Roman" w:eastAsia="Times New Roman" w:hAnsi="Times New Roman" w:cs="Times New Roman"/>
              <w:spacing w:val="31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foundation</w:t>
          </w:r>
          <w:r>
            <w:rPr>
              <w:rFonts w:ascii="Times New Roman" w:eastAsia="Times New Roman" w:hAnsi="Times New Roman" w:cs="Times New Roman"/>
              <w:spacing w:val="26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test</w:t>
          </w:r>
          <w:r>
            <w:rPr>
              <w:rFonts w:ascii="Times New Roman" w:eastAsia="Times New Roman" w:hAnsi="Times New Roman" w:cs="Times New Roman"/>
              <w:spacing w:val="-2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4</w:t>
            </w:r>
          </w:hyperlink>
        </w:p>
        <w:p>
          <w:pPr>
            <w:spacing w:before="79" w:line="192" w:lineRule="auto"/>
            <w:ind w:left="40"/>
            <w:rPr>
              <w:rFonts w:ascii="Times New Roman" w:eastAsia="Times New Roman" w:hAnsi="Times New Roman" w:cs="Times New Roman"/>
              <w:sz w:val="26"/>
              <w:szCs w:val="26"/>
            </w:rPr>
          </w:pP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Appendix</w:t>
          </w:r>
          <w:r>
            <w:rPr>
              <w:rFonts w:ascii="Times New Roman" w:eastAsia="Times New Roman" w:hAnsi="Times New Roman" w:cs="Times New Roman"/>
              <w:spacing w:val="12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A    Diagram  of</w:t>
          </w:r>
          <w:r>
            <w:rPr>
              <w:rFonts w:ascii="Times New Roman" w:eastAsia="Times New Roman" w:hAnsi="Times New Roman" w:cs="Times New Roman"/>
              <w:spacing w:val="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pile</w:t>
          </w:r>
          <w:r>
            <w:rPr>
              <w:rFonts w:ascii="Times New Roman" w:eastAsia="Times New Roman" w:hAnsi="Times New Roman" w:cs="Times New Roman"/>
              <w:spacing w:val="20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with</w:t>
          </w:r>
          <w:r>
            <w:rPr>
              <w:rFonts w:ascii="Times New Roman" w:eastAsia="Times New Roman" w:hAnsi="Times New Roman" w:cs="Times New Roman"/>
              <w:spacing w:val="24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expanded</w:t>
          </w:r>
          <w:r>
            <w:rPr>
              <w:rFonts w:ascii="Times New Roman" w:eastAsia="Times New Roman" w:hAnsi="Times New Roman" w:cs="Times New Roman"/>
              <w:spacing w:val="2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branches</w:t>
          </w:r>
          <w:r>
            <w:rPr>
              <w:rFonts w:ascii="Times New Roman" w:eastAsia="Times New Roman" w:hAnsi="Times New Roman" w:cs="Times New Roman"/>
              <w:spacing w:val="18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w w:val="84"/>
              <w:sz w:val="26"/>
              <w:szCs w:val="26"/>
            </w:rPr>
            <w:t>a</w:t>
          </w:r>
          <w:r>
            <w:rPr>
              <w:rFonts w:ascii="Times New Roman" w:eastAsia="Times New Roman" w:hAnsi="Times New Roman" w:cs="Times New Roman"/>
              <w:spacing w:val="-10"/>
              <w:w w:val="84"/>
              <w:sz w:val="26"/>
              <w:szCs w:val="26"/>
            </w:rPr>
            <w:t>nd</w:t>
          </w:r>
          <w:r>
            <w:rPr>
              <w:rFonts w:ascii="Times New Roman" w:eastAsia="Times New Roman" w:hAnsi="Times New Roman" w:cs="Times New Roman"/>
              <w:spacing w:val="1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0"/>
              <w:w w:val="84"/>
              <w:sz w:val="26"/>
              <w:szCs w:val="26"/>
            </w:rPr>
            <w:t>plates</w:t>
          </w:r>
        </w:p>
        <w:p>
          <w:pPr>
            <w:tabs>
              <w:tab w:val="right" w:leader="dot" w:pos="5775"/>
            </w:tabs>
            <w:spacing w:before="88"/>
            <w:ind w:left="1300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64"/>
              <w:sz w:val="21"/>
              <w:szCs w:val="21"/>
            </w:rPr>
            <w:t xml:space="preserve"> </w:t>
          </w:r>
          <w:hyperlink w:anchor="bookmark33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6</w:t>
            </w:r>
          </w:hyperlink>
        </w:p>
        <w:p>
          <w:pPr>
            <w:spacing w:before="85" w:line="192" w:lineRule="auto"/>
            <w:ind w:left="3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Appendix</w:t>
          </w:r>
          <w:r>
            <w:rPr>
              <w:rFonts w:ascii="Times New Roman" w:eastAsia="Times New Roman" w:hAnsi="Times New Roman" w:cs="Times New Roman"/>
              <w:spacing w:val="40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B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Examining</w:t>
          </w:r>
          <w:r>
            <w:rPr>
              <w:rFonts w:ascii="Times New Roman" w:eastAsia="Times New Roman" w:hAnsi="Times New Roman" w:cs="Times New Roman"/>
              <w:spacing w:val="24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record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of</w:t>
          </w:r>
          <w:r>
            <w:rPr>
              <w:rFonts w:ascii="Times New Roman" w:eastAsia="Times New Roman" w:hAnsi="Times New Roman" w:cs="Times New Roman"/>
              <w:spacing w:val="17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hydraulic</w:t>
          </w:r>
          <w:r>
            <w:rPr>
              <w:rFonts w:ascii="Times New Roman" w:eastAsia="Times New Roman" w:hAnsi="Times New Roman" w:cs="Times New Roman"/>
              <w:spacing w:val="3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device</w:t>
          </w:r>
          <w:r>
            <w:rPr>
              <w:rFonts w:ascii="Times New Roman" w:eastAsia="Times New Roman" w:hAnsi="Times New Roman" w:cs="Times New Roman"/>
              <w:spacing w:val="-1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performance</w:t>
          </w:r>
        </w:p>
        <w:p>
          <w:pPr>
            <w:tabs>
              <w:tab w:val="right" w:leader="dot" w:pos="5785"/>
            </w:tabs>
            <w:spacing w:before="79"/>
            <w:ind w:left="1300"/>
            <w:rPr>
              <w:rFonts w:ascii="SimSun" w:eastAsia="SimSun" w:hAnsi="SimSun" w:cs="SimSun"/>
              <w:sz w:val="21"/>
              <w:szCs w:val="21"/>
            </w:rPr>
            <w:sectPr>
              <w:headerReference w:type="default" r:id="rId9"/>
              <w:footerReference w:type="default" r:id="rId10"/>
              <w:pgSz w:w="7730" w:h="11910"/>
              <w:pgMar w:top="400" w:right="1082" w:bottom="400" w:left="859" w:header="0" w:footer="0" w:gutter="0"/>
              <w:pgNumType w:start="12"/>
              <w:cols w:space="708"/>
            </w:sectPr>
          </w:pP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74"/>
              <w:sz w:val="21"/>
              <w:szCs w:val="21"/>
            </w:rPr>
            <w:t xml:space="preserve"> </w:t>
          </w:r>
          <w:hyperlink w:anchor="bookmark34" w:history="1"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17</w:t>
            </w:r>
          </w:hyperlink>
        </w:p>
      </w:sdtContent>
    </w:sdt>
    <w:sdt>
      <w:sdtPr>
        <w:rPr>
          <w:rFonts w:ascii="Times New Roman" w:eastAsia="Times New Roman" w:hAnsi="Times New Roman" w:cs="Times New Roman"/>
          <w:sz w:val="31"/>
          <w:szCs w:val="31"/>
        </w:rPr>
        <w:id w:val="199347397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30" w:line="192" w:lineRule="auto"/>
            <w:ind w:left="30"/>
            <w:rPr>
              <w:rFonts w:ascii="Times New Roman" w:eastAsia="Times New Roman" w:hAnsi="Times New Roman" w:cs="Times New Roman"/>
              <w:sz w:val="26"/>
              <w:szCs w:val="26"/>
            </w:rPr>
          </w:pPr>
          <w:r>
            <w:rPr>
              <w:rFonts w:ascii="Times New Roman" w:eastAsia="Times New Roman" w:hAnsi="Times New Roman" w:cs="Times New Roman"/>
              <w:spacing w:val="-11"/>
              <w:w w:val="87"/>
              <w:sz w:val="26"/>
              <w:szCs w:val="26"/>
            </w:rPr>
            <w:t>Appendix</w:t>
          </w:r>
          <w:r>
            <w:rPr>
              <w:rFonts w:ascii="Times New Roman" w:eastAsia="Times New Roman" w:hAnsi="Times New Roman" w:cs="Times New Roman"/>
              <w:spacing w:val="13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1"/>
              <w:w w:val="87"/>
              <w:sz w:val="26"/>
              <w:szCs w:val="26"/>
            </w:rPr>
            <w:t>C    Construction  record</w:t>
          </w:r>
          <w:r>
            <w:rPr>
              <w:rFonts w:ascii="Times New Roman" w:eastAsia="Times New Roman" w:hAnsi="Times New Roman" w:cs="Times New Roman"/>
              <w:spacing w:val="1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1"/>
              <w:w w:val="87"/>
              <w:sz w:val="26"/>
              <w:szCs w:val="26"/>
            </w:rPr>
            <w:t>of pile with  expanded</w:t>
          </w:r>
          <w:r>
            <w:rPr>
              <w:rFonts w:ascii="Times New Roman" w:eastAsia="Times New Roman" w:hAnsi="Times New Roman" w:cs="Times New Roman"/>
              <w:spacing w:val="5"/>
              <w:sz w:val="26"/>
              <w:szCs w:val="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1"/>
              <w:w w:val="87"/>
              <w:sz w:val="26"/>
              <w:szCs w:val="26"/>
            </w:rPr>
            <w:t>bran</w:t>
          </w:r>
          <w:r>
            <w:rPr>
              <w:rFonts w:ascii="Times New Roman" w:eastAsia="Times New Roman" w:hAnsi="Times New Roman" w:cs="Times New Roman"/>
              <w:spacing w:val="-12"/>
              <w:w w:val="87"/>
              <w:sz w:val="26"/>
              <w:szCs w:val="26"/>
            </w:rPr>
            <w:t>ches</w:t>
          </w:r>
        </w:p>
        <w:p>
          <w:pPr>
            <w:tabs>
              <w:tab w:val="right" w:leader="dot" w:pos="5765"/>
            </w:tabs>
            <w:spacing w:before="106" w:line="192" w:lineRule="auto"/>
            <w:ind w:left="12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and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plates</w:t>
          </w:r>
          <w:r>
            <w:rPr>
              <w:rFonts w:ascii="Times New Roman" w:eastAsia="Times New Roman" w:hAnsi="Times New Roman" w:cs="Times New Roman"/>
              <w:spacing w:val="4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18</w:t>
            </w:r>
          </w:hyperlink>
        </w:p>
      </w:sdtContent>
    </w:sdt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7730" w:h="11910"/>
          <w:pgMar w:top="400" w:right="1082" w:bottom="400" w:left="859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40741295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5725"/>
            </w:tabs>
            <w:spacing w:before="58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bookmarkStart w:id="1" w:name="bookmark10"/>
          <w:bookmarkEnd w:id="1"/>
          <w:bookmarkStart w:id="2" w:name="bookmark11"/>
          <w:bookmarkEnd w:id="2"/>
          <w:bookmarkStart w:id="3" w:name="bookmark26"/>
          <w:bookmarkEnd w:id="3"/>
          <w:bookmarkStart w:id="4" w:name="bookmark27"/>
          <w:bookmarkEnd w:id="4"/>
          <w:r>
            <w:rPr>
              <w:rFonts w:ascii="Times New Roman" w:eastAsia="Times New Roman" w:hAnsi="Times New Roman" w:cs="Times New Roman"/>
              <w:sz w:val="20"/>
              <w:szCs w:val="20"/>
            </w:rPr>
            <w:t>List</w:t>
          </w:r>
          <w:r>
            <w:rPr>
              <w:rFonts w:ascii="Times New Roman" w:eastAsia="Times New Roman" w:hAnsi="Times New Roman" w:cs="Times New Roman"/>
              <w:spacing w:val="23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of reference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stan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dards</w:t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19</w:t>
            </w:r>
          </w:hyperlink>
        </w:p>
        <w:p>
          <w:pPr>
            <w:tabs>
              <w:tab w:val="right" w:leader="dot" w:pos="5705"/>
            </w:tabs>
            <w:spacing w:before="115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Explanation</w:t>
          </w:r>
          <w:r>
            <w:rPr>
              <w:rFonts w:ascii="Times New Roman" w:eastAsia="Times New Roman" w:hAnsi="Times New Roman" w:cs="Times New Roman"/>
              <w:spacing w:val="2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of</w:t>
          </w:r>
          <w:r>
            <w:rPr>
              <w:rFonts w:ascii="Times New Roman" w:eastAsia="Times New Roman" w:hAnsi="Times New Roman" w:cs="Times New Roman"/>
              <w:spacing w:val="-1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wording in</w:t>
          </w:r>
          <w:r>
            <w:rPr>
              <w:rFonts w:ascii="Times New Roman" w:eastAsia="Times New Roman" w:hAnsi="Times New Roman" w:cs="Times New Roman"/>
              <w:spacing w:val="4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thi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s</w:t>
          </w:r>
          <w:r>
            <w:rPr>
              <w:rFonts w:ascii="Times New Roman" w:eastAsia="Times New Roman" w:hAnsi="Times New Roman" w:cs="Times New Roman"/>
              <w:spacing w:val="23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code</w:t>
          </w:r>
          <w:r>
            <w:rPr>
              <w:rFonts w:ascii="Times New Roman" w:eastAsia="Times New Roman" w:hAnsi="Times New Roman" w:cs="Times New Roman"/>
              <w:spacing w:val="13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20</w:t>
            </w:r>
          </w:hyperlink>
        </w:p>
        <w:p>
          <w:pPr>
            <w:tabs>
              <w:tab w:val="right" w:leader="dot" w:pos="5745"/>
            </w:tabs>
            <w:spacing w:before="12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Explanation</w:t>
          </w:r>
          <w:r>
            <w:rPr>
              <w:rFonts w:ascii="Times New Roman" w:eastAsia="Times New Roman" w:hAnsi="Times New Roman" w:cs="Times New Roman"/>
              <w:spacing w:val="1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of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articles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3"/>
              <w:w w:val="101"/>
              <w:sz w:val="20"/>
              <w:szCs w:val="20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21</w:t>
            </w:r>
          </w:hyperlink>
        </w:p>
      </w:sdtContent>
    </w:sdt>
    <w:p>
      <w:pPr>
        <w:spacing w:line="192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3"/>
          <w:footerReference w:type="default" r:id="rId14"/>
          <w:pgSz w:w="7840" w:h="11980"/>
          <w:pgMar w:top="400" w:right="1044" w:bottom="400" w:left="1050" w:header="0" w:footer="0" w:gutter="0"/>
          <w:pgNumType w:start="14"/>
          <w:cols w:space="708"/>
        </w:sectPr>
      </w:pP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spacing w:before="81" w:line="222" w:lineRule="auto"/>
        <w:ind w:left="2263"/>
        <w:rPr>
          <w:rFonts w:ascii="SimHei" w:eastAsia="SimHei" w:hAnsi="SimHei" w:cs="SimHei"/>
          <w:sz w:val="25"/>
          <w:szCs w:val="25"/>
        </w:rPr>
      </w:pPr>
      <w:bookmarkStart w:id="5" w:name="bookmark12"/>
      <w:bookmarkEnd w:id="5"/>
      <w:bookmarkStart w:id="6" w:name="bookmark28"/>
      <w:bookmarkEnd w:id="6"/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1</w:t>
      </w:r>
      <w:r>
        <w:rPr>
          <w:rFonts w:ascii="SimHei" w:eastAsia="SimHei" w:hAnsi="SimHei" w:cs="SimHei"/>
          <w:spacing w:val="24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总</w:t>
      </w:r>
      <w:r>
        <w:rPr>
          <w:rFonts w:ascii="SimHei" w:eastAsia="SimHei" w:hAnsi="SimHei" w:cs="SimHei"/>
          <w:spacing w:val="33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则</w:t>
      </w:r>
    </w:p>
    <w:p>
      <w:pPr>
        <w:pStyle w:val="BodyText"/>
        <w:spacing w:line="374" w:lineRule="auto"/>
      </w:pPr>
    </w:p>
    <w:p>
      <w:pPr>
        <w:spacing w:before="65" w:line="266" w:lineRule="auto"/>
        <w:ind w:right="40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1.0.1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为了贯彻执行国家的技术经济政策，使挤扩灌注</w:t>
      </w:r>
      <w:r>
        <w:rPr>
          <w:rFonts w:ascii="SimSun" w:eastAsia="SimSun" w:hAnsi="SimSun" w:cs="SimSun"/>
          <w:spacing w:val="7"/>
          <w:sz w:val="20"/>
          <w:szCs w:val="20"/>
        </w:rPr>
        <w:t>桩安全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适用、经济合理、确保质量、保护环境，制定本规程。</w:t>
      </w:r>
    </w:p>
    <w:p>
      <w:pPr>
        <w:pStyle w:val="BodyText"/>
        <w:spacing w:before="62" w:line="267" w:lineRule="auto"/>
        <w:ind w:right="18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15"/>
          <w:sz w:val="20"/>
          <w:szCs w:val="20"/>
        </w:rPr>
        <w:t xml:space="preserve">1.0.2    </w:t>
      </w:r>
      <w:r>
        <w:rPr>
          <w:rFonts w:ascii="SimSun" w:eastAsia="SimSun" w:hAnsi="SimSun" w:cs="SimSun"/>
          <w:spacing w:val="15"/>
          <w:sz w:val="20"/>
          <w:szCs w:val="20"/>
        </w:rPr>
        <w:t>本规程适用于天津市工业与民用建(构)筑物的挤扩灌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注桩设计、施工、检查与检测。</w:t>
      </w:r>
    </w:p>
    <w:p>
      <w:pPr>
        <w:pStyle w:val="BodyText"/>
        <w:spacing w:before="72" w:line="274" w:lineRule="auto"/>
        <w:ind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1.0.3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挤扩灌注桩的设计与施工，应综合考虑地质条件、荷载特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征、施工技术条件与环境、检测条件等因素，精心设计，精心施工。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</w:rPr>
        <w:t xml:space="preserve">1.0.4     </w:t>
      </w:r>
      <w:r>
        <w:rPr>
          <w:rFonts w:ascii="SimSun" w:eastAsia="SimSun" w:hAnsi="SimSun" w:cs="SimSun"/>
          <w:spacing w:val="7"/>
          <w:sz w:val="20"/>
          <w:szCs w:val="20"/>
        </w:rPr>
        <w:t>本规程未作规定的其它内容，尚应符合现行国</w:t>
      </w:r>
      <w:r>
        <w:rPr>
          <w:rFonts w:ascii="SimSun" w:eastAsia="SimSun" w:hAnsi="SimSun" w:cs="SimSun"/>
          <w:spacing w:val="6"/>
          <w:sz w:val="20"/>
          <w:szCs w:val="20"/>
        </w:rPr>
        <w:t>家和天津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市标准，特别是相同条件下常规灌注桩的有关规定。</w:t>
      </w:r>
    </w:p>
    <w:p>
      <w:pPr>
        <w:spacing w:line="27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5"/>
          <w:footerReference w:type="default" r:id="rId16"/>
          <w:pgSz w:w="7730" w:h="11910"/>
          <w:pgMar w:top="400" w:right="1059" w:bottom="400" w:left="870" w:header="0" w:footer="0" w:gutter="0"/>
          <w:pgNumType w:start="15"/>
          <w:cols w:space="708"/>
        </w:sectPr>
      </w:pPr>
    </w:p>
    <w:p>
      <w:pPr>
        <w:pStyle w:val="BodyText"/>
        <w:spacing w:line="318" w:lineRule="auto"/>
      </w:pPr>
    </w:p>
    <w:p>
      <w:pPr>
        <w:pStyle w:val="BodyText"/>
        <w:spacing w:line="318" w:lineRule="auto"/>
      </w:pPr>
    </w:p>
    <w:p>
      <w:pPr>
        <w:pStyle w:val="BodyText"/>
        <w:spacing w:line="318" w:lineRule="auto"/>
      </w:pPr>
    </w:p>
    <w:p>
      <w:pPr>
        <w:spacing w:before="85" w:line="222" w:lineRule="auto"/>
        <w:ind w:left="197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2</w:t>
      </w:r>
      <w:r>
        <w:rPr>
          <w:rFonts w:ascii="SimHei" w:eastAsia="SimHei" w:hAnsi="SimHei" w:cs="SimHei"/>
          <w:spacing w:val="24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术语和符号</w:t>
      </w:r>
    </w:p>
    <w:p>
      <w:pPr>
        <w:pStyle w:val="BodyText"/>
        <w:spacing w:line="377" w:lineRule="auto"/>
      </w:pPr>
    </w:p>
    <w:p>
      <w:pPr>
        <w:spacing w:before="68" w:line="222" w:lineRule="auto"/>
        <w:ind w:left="231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2.1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术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语</w:t>
      </w:r>
    </w:p>
    <w:p>
      <w:pPr>
        <w:pStyle w:val="BodyText"/>
        <w:spacing w:line="276" w:lineRule="auto"/>
      </w:pPr>
    </w:p>
    <w:p>
      <w:pPr>
        <w:spacing w:before="68" w:line="21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3"/>
          <w:sz w:val="21"/>
          <w:szCs w:val="21"/>
        </w:rPr>
        <w:t>2.1.1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挤扩灌注桩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cast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sz w:val="21"/>
          <w:szCs w:val="21"/>
        </w:rPr>
        <w:t>situ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pile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expanded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branches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</w:p>
    <w:p>
      <w:pPr>
        <w:spacing w:before="14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plates</w:t>
      </w:r>
    </w:p>
    <w:p>
      <w:pPr>
        <w:spacing w:before="68" w:line="261" w:lineRule="auto"/>
        <w:ind w:firstLine="43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挤扩灌注桩是在等直径钻孔中下入挤扩设备，</w:t>
      </w:r>
      <w:r>
        <w:rPr>
          <w:rFonts w:ascii="SimSun" w:eastAsia="SimSun" w:hAnsi="SimSun" w:cs="SimSun"/>
          <w:spacing w:val="-5"/>
          <w:sz w:val="21"/>
          <w:szCs w:val="21"/>
        </w:rPr>
        <w:t>在桩身不同部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位挤压出岔腔或近似圆锥盘状的扩大腔体后，放入钢筋笼和灌注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混凝土，形成由桩身、扩径体和桩根共同承载的灌注桩。(参见附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录</w:t>
      </w:r>
      <w:r>
        <w:rPr>
          <w:rFonts w:ascii="SimSun" w:eastAsia="SimSun" w:hAnsi="SimSun" w:cs="SimSun"/>
          <w:spacing w:val="-5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A)</w:t>
      </w:r>
    </w:p>
    <w:p>
      <w:pPr>
        <w:pStyle w:val="BodyText"/>
        <w:spacing w:before="59" w:line="256" w:lineRule="auto"/>
        <w:ind w:left="439" w:right="2050" w:hanging="439"/>
        <w:rPr>
          <w:rFonts w:ascii="SimSun" w:eastAsia="SimSun" w:hAnsi="SimSun" w:cs="SimSun"/>
        </w:rPr>
      </w:pPr>
      <w:r>
        <w:rPr>
          <w:b/>
          <w:bCs/>
          <w:spacing w:val="-1"/>
        </w:rPr>
        <w:t xml:space="preserve">2.1.2     </w:t>
      </w:r>
      <w:r>
        <w:rPr>
          <w:rFonts w:ascii="SimSun" w:eastAsia="SimSun" w:hAnsi="SimSun" w:cs="SimSun"/>
          <w:spacing w:val="-1"/>
        </w:rPr>
        <w:t>挤扩灌注桩桩身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tube-</w:t>
      </w:r>
      <w:r>
        <w:rPr>
          <w:rFonts w:ascii="Times New Roman" w:eastAsia="Times New Roman" w:hAnsi="Times New Roman" w:cs="Times New Roman"/>
          <w:spacing w:val="-2"/>
        </w:rPr>
        <w:t>shaped body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SimSun" w:eastAsia="SimSun" w:hAnsi="SimSun" w:cs="SimSun"/>
          <w:spacing w:val="-3"/>
        </w:rPr>
        <w:t>挤扩灌注桩的等直径部分。</w:t>
      </w:r>
    </w:p>
    <w:p>
      <w:pPr>
        <w:spacing w:before="47" w:line="252" w:lineRule="auto"/>
        <w:ind w:left="439" w:right="3079" w:hanging="4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2.1.3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扩径体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expanded bod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y </w:t>
      </w:r>
      <w:r>
        <w:rPr>
          <w:rFonts w:ascii="SimSun" w:eastAsia="SimSun" w:hAnsi="SimSun" w:cs="SimSun"/>
          <w:spacing w:val="-4"/>
          <w:sz w:val="21"/>
          <w:szCs w:val="21"/>
        </w:rPr>
        <w:t>承力岔和承力盘的统称。</w:t>
      </w:r>
    </w:p>
    <w:p>
      <w:pPr>
        <w:spacing w:before="66" w:line="21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2.1.4</w:t>
      </w:r>
      <w:r>
        <w:rPr>
          <w:rFonts w:ascii="SimSun" w:eastAsia="SimSun" w:hAnsi="SimSun" w:cs="SimSun"/>
          <w:spacing w:val="3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承力岔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branches bearing</w:t>
      </w:r>
    </w:p>
    <w:p>
      <w:pPr>
        <w:spacing w:before="64" w:line="250" w:lineRule="auto"/>
        <w:ind w:right="3" w:firstLine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挤扩装置每挤扩一次所形成的具有一定宽度的岔腔体，腔内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灌注混凝土后形成桩受力的一部分称为承力岔。</w:t>
      </w:r>
    </w:p>
    <w:p>
      <w:pPr>
        <w:spacing w:before="46" w:line="21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1"/>
          <w:sz w:val="21"/>
          <w:szCs w:val="21"/>
        </w:rPr>
        <w:t>2.1.5</w:t>
      </w:r>
      <w:r>
        <w:rPr>
          <w:rFonts w:ascii="SimSun" w:eastAsia="SimSun" w:hAnsi="SimSun" w:cs="SimSun"/>
          <w:spacing w:val="9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承力盘</w:t>
      </w:r>
      <w:r>
        <w:rPr>
          <w:rFonts w:ascii="SimSun" w:eastAsia="SimSun" w:hAnsi="SimSun" w:cs="SimSun"/>
          <w:spacing w:val="-5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plates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bearing</w:t>
      </w:r>
    </w:p>
    <w:p>
      <w:pPr>
        <w:spacing w:before="82" w:line="261" w:lineRule="auto"/>
        <w:ind w:right="20" w:firstLine="43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挤扩装置在桩体同一标高位置进行若干次挤扩而形成一近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似圆锥盘状腔体，盘腔内灌注混凝土后形成桩受力的一部分称为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承力盘</w:t>
      </w:r>
    </w:p>
    <w:p>
      <w:pPr>
        <w:spacing w:before="47" w:line="21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2.1.6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桩根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pile's root</w:t>
      </w:r>
    </w:p>
    <w:p>
      <w:pPr>
        <w:spacing w:before="93" w:line="219" w:lineRule="auto"/>
        <w:ind w:left="439"/>
        <w:rPr>
          <w:rFonts w:ascii="SimSun" w:eastAsia="SimSun" w:hAnsi="SimSun" w:cs="SimSun"/>
          <w:sz w:val="21"/>
          <w:szCs w:val="21"/>
        </w:rPr>
        <w:sectPr>
          <w:headerReference w:type="default" r:id="rId17"/>
          <w:footerReference w:type="default" r:id="rId18"/>
          <w:pgSz w:w="7830" w:h="11970"/>
          <w:pgMar w:top="400" w:right="1018" w:bottom="1188" w:left="1020" w:header="0" w:footer="1049" w:gutter="0"/>
          <w:pgNumType w:start="16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底部承力盘以下至桩端部的桩身部分。</w:t>
      </w:r>
    </w:p>
    <w:p>
      <w:pPr>
        <w:pStyle w:val="BodyText"/>
        <w:spacing w:line="286" w:lineRule="auto"/>
      </w:pPr>
    </w:p>
    <w:p>
      <w:pPr>
        <w:spacing w:before="68" w:line="222" w:lineRule="auto"/>
        <w:ind w:left="234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2.2</w:t>
      </w:r>
      <w:r>
        <w:rPr>
          <w:rFonts w:ascii="SimHei" w:eastAsia="SimHei" w:hAnsi="SimHei" w:cs="SimHei"/>
          <w:spacing w:val="2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符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号</w:t>
      </w:r>
    </w:p>
    <w:p>
      <w:pPr>
        <w:pStyle w:val="BodyText"/>
        <w:spacing w:line="321" w:lineRule="auto"/>
      </w:pPr>
    </w:p>
    <w:p>
      <w:pPr>
        <w:spacing w:before="69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2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桩身设计横截面面积；</w:t>
      </w:r>
    </w:p>
    <w:p>
      <w:pPr>
        <w:spacing w:before="81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A——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扣除桩身截面面积的承力盘(岔)投影面积；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9"/>
          <w:footerReference w:type="default" r:id="rId20"/>
          <w:type w:val="nextPage"/>
          <w:pgSz w:w="7830" w:h="11970"/>
          <w:pgMar w:top="400" w:right="1018" w:bottom="1188" w:left="1020" w:header="0" w:footer="1049" w:gutter="0"/>
          <w:pgNumType w:start="17"/>
          <w:cols w:space="708"/>
          <w:titlePg w:val="0"/>
        </w:sectPr>
      </w:pP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65" w:line="219" w:lineRule="auto"/>
        <w:ind w:left="110"/>
        <w:rPr>
          <w:rFonts w:ascii="SimSun" w:eastAsia="SimSun" w:hAnsi="SimSun" w:cs="SimSun"/>
          <w:sz w:val="20"/>
          <w:szCs w:val="20"/>
        </w:rPr>
      </w:pPr>
      <w:bookmarkStart w:id="7" w:name="bookmark13"/>
      <w:bookmarkEnd w:id="7"/>
      <w:bookmarkStart w:id="8" w:name="bookmark29"/>
      <w:bookmarkEnd w:id="8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2"/>
          <w:sz w:val="20"/>
          <w:szCs w:val="20"/>
        </w:rPr>
        <w:t>——</w:t>
      </w:r>
      <w:r>
        <w:rPr>
          <w:rFonts w:ascii="SimSun" w:eastAsia="SimSun" w:hAnsi="SimSun" w:cs="SimSun"/>
          <w:spacing w:val="-7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承力岔宽度；</w:t>
      </w:r>
    </w:p>
    <w:p>
      <w:pPr>
        <w:spacing w:before="62" w:line="320" w:lineRule="exact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position w:val="8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0"/>
          <w:w w:val="101"/>
          <w:position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6"/>
          <w:position w:val="8"/>
          <w:sz w:val="20"/>
          <w:szCs w:val="20"/>
        </w:rPr>
        <w:t>——</w:t>
      </w:r>
      <w:r>
        <w:rPr>
          <w:rFonts w:ascii="SimSun" w:eastAsia="SimSun" w:hAnsi="SimSun" w:cs="SimSun"/>
          <w:spacing w:val="6"/>
          <w:position w:val="8"/>
          <w:sz w:val="20"/>
          <w:szCs w:val="20"/>
        </w:rPr>
        <w:t>承力盘(岔)外沿厚度；</w:t>
      </w:r>
    </w:p>
    <w:p>
      <w:pPr>
        <w:spacing w:line="219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——</w:t>
      </w:r>
      <w:r>
        <w:rPr>
          <w:rFonts w:ascii="SimSun" w:eastAsia="SimSun" w:hAnsi="SimSun" w:cs="SimSun"/>
          <w:spacing w:val="-5"/>
          <w:sz w:val="20"/>
          <w:szCs w:val="20"/>
        </w:rPr>
        <w:t>桩身直径：</w:t>
      </w:r>
    </w:p>
    <w:p>
      <w:pPr>
        <w:spacing w:before="82" w:line="219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——</w:t>
      </w:r>
      <w:r>
        <w:rPr>
          <w:rFonts w:ascii="SimSun" w:eastAsia="SimSun" w:hAnsi="SimSun" w:cs="SimSun"/>
          <w:spacing w:val="4"/>
          <w:sz w:val="20"/>
          <w:szCs w:val="20"/>
        </w:rPr>
        <w:t>承力盘(岔)直径；</w:t>
      </w:r>
    </w:p>
    <w:p>
      <w:pPr>
        <w:spacing w:before="62" w:line="320" w:lineRule="exact"/>
        <w:ind w:left="8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>f:——</w:t>
      </w: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4"/>
          <w:position w:val="8"/>
          <w:sz w:val="20"/>
          <w:szCs w:val="20"/>
        </w:rPr>
        <w:t>混凝土轴心抗压强度设计值；</w:t>
      </w:r>
    </w:p>
    <w:p>
      <w:pPr>
        <w:spacing w:line="219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h   ——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承力盘(岔)的高度；</w:t>
      </w:r>
    </w:p>
    <w:p>
      <w:pPr>
        <w:spacing w:before="83" w:line="317" w:lineRule="exact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7"/>
          <w:position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>——</w:t>
      </w:r>
      <w:r>
        <w:rPr>
          <w:rFonts w:ascii="SimSun" w:eastAsia="SimSun" w:hAnsi="SimSun" w:cs="SimSun"/>
          <w:spacing w:val="2"/>
          <w:position w:val="8"/>
          <w:sz w:val="20"/>
          <w:szCs w:val="20"/>
        </w:rPr>
        <w:t>扩径体间净距；</w:t>
      </w:r>
    </w:p>
    <w:p>
      <w:pPr>
        <w:spacing w:line="212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L,——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桩根长度；</w:t>
      </w:r>
    </w:p>
    <w:p>
      <w:pPr>
        <w:spacing w:before="73" w:line="320" w:lineRule="exact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position w:val="8"/>
          <w:sz w:val="20"/>
          <w:szCs w:val="20"/>
        </w:rPr>
        <w:t>L;—— 折减后桩周第i</w:t>
      </w:r>
      <w:r>
        <w:rPr>
          <w:rFonts w:ascii="SimSun" w:eastAsia="SimSun" w:hAnsi="SimSun" w:cs="SimSun"/>
          <w:spacing w:val="-59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8"/>
          <w:sz w:val="20"/>
          <w:szCs w:val="20"/>
        </w:rPr>
        <w:t>层土厚度；</w:t>
      </w:r>
    </w:p>
    <w:p>
      <w:pPr>
        <w:spacing w:before="1" w:line="219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R₈——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单桩竖向承载力特征值；</w:t>
      </w:r>
    </w:p>
    <w:p>
      <w:pPr>
        <w:spacing w:before="82" w:line="219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R——   </w:t>
      </w:r>
      <w:r>
        <w:rPr>
          <w:rFonts w:ascii="SimSun" w:eastAsia="SimSun" w:hAnsi="SimSun" w:cs="SimSun"/>
          <w:spacing w:val="5"/>
          <w:sz w:val="20"/>
          <w:szCs w:val="20"/>
        </w:rPr>
        <w:t>单桩水平承载力特征值；</w:t>
      </w:r>
    </w:p>
    <w:p>
      <w:pPr>
        <w:spacing w:before="70" w:line="212" w:lineRule="auto"/>
        <w:ind w:left="1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u,——   </w:t>
      </w:r>
      <w:r>
        <w:rPr>
          <w:rFonts w:ascii="SimSun" w:eastAsia="SimSun" w:hAnsi="SimSun" w:cs="SimSun"/>
          <w:sz w:val="20"/>
          <w:szCs w:val="20"/>
        </w:rPr>
        <w:t>桩身周长。</w:t>
      </w:r>
    </w:p>
    <w:p>
      <w:pPr>
        <w:spacing w:line="212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1"/>
          <w:footerReference w:type="default" r:id="rId22"/>
          <w:pgSz w:w="7730" w:h="11910"/>
          <w:pgMar w:top="400" w:right="1138" w:bottom="1198" w:left="1159" w:header="0" w:footer="1059" w:gutter="0"/>
          <w:pgNumType w:start="18"/>
          <w:cols w:space="708"/>
        </w:sectPr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81" w:line="223" w:lineRule="auto"/>
        <w:ind w:left="213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4"/>
          <w:sz w:val="25"/>
          <w:szCs w:val="25"/>
        </w:rPr>
        <w:t>3</w:t>
      </w:r>
      <w:r>
        <w:rPr>
          <w:rFonts w:ascii="SimHei" w:eastAsia="SimHei" w:hAnsi="SimHei" w:cs="SimHei"/>
          <w:spacing w:val="33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25"/>
          <w:szCs w:val="25"/>
        </w:rPr>
        <w:t>基本规定</w:t>
      </w:r>
    </w:p>
    <w:p>
      <w:pPr>
        <w:pStyle w:val="BodyText"/>
        <w:spacing w:line="381" w:lineRule="auto"/>
      </w:pPr>
    </w:p>
    <w:p>
      <w:pPr>
        <w:spacing w:before="62" w:line="284" w:lineRule="auto"/>
        <w:ind w:left="2" w:right="67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3.0.1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 </w:t>
      </w: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挤扩灌注桩适用于桩身范围内分布</w:t>
      </w:r>
      <w:r>
        <w:rPr>
          <w:rFonts w:ascii="SimHei" w:eastAsia="SimHei" w:hAnsi="SimHei" w:cs="SimHei"/>
          <w:b/>
          <w:bCs/>
          <w:spacing w:val="12"/>
          <w:sz w:val="19"/>
          <w:szCs w:val="19"/>
        </w:rPr>
        <w:t>有承载能力较高可作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20"/>
          <w:sz w:val="19"/>
          <w:szCs w:val="19"/>
        </w:rPr>
        <w:t>为承力盘(岔)持力层的较硬土层的场地。可液</w:t>
      </w:r>
      <w:r>
        <w:rPr>
          <w:rFonts w:ascii="SimHei" w:eastAsia="SimHei" w:hAnsi="SimHei" w:cs="SimHei"/>
          <w:b/>
          <w:bCs/>
          <w:spacing w:val="19"/>
          <w:sz w:val="19"/>
          <w:szCs w:val="19"/>
        </w:rPr>
        <w:t>化土层不得作为</w:t>
      </w:r>
      <w:r>
        <w:rPr>
          <w:rFonts w:ascii="SimHei" w:eastAsia="SimHei" w:hAnsi="SimHei" w:cs="SimHei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20"/>
          <w:sz w:val="19"/>
          <w:szCs w:val="19"/>
        </w:rPr>
        <w:t>承力盘(岔)的持力层；当淤泥及淤泥质土深厚并在桩</w:t>
      </w:r>
      <w:r>
        <w:rPr>
          <w:rFonts w:ascii="SimHei" w:eastAsia="SimHei" w:hAnsi="SimHei" w:cs="SimHei"/>
          <w:b/>
          <w:bCs/>
          <w:spacing w:val="19"/>
          <w:sz w:val="19"/>
          <w:szCs w:val="19"/>
        </w:rPr>
        <w:t>长范围内</w:t>
      </w:r>
      <w:r>
        <w:rPr>
          <w:rFonts w:ascii="SimHei" w:eastAsia="SimHei" w:hAnsi="SimHei" w:cs="SimHei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19"/>
          <w:szCs w:val="19"/>
        </w:rPr>
        <w:t>无可设置承力盘(岔)的较硬土层时，不应采用挤扩灌注桩</w:t>
      </w:r>
      <w:r>
        <w:rPr>
          <w:rFonts w:ascii="SimHei" w:eastAsia="SimHei" w:hAnsi="SimHei" w:cs="SimHei"/>
          <w:spacing w:val="15"/>
          <w:sz w:val="19"/>
          <w:szCs w:val="19"/>
        </w:rPr>
        <w:t>。</w:t>
      </w:r>
    </w:p>
    <w:p>
      <w:pPr>
        <w:spacing w:before="72" w:line="276" w:lineRule="auto"/>
        <w:ind w:right="32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3.0.2</w:t>
      </w:r>
      <w:r>
        <w:rPr>
          <w:rFonts w:ascii="SimSun" w:eastAsia="SimSun" w:hAnsi="SimSun" w:cs="SimSun"/>
          <w:spacing w:val="46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6"/>
          <w:sz w:val="19"/>
          <w:szCs w:val="19"/>
        </w:rPr>
        <w:t>挤扩灌注桩除满足桩基工程的勘察要求外，尚</w:t>
      </w:r>
      <w:r>
        <w:rPr>
          <w:rFonts w:ascii="SimSun" w:eastAsia="SimSun" w:hAnsi="SimSun" w:cs="SimSun"/>
          <w:spacing w:val="15"/>
          <w:sz w:val="19"/>
          <w:szCs w:val="19"/>
        </w:rPr>
        <w:t>应符合下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列规定：</w:t>
      </w:r>
    </w:p>
    <w:p>
      <w:pPr>
        <w:spacing w:before="80" w:line="285" w:lineRule="auto"/>
        <w:ind w:firstLine="429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6"/>
          <w:sz w:val="19"/>
          <w:szCs w:val="19"/>
        </w:rPr>
        <w:t>1  勘探点的间距应能控制承力盘(岔)持力层顶底板和厚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度的变化，宜不大于20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m; </w:t>
      </w:r>
      <w:r>
        <w:rPr>
          <w:rFonts w:ascii="SimSun" w:eastAsia="SimSun" w:hAnsi="SimSun" w:cs="SimSun"/>
          <w:spacing w:val="17"/>
          <w:sz w:val="19"/>
          <w:szCs w:val="19"/>
        </w:rPr>
        <w:t>每个单位工程勘探点数不宜少于5个；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8"/>
          <w:sz w:val="19"/>
          <w:szCs w:val="19"/>
        </w:rPr>
        <w:t>当相邻勘探点所揭露承力盘(盆)持力层顶板坡度超过10%,钻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孔应适当加密；荷载较大或复杂地基的一柱一桩工</w:t>
      </w:r>
      <w:r>
        <w:rPr>
          <w:rFonts w:ascii="SimSun" w:eastAsia="SimSun" w:hAnsi="SimSun" w:cs="SimSun"/>
          <w:spacing w:val="15"/>
          <w:sz w:val="19"/>
          <w:szCs w:val="19"/>
        </w:rPr>
        <w:t>程应按柱列线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布置勘探点，宜每柱设置一个勘探点。</w:t>
      </w:r>
    </w:p>
    <w:p>
      <w:pPr>
        <w:spacing w:before="104" w:line="281" w:lineRule="auto"/>
        <w:ind w:right="38" w:firstLine="429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2  挤扩灌注桩基础勘察时，应对承力盘(岔)的持力层提供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2"/>
          <w:sz w:val="19"/>
          <w:szCs w:val="19"/>
        </w:rPr>
        <w:t>标准贯入试验击数的标准值。对预计作为承力盘(岔)持力层的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土层应每1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m </w:t>
      </w:r>
      <w:r>
        <w:rPr>
          <w:rFonts w:ascii="SimSun" w:eastAsia="SimSun" w:hAnsi="SimSun" w:cs="SimSun"/>
          <w:spacing w:val="18"/>
          <w:sz w:val="19"/>
          <w:szCs w:val="19"/>
        </w:rPr>
        <w:t>测试一次，每一单体工程的各持力层标准贯入试验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2"/>
          <w:sz w:val="19"/>
          <w:szCs w:val="19"/>
        </w:rPr>
        <w:t>次数不少于6次。</w:t>
      </w:r>
    </w:p>
    <w:p>
      <w:pPr>
        <w:spacing w:before="10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3.0.3  挤扩灌注桩除满足灌注桩的构造要求外，尚应符合下列</w:t>
      </w:r>
    </w:p>
    <w:p>
      <w:pPr>
        <w:spacing w:before="92" w:line="220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9"/>
          <w:sz w:val="19"/>
          <w:szCs w:val="19"/>
        </w:rPr>
        <w:t>规</w:t>
      </w:r>
      <w:r>
        <w:rPr>
          <w:rFonts w:ascii="SimSun" w:eastAsia="SimSun" w:hAnsi="SimSun" w:cs="SimSun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19"/>
          <w:szCs w:val="19"/>
        </w:rPr>
        <w:t>定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19"/>
          <w:szCs w:val="19"/>
        </w:rPr>
        <w:t>：</w:t>
      </w:r>
    </w:p>
    <w:p>
      <w:pPr>
        <w:spacing w:before="63" w:line="281" w:lineRule="auto"/>
        <w:ind w:right="69" w:firstLine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1 桩 身 直 径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32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宜选用(450～1000)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1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承力盘(岔)直径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应根据桩身直径、承载力要求和挤扩装置类别型号确定。</w:t>
      </w:r>
    </w:p>
    <w:p>
      <w:pPr>
        <w:spacing w:before="92" w:line="219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4"/>
          <w:sz w:val="19"/>
          <w:szCs w:val="19"/>
        </w:rPr>
        <w:t>2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14"/>
          <w:sz w:val="19"/>
          <w:szCs w:val="19"/>
        </w:rPr>
        <w:t>承力盘(岔)的设置应符合下列规定：</w:t>
      </w:r>
    </w:p>
    <w:p>
      <w:pPr>
        <w:spacing w:before="97" w:line="219" w:lineRule="auto"/>
        <w:ind w:left="6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38"/>
          <w:sz w:val="19"/>
          <w:szCs w:val="19"/>
        </w:rPr>
        <w:t>1)承力盘(岔)的水平间距(桩的最小中心距)应大于</w:t>
      </w:r>
    </w:p>
    <w:p>
      <w:pPr>
        <w:spacing w:before="51" w:line="212" w:lineRule="auto"/>
        <w:ind w:left="872"/>
        <w:outlineLvl w:val="6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23"/>
          <w:footerReference w:type="default" r:id="rId24"/>
          <w:pgSz w:w="7730" w:h="11910"/>
          <w:pgMar w:top="400" w:right="905" w:bottom="1178" w:left="1000" w:header="0" w:footer="1039" w:gutter="0"/>
          <w:pgNumType w:start="19"/>
          <w:cols w:space="708"/>
        </w:sectPr>
      </w:pPr>
      <w:r>
        <w:rPr>
          <w:rFonts w:ascii="SimSun" w:eastAsia="SimSun" w:hAnsi="SimSun" w:cs="SimSun"/>
          <w:b/>
          <w:bCs/>
          <w:spacing w:val="4"/>
          <w:sz w:val="19"/>
          <w:szCs w:val="19"/>
        </w:rPr>
        <w:t>1.5D,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19"/>
          <w:szCs w:val="19"/>
        </w:rPr>
        <w:t>且不小于4</w:t>
      </w:r>
      <w:r>
        <w:rPr>
          <w:rFonts w:ascii="SimSun" w:eastAsia="SimSun" w:hAnsi="SimSun" w:cs="SimSun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19"/>
          <w:szCs w:val="19"/>
        </w:rPr>
        <w:t>.0</w:t>
      </w:r>
      <w:r>
        <w:rPr>
          <w:rFonts w:ascii="Times New Roman" w:eastAsia="Times New Roman" w:hAnsi="Times New Roman" w:cs="Times New Roman"/>
          <w:b/>
          <w:bCs/>
          <w:spacing w:val="4"/>
          <w:sz w:val="19"/>
          <w:szCs w:val="19"/>
        </w:rPr>
        <w:t>d;</w:t>
      </w:r>
    </w:p>
    <w:p>
      <w:pPr>
        <w:spacing w:before="116" w:line="271" w:lineRule="auto"/>
        <w:ind w:left="868" w:right="36" w:hanging="24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2)抗压挤扩灌注桩的盘数不宜超过4个，抗拔挤扩灌注桩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1"/>
          <w:sz w:val="19"/>
          <w:szCs w:val="19"/>
        </w:rPr>
        <w:t>的盘数宜为1～2个；承力盘(岔)的竖向间</w:t>
      </w:r>
      <w:r>
        <w:rPr>
          <w:rFonts w:ascii="SimSun" w:eastAsia="SimSun" w:hAnsi="SimSun" w:cs="SimSun"/>
          <w:spacing w:val="20"/>
          <w:sz w:val="19"/>
          <w:szCs w:val="19"/>
        </w:rPr>
        <w:t>距不宜小于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3.0D:</w:t>
      </w:r>
    </w:p>
    <w:p>
      <w:pPr>
        <w:spacing w:before="100" w:line="212" w:lineRule="auto"/>
        <w:ind w:left="6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0"/>
          <w:sz w:val="19"/>
          <w:szCs w:val="19"/>
        </w:rPr>
        <w:t>3)设置承力盘的较硬土层厚度宜大于2.0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D,  </w:t>
      </w:r>
      <w:r>
        <w:rPr>
          <w:rFonts w:ascii="SimSun" w:eastAsia="SimSun" w:hAnsi="SimSun" w:cs="SimSun"/>
          <w:spacing w:val="20"/>
          <w:sz w:val="19"/>
          <w:szCs w:val="19"/>
        </w:rPr>
        <w:t>且不应小于</w:t>
      </w:r>
    </w:p>
    <w:p>
      <w:pPr>
        <w:spacing w:line="212" w:lineRule="auto"/>
        <w:rPr>
          <w:rFonts w:ascii="SimSun" w:eastAsia="SimSun" w:hAnsi="SimSun" w:cs="SimSun"/>
          <w:sz w:val="19"/>
          <w:szCs w:val="19"/>
        </w:rPr>
        <w:sectPr>
          <w:headerReference w:type="default" r:id="rId25"/>
          <w:footerReference w:type="default" r:id="rId26"/>
          <w:type w:val="nextPage"/>
          <w:pgSz w:w="7730" w:h="11910"/>
          <w:pgMar w:top="400" w:right="905" w:bottom="1178" w:left="1000" w:header="0" w:footer="1039" w:gutter="0"/>
          <w:pgNumType w:start="20"/>
          <w:cols w:space="708"/>
          <w:titlePg w:val="0"/>
        </w:sectPr>
      </w:pP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spacing w:before="65" w:line="263" w:lineRule="auto"/>
        <w:ind w:left="859" w:right="8"/>
        <w:rPr>
          <w:rFonts w:ascii="SimSun" w:eastAsia="SimSun" w:hAnsi="SimSun" w:cs="SimSun"/>
          <w:sz w:val="20"/>
          <w:szCs w:val="20"/>
        </w:rPr>
      </w:pPr>
      <w:bookmarkStart w:id="9" w:name="bookmark14"/>
      <w:bookmarkEnd w:id="9"/>
      <w:bookmarkStart w:id="10" w:name="bookmark15"/>
      <w:bookmarkEnd w:id="10"/>
      <w:bookmarkStart w:id="11" w:name="bookmark16"/>
      <w:bookmarkEnd w:id="11"/>
      <w:bookmarkStart w:id="12" w:name="bookmark30"/>
      <w:bookmarkEnd w:id="12"/>
      <w:bookmarkStart w:id="13" w:name="bookmark31"/>
      <w:bookmarkEnd w:id="13"/>
      <w:bookmarkStart w:id="14" w:name="bookmark32"/>
      <w:bookmarkEnd w:id="14"/>
      <w:r>
        <w:rPr>
          <w:rFonts w:ascii="SimSun" w:eastAsia="SimSun" w:hAnsi="SimSun" w:cs="SimSun"/>
          <w:spacing w:val="9"/>
          <w:sz w:val="20"/>
          <w:szCs w:val="20"/>
        </w:rPr>
        <w:t>3.0d;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设置承力岔的较硬土层厚度不宜小于2.0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d; </w:t>
      </w:r>
      <w:r>
        <w:rPr>
          <w:rFonts w:ascii="SimSun" w:eastAsia="SimSun" w:hAnsi="SimSun" w:cs="SimSun"/>
          <w:spacing w:val="9"/>
          <w:sz w:val="20"/>
          <w:szCs w:val="20"/>
        </w:rPr>
        <w:t>选择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的较硬土层应分布均匀稳定；</w:t>
      </w:r>
    </w:p>
    <w:p>
      <w:pPr>
        <w:spacing w:before="95" w:line="269" w:lineRule="auto"/>
        <w:ind w:left="859" w:hanging="2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3"/>
          <w:sz w:val="20"/>
          <w:szCs w:val="20"/>
        </w:rPr>
        <w:t>4)抗压承力盘(岔)应设置在较硬土层中或其顶部，承力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盘下2.5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或4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.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d </w:t>
      </w:r>
      <w:r>
        <w:rPr>
          <w:rFonts w:ascii="SimSun" w:eastAsia="SimSun" w:hAnsi="SimSun" w:cs="SimSun"/>
          <w:spacing w:val="7"/>
          <w:sz w:val="20"/>
          <w:szCs w:val="20"/>
        </w:rPr>
        <w:t>深度范围、承力岔下3.0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深度范围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内应为较硬土层；抗拔挤扩灌注桩的承力盘(岔)宜设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置在持力土层的底部；</w:t>
      </w:r>
    </w:p>
    <w:p>
      <w:pPr>
        <w:spacing w:before="61" w:line="270" w:lineRule="auto"/>
        <w:ind w:left="859" w:right="3" w:hanging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5)抗压承力盘底进入持力层的深度不宜小于(0.5～1.0)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h(h  </w:t>
      </w:r>
      <w:r>
        <w:rPr>
          <w:rFonts w:ascii="SimSun" w:eastAsia="SimSun" w:hAnsi="SimSun" w:cs="SimSun"/>
          <w:spacing w:val="12"/>
          <w:sz w:val="20"/>
          <w:szCs w:val="20"/>
        </w:rPr>
        <w:t>为承力盘或承力岔的高度),承力岔</w:t>
      </w:r>
      <w:r>
        <w:rPr>
          <w:rFonts w:ascii="SimSun" w:eastAsia="SimSun" w:hAnsi="SimSun" w:cs="SimSun"/>
          <w:spacing w:val="11"/>
          <w:sz w:val="20"/>
          <w:szCs w:val="20"/>
        </w:rPr>
        <w:t>进入持力层的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深度不宜小于1.0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h;</w:t>
      </w:r>
    </w:p>
    <w:p>
      <w:pPr>
        <w:spacing w:before="61" w:line="275" w:lineRule="auto"/>
        <w:ind w:right="7" w:firstLine="39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3  桩根长度不宜小于2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d;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桩端进入持力层的深度，对于粘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性土、粉土不宜小于2.0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d,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砂土不宜小于1</w:t>
      </w:r>
      <w:r>
        <w:rPr>
          <w:rFonts w:ascii="SimSun" w:eastAsia="SimSun" w:hAnsi="SimSun" w:cs="SimSun"/>
          <w:spacing w:val="8"/>
          <w:sz w:val="20"/>
          <w:szCs w:val="20"/>
        </w:rPr>
        <w:t>.5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d,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碎石土不宜小于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1.0d;</w:t>
      </w:r>
    </w:p>
    <w:p>
      <w:pPr>
        <w:spacing w:before="89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4  挤扩灌注桩的配筋应符合下列规定：</w:t>
      </w:r>
    </w:p>
    <w:p>
      <w:pPr>
        <w:spacing w:before="52" w:line="219" w:lineRule="auto"/>
        <w:ind w:left="6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1)抗压桩的最小配筋率不宜小于(0.4～0.65)%(桩</w:t>
      </w:r>
      <w:r>
        <w:rPr>
          <w:rFonts w:ascii="SimSun" w:eastAsia="SimSun" w:hAnsi="SimSun" w:cs="SimSun"/>
          <w:spacing w:val="13"/>
          <w:sz w:val="20"/>
          <w:szCs w:val="20"/>
        </w:rPr>
        <w:t>身直</w:t>
      </w:r>
    </w:p>
    <w:p>
      <w:pPr>
        <w:spacing w:before="93" w:line="219" w:lineRule="auto"/>
        <w:ind w:right="35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径小时取大值);对受荷载特别大的桩和抗拔桩应根据</w:t>
      </w:r>
    </w:p>
    <w:p>
      <w:pPr>
        <w:spacing w:before="93" w:line="219" w:lineRule="auto"/>
        <w:ind w:left="8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计算确定配筋率，且不应小于上述规定值；</w:t>
      </w:r>
    </w:p>
    <w:p>
      <w:pPr>
        <w:spacing w:before="50" w:line="216" w:lineRule="auto"/>
        <w:ind w:left="6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2)对于端承摩擦桩桩身配筋长度不应小于桩长</w:t>
      </w:r>
      <w:r>
        <w:rPr>
          <w:rFonts w:ascii="SimSun" w:eastAsia="SimSun" w:hAnsi="SimSun" w:cs="SimSun"/>
          <w:spacing w:val="11"/>
          <w:sz w:val="20"/>
          <w:szCs w:val="20"/>
        </w:rPr>
        <w:t>的2/3,且</w:t>
      </w:r>
    </w:p>
    <w:p>
      <w:pPr>
        <w:spacing w:before="89" w:line="219" w:lineRule="auto"/>
        <w:ind w:left="8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钢筋笼的下端必须穿过1/2的总承力盘数；</w:t>
      </w:r>
    </w:p>
    <w:p>
      <w:pPr>
        <w:spacing w:before="91" w:line="253" w:lineRule="auto"/>
        <w:ind w:left="619" w:right="15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3)对于摩擦端承桩应按桩身等截面或变截面通长配筋；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4)对于只设计一个底部承力盘的抗压桩宜通</w:t>
      </w:r>
      <w:r>
        <w:rPr>
          <w:rFonts w:ascii="SimSun" w:eastAsia="SimSun" w:hAnsi="SimSun" w:cs="SimSun"/>
          <w:spacing w:val="7"/>
          <w:sz w:val="20"/>
          <w:szCs w:val="20"/>
        </w:rPr>
        <w:t>长配筋。</w:t>
      </w:r>
    </w:p>
    <w:p>
      <w:pPr>
        <w:spacing w:line="253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7"/>
          <w:footerReference w:type="default" r:id="rId28"/>
          <w:pgSz w:w="7730" w:h="11910"/>
          <w:pgMar w:top="400" w:right="1112" w:bottom="1157" w:left="840" w:header="0" w:footer="1019" w:gutter="0"/>
          <w:pgNumType w:start="21"/>
          <w:cols w:space="708"/>
        </w:sectPr>
      </w:pP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spacing w:before="85" w:line="222" w:lineRule="auto"/>
        <w:ind w:left="210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4</w:t>
      </w:r>
      <w:r>
        <w:rPr>
          <w:rFonts w:ascii="SimHei" w:eastAsia="SimHei" w:hAnsi="SimHei" w:cs="SimHei"/>
          <w:spacing w:val="23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桩基设计</w:t>
      </w:r>
    </w:p>
    <w:p>
      <w:pPr>
        <w:pStyle w:val="BodyText"/>
        <w:spacing w:line="398" w:lineRule="auto"/>
      </w:pPr>
    </w:p>
    <w:p>
      <w:pPr>
        <w:spacing w:before="65" w:line="221" w:lineRule="auto"/>
        <w:ind w:left="157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4.1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单桩竖向承载力特征值</w:t>
      </w:r>
    </w:p>
    <w:p>
      <w:pPr>
        <w:pStyle w:val="BodyText"/>
        <w:spacing w:line="328" w:lineRule="auto"/>
      </w:pPr>
    </w:p>
    <w:p>
      <w:pPr>
        <w:spacing w:before="65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4.1.1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单桩竖向承载力特征值的确定应符合下列规定：</w:t>
      </w:r>
    </w:p>
    <w:p>
      <w:pPr>
        <w:spacing w:before="70" w:line="265" w:lineRule="auto"/>
        <w:ind w:firstLine="44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6"/>
          <w:sz w:val="20"/>
          <w:szCs w:val="20"/>
        </w:rPr>
        <w:t>1</w:t>
      </w:r>
      <w:r>
        <w:rPr>
          <w:rFonts w:ascii="SimSun" w:eastAsia="SimSun" w:hAnsi="SimSun" w:cs="SimSun"/>
          <w:spacing w:val="1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单桩竖向承载力特征值应通过单桩竖向静载荷试验确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定。在同一条件下的试桩数量不应少于总桩数的1%,且不</w:t>
      </w:r>
      <w:r>
        <w:rPr>
          <w:rFonts w:ascii="SimSun" w:eastAsia="SimSun" w:hAnsi="SimSun" w:cs="SimSun"/>
          <w:spacing w:val="15"/>
          <w:sz w:val="20"/>
          <w:szCs w:val="20"/>
        </w:rPr>
        <w:t>应少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于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3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根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；</w:t>
      </w:r>
    </w:p>
    <w:p>
      <w:pPr>
        <w:spacing w:before="71" w:line="219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2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单桩竖向承载力特征值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R</w:t>
      </w:r>
      <w:r>
        <w:rPr>
          <w:rFonts w:ascii="SimSun" w:eastAsia="SimSun" w:hAnsi="SimSun" w:cs="SimSun"/>
          <w:spacing w:val="4"/>
          <w:sz w:val="20"/>
          <w:szCs w:val="20"/>
        </w:rPr>
        <w:t>。应按下式确定：</w:t>
      </w:r>
    </w:p>
    <w:p>
      <w:pPr>
        <w:spacing w:before="105" w:line="202" w:lineRule="auto"/>
        <w:ind w:left="243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R₄=Qm/K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   </w:t>
      </w:r>
      <w:r>
        <w:rPr>
          <w:rFonts w:ascii="SimSun" w:eastAsia="SimSun" w:hAnsi="SimSun" w:cs="SimSun"/>
          <w:spacing w:val="-2"/>
          <w:sz w:val="20"/>
          <w:szCs w:val="20"/>
        </w:rPr>
        <w:t>(4.1.1)</w:t>
      </w:r>
    </w:p>
    <w:p>
      <w:pPr>
        <w:spacing w:before="69" w:line="21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中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Q——</w:t>
      </w:r>
      <w:r>
        <w:rPr>
          <w:rFonts w:ascii="Times New Roman" w:eastAsia="Times New Roman" w:hAnsi="Times New Roman" w:cs="Times New Roman"/>
          <w:spacing w:val="15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单桩竖向极限承载力标准值；</w:t>
      </w:r>
    </w:p>
    <w:p>
      <w:pPr>
        <w:spacing w:before="89" w:line="274" w:lineRule="auto"/>
        <w:ind w:left="1209" w:right="6" w:hanging="77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·K——</w:t>
      </w:r>
      <w:r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安全系数，根据工程重要性和静载荷试验实测单桩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0"/>
          <w:sz w:val="20"/>
          <w:szCs w:val="20"/>
        </w:rPr>
        <w:t>竖向极限承载力标准值离散度大小，可取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K=2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~  </w:t>
      </w:r>
      <w:r>
        <w:rPr>
          <w:rFonts w:ascii="SimSun" w:eastAsia="SimSun" w:hAnsi="SimSun" w:cs="SimSun"/>
          <w:spacing w:val="14"/>
          <w:sz w:val="20"/>
          <w:szCs w:val="20"/>
        </w:rPr>
        <w:t>2.5;桩基设计等级为甲级或静载荷试验单桩极限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承载力离散度大时，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K </w:t>
      </w:r>
      <w:r>
        <w:rPr>
          <w:rFonts w:ascii="SimSun" w:eastAsia="SimSun" w:hAnsi="SimSun" w:cs="SimSun"/>
          <w:spacing w:val="-4"/>
          <w:sz w:val="20"/>
          <w:szCs w:val="20"/>
        </w:rPr>
        <w:t>取大值，其它情况可取小值。</w:t>
      </w:r>
    </w:p>
    <w:p>
      <w:pPr>
        <w:spacing w:before="71" w:line="218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4.1.2</w:t>
      </w:r>
      <w:r>
        <w:rPr>
          <w:rFonts w:ascii="SimSun" w:eastAsia="SimSun" w:hAnsi="SimSun" w:cs="SimSun"/>
          <w:spacing w:val="4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初步设计时，单桩竖向承载力特征值可按下式估算：</w:t>
      </w:r>
    </w:p>
    <w:p>
      <w:pPr>
        <w:spacing w:before="74" w:line="188" w:lineRule="auto"/>
        <w:ind w:left="146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R₄=u,EqLx≤₇2qA₂+qA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                 </w:t>
      </w:r>
      <w:r>
        <w:rPr>
          <w:rFonts w:ascii="SimSun" w:eastAsia="SimSun" w:hAnsi="SimSun" w:cs="SimSun"/>
          <w:spacing w:val="-2"/>
          <w:sz w:val="20"/>
          <w:szCs w:val="20"/>
        </w:rPr>
        <w:t>(4.1.2)</w:t>
      </w:r>
    </w:p>
    <w:p>
      <w:pPr>
        <w:spacing w:before="63" w:line="21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式中</w:t>
      </w:r>
      <w:r>
        <w:rPr>
          <w:rFonts w:ascii="SimSun" w:eastAsia="SimSun" w:hAnsi="SimSun" w:cs="SimSun"/>
          <w:spacing w:val="7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q——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第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i </w:t>
      </w:r>
      <w:r>
        <w:rPr>
          <w:rFonts w:ascii="SimSun" w:eastAsia="SimSun" w:hAnsi="SimSun" w:cs="SimSun"/>
          <w:spacing w:val="3"/>
          <w:sz w:val="20"/>
          <w:szCs w:val="20"/>
        </w:rPr>
        <w:t>层土的桩侧阻力特征值；</w:t>
      </w:r>
    </w:p>
    <w:p>
      <w:pPr>
        <w:spacing w:before="97" w:line="246" w:lineRule="auto"/>
        <w:ind w:left="439" w:right="67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9a-—  承力盘(岔)所在第j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层土的端阻力特征值；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9pa——</w:t>
      </w:r>
      <w:r>
        <w:rPr>
          <w:rFonts w:ascii="SimSun" w:eastAsia="SimSun" w:hAnsi="SimSun" w:cs="SimSun"/>
          <w:spacing w:val="-3"/>
          <w:sz w:val="20"/>
          <w:szCs w:val="20"/>
        </w:rPr>
        <w:t>桩端阻力特征值；</w:t>
      </w:r>
    </w:p>
    <w:p>
      <w:pPr>
        <w:spacing w:before="93" w:line="257" w:lineRule="auto"/>
        <w:ind w:left="439" w:right="647"/>
        <w:rPr>
          <w:rFonts w:ascii="SimSun" w:eastAsia="SimSun" w:hAnsi="SimSun" w:cs="SimSun"/>
          <w:sz w:val="20"/>
          <w:szCs w:val="20"/>
        </w:rPr>
        <w:sectPr>
          <w:headerReference w:type="default" r:id="rId29"/>
          <w:footerReference w:type="default" r:id="rId30"/>
          <w:pgSz w:w="7730" w:h="11910"/>
          <w:pgMar w:top="400" w:right="962" w:bottom="1168" w:left="1019" w:header="0" w:footer="1029" w:gutter="0"/>
          <w:pgNumType w:start="22"/>
          <w:cols w:space="708"/>
        </w:sect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A₇—— </w:t>
      </w:r>
      <w:r>
        <w:rPr>
          <w:rFonts w:ascii="SimSun" w:eastAsia="SimSun" w:hAnsi="SimSun" w:cs="SimSun"/>
          <w:spacing w:val="8"/>
          <w:sz w:val="20"/>
          <w:szCs w:val="20"/>
        </w:rPr>
        <w:t>扣除桩身截面面积的承力盘(岔)投影面积；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A——</w:t>
      </w:r>
      <w:r>
        <w:rPr>
          <w:rFonts w:ascii="SimSun" w:eastAsia="SimSun" w:hAnsi="SimSun" w:cs="SimSun"/>
          <w:spacing w:val="3"/>
          <w:sz w:val="20"/>
          <w:szCs w:val="20"/>
        </w:rPr>
        <w:t>桩身截面面积；</w:t>
      </w:r>
    </w:p>
    <w:p>
      <w:pPr>
        <w:spacing w:before="61" w:line="212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up——</w:t>
      </w:r>
      <w:r>
        <w:rPr>
          <w:rFonts w:ascii="SimSun" w:eastAsia="SimSun" w:hAnsi="SimSun" w:cs="SimSun"/>
          <w:sz w:val="20"/>
          <w:szCs w:val="20"/>
        </w:rPr>
        <w:t>桩身周长；</w:t>
      </w:r>
    </w:p>
    <w:p>
      <w:pPr>
        <w:spacing w:before="81" w:line="258" w:lineRule="auto"/>
        <w:ind w:left="439" w:right="53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L₃——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折减后桩周第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层土厚度，可按表4.1</w:t>
      </w:r>
      <w:r>
        <w:rPr>
          <w:rFonts w:ascii="SimSun" w:eastAsia="SimSun" w:hAnsi="SimSun" w:cs="SimSun"/>
          <w:spacing w:val="4"/>
          <w:sz w:val="20"/>
          <w:szCs w:val="20"/>
        </w:rPr>
        <w:t>.2采用；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H—— </w:t>
      </w:r>
      <w:r>
        <w:rPr>
          <w:rFonts w:ascii="SimSun" w:eastAsia="SimSun" w:hAnsi="SimSun" w:cs="SimSun"/>
          <w:spacing w:val="7"/>
          <w:sz w:val="20"/>
          <w:szCs w:val="20"/>
        </w:rPr>
        <w:t>桩周第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i </w:t>
      </w:r>
      <w:r>
        <w:rPr>
          <w:rFonts w:ascii="SimSun" w:eastAsia="SimSun" w:hAnsi="SimSun" w:cs="SimSun"/>
          <w:spacing w:val="7"/>
          <w:sz w:val="20"/>
          <w:szCs w:val="20"/>
        </w:rPr>
        <w:t>层土厚度；</w:t>
      </w:r>
    </w:p>
    <w:p>
      <w:pPr>
        <w:spacing w:before="82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h——</w:t>
      </w:r>
      <w:r>
        <w:rPr>
          <w:rFonts w:ascii="Times New Roman" w:eastAsia="Times New Roman" w:hAnsi="Times New Roman" w:cs="Times New Roma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承力盘(岔)高度；</w:t>
      </w:r>
    </w:p>
    <w:p>
      <w:pPr>
        <w:spacing w:before="90" w:line="245" w:lineRule="auto"/>
        <w:ind w:left="1209" w:right="190" w:hanging="7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η——当承力盘(岔)总数≥3时取0.9,当承力盘</w:t>
      </w:r>
      <w:r>
        <w:rPr>
          <w:rFonts w:ascii="SimSun" w:eastAsia="SimSun" w:hAnsi="SimSun" w:cs="SimSun"/>
          <w:spacing w:val="14"/>
          <w:sz w:val="20"/>
          <w:szCs w:val="20"/>
        </w:rPr>
        <w:t>(岔)总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数&lt;3时取1</w:t>
      </w:r>
      <w:r>
        <w:rPr>
          <w:rFonts w:ascii="SimSun" w:eastAsia="SimSun" w:hAnsi="SimSun" w:cs="SimSun"/>
          <w:spacing w:val="-4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.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0。</w:t>
      </w:r>
    </w:p>
    <w:p>
      <w:pPr>
        <w:spacing w:line="245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1"/>
          <w:footerReference w:type="default" r:id="rId32"/>
          <w:type w:val="nextPage"/>
          <w:pgSz w:w="7730" w:h="11910"/>
          <w:pgMar w:top="400" w:right="962" w:bottom="1168" w:left="1019" w:header="0" w:footer="1029" w:gutter="0"/>
          <w:pgNumType w:start="23"/>
          <w:cols w:space="708"/>
          <w:titlePg w:val="0"/>
        </w:sectPr>
      </w:pP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pStyle w:val="BodyText"/>
        <w:spacing w:before="65" w:line="221" w:lineRule="auto"/>
        <w:ind w:left="2062"/>
        <w:rPr>
          <w:rFonts w:ascii="SimHei" w:eastAsia="SimHei" w:hAnsi="SimHei" w:cs="SimHei"/>
          <w:sz w:val="20"/>
          <w:szCs w:val="20"/>
        </w:rPr>
      </w:pPr>
      <w:bookmarkStart w:id="15" w:name="bookmark17"/>
      <w:bookmarkEnd w:id="15"/>
      <w:bookmarkStart w:id="16" w:name="bookmark33"/>
      <w:bookmarkEnd w:id="16"/>
      <w:r>
        <w:rPr>
          <w:rFonts w:ascii="SimHei" w:eastAsia="SimHei" w:hAnsi="SimHei" w:cs="SimHei"/>
          <w:b/>
          <w:bCs/>
          <w:spacing w:val="-11"/>
          <w:sz w:val="20"/>
          <w:szCs w:val="20"/>
        </w:rPr>
        <w:t>表4.1.2</w:t>
      </w:r>
      <w:r>
        <w:rPr>
          <w:rFonts w:ascii="SimHei" w:eastAsia="SimHei" w:hAnsi="SimHei" w:cs="SimHei"/>
          <w:spacing w:val="75"/>
          <w:sz w:val="20"/>
          <w:szCs w:val="20"/>
        </w:rPr>
        <w:t xml:space="preserve"> </w:t>
      </w:r>
      <w:r>
        <w:rPr>
          <w:b/>
          <w:bCs/>
          <w:spacing w:val="-11"/>
          <w:sz w:val="20"/>
          <w:szCs w:val="20"/>
        </w:rPr>
        <w:t>L</w:t>
      </w:r>
      <w:r>
        <w:rPr>
          <w:b/>
          <w:bCs/>
          <w:spacing w:val="-1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0"/>
          <w:szCs w:val="20"/>
        </w:rPr>
        <w:t>计算方法</w:t>
      </w:r>
    </w:p>
    <w:p>
      <w:pPr>
        <w:spacing w:line="121" w:lineRule="exact"/>
      </w:pPr>
    </w:p>
    <w:tbl>
      <w:tblPr>
        <w:tblStyle w:val="TableNormal2"/>
        <w:tblW w:w="5709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860"/>
        <w:gridCol w:w="2849"/>
      </w:tblGrid>
      <w:tr>
        <w:tblPrEx>
          <w:tblW w:w="5709" w:type="dxa"/>
          <w:tblInd w:w="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2"/>
        </w:trPr>
        <w:tc>
          <w:tcPr>
            <w:tcW w:w="2860" w:type="dxa"/>
            <w:vAlign w:val="top"/>
          </w:tcPr>
          <w:p>
            <w:pPr>
              <w:pStyle w:val="TableText"/>
              <w:spacing w:before="72" w:line="219" w:lineRule="auto"/>
              <w:ind w:left="915"/>
            </w:pPr>
            <w:r>
              <w:rPr>
                <w:spacing w:val="-1"/>
              </w:rPr>
              <w:t>粘性土、粉土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96" w:line="188" w:lineRule="auto"/>
              <w:ind w:left="994"/>
            </w:pPr>
            <w:r>
              <w:rPr>
                <w:spacing w:val="-1"/>
              </w:rPr>
              <w:t>L;=H;-1.2h</w:t>
            </w:r>
          </w:p>
        </w:tc>
      </w:tr>
      <w:tr>
        <w:tblPrEx>
          <w:tblW w:w="5709" w:type="dxa"/>
          <w:tblInd w:w="80" w:type="dxa"/>
          <w:tblLayout w:type="fixed"/>
        </w:tblPrEx>
        <w:trPr>
          <w:trHeight w:val="308"/>
        </w:trPr>
        <w:tc>
          <w:tcPr>
            <w:tcW w:w="2860" w:type="dxa"/>
            <w:vAlign w:val="top"/>
          </w:tcPr>
          <w:p>
            <w:pPr>
              <w:pStyle w:val="TableText"/>
              <w:spacing w:before="72" w:line="222" w:lineRule="auto"/>
              <w:ind w:left="1085"/>
            </w:pPr>
            <w:r>
              <w:rPr>
                <w:spacing w:val="-3"/>
              </w:rPr>
              <w:t>砂</w:t>
            </w:r>
            <w:r>
              <w:rPr>
                <w:spacing w:val="1"/>
              </w:rPr>
              <w:t xml:space="preserve">    </w:t>
            </w:r>
            <w:r>
              <w:rPr>
                <w:spacing w:val="-3"/>
              </w:rPr>
              <w:t>土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70" w:line="219" w:lineRule="auto"/>
              <w:ind w:left="694"/>
            </w:pPr>
            <w:r>
              <w:rPr>
                <w:spacing w:val="-1"/>
              </w:rPr>
              <w:t>L;=H</w:t>
            </w:r>
            <w:r>
              <w:rPr>
                <w:rFonts w:ascii="Calibri" w:eastAsia="Calibri" w:hAnsi="Calibri" w:cs="Calibri"/>
                <w:spacing w:val="-1"/>
              </w:rPr>
              <w:t>₁</w:t>
            </w:r>
            <w:r>
              <w:rPr>
                <w:spacing w:val="-1"/>
              </w:rPr>
              <w:t>-(1.5~1.8)h</w:t>
            </w:r>
          </w:p>
        </w:tc>
      </w:tr>
      <w:tr>
        <w:tblPrEx>
          <w:tblW w:w="5709" w:type="dxa"/>
          <w:tblInd w:w="80" w:type="dxa"/>
          <w:tblLayout w:type="fixed"/>
        </w:tblPrEx>
        <w:trPr>
          <w:trHeight w:val="308"/>
        </w:trPr>
        <w:tc>
          <w:tcPr>
            <w:tcW w:w="2860" w:type="dxa"/>
            <w:vAlign w:val="top"/>
          </w:tcPr>
          <w:p>
            <w:pPr>
              <w:pStyle w:val="TableText"/>
              <w:spacing w:before="72" w:line="219" w:lineRule="auto"/>
              <w:ind w:left="1085"/>
            </w:pPr>
            <w:r>
              <w:rPr>
                <w:spacing w:val="-2"/>
              </w:rPr>
              <w:t>碎石类土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74" w:line="221" w:lineRule="auto"/>
              <w:ind w:left="994"/>
            </w:pPr>
            <w:r>
              <w:rPr>
                <w:spacing w:val="-1"/>
              </w:rPr>
              <w:t>L;=H;-1.8h</w:t>
            </w:r>
          </w:p>
        </w:tc>
      </w:tr>
      <w:tr>
        <w:tblPrEx>
          <w:tblW w:w="5709" w:type="dxa"/>
          <w:tblInd w:w="80" w:type="dxa"/>
          <w:tblLayout w:type="fixed"/>
        </w:tblPrEx>
        <w:trPr>
          <w:trHeight w:val="312"/>
        </w:trPr>
        <w:tc>
          <w:tcPr>
            <w:tcW w:w="2860" w:type="dxa"/>
            <w:vAlign w:val="top"/>
          </w:tcPr>
          <w:p>
            <w:pPr>
              <w:pStyle w:val="TableText"/>
              <w:spacing w:before="74" w:line="220" w:lineRule="auto"/>
              <w:ind w:left="1124"/>
            </w:pPr>
            <w:r>
              <w:rPr>
                <w:spacing w:val="-4"/>
              </w:rPr>
              <w:t>其</w:t>
            </w:r>
            <w:r>
              <w:rPr>
                <w:spacing w:val="2"/>
              </w:rPr>
              <w:t xml:space="preserve">   </w:t>
            </w:r>
            <w:r>
              <w:rPr>
                <w:spacing w:val="-4"/>
              </w:rPr>
              <w:t>他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76" w:line="221" w:lineRule="auto"/>
              <w:ind w:left="774"/>
            </w:pPr>
            <w:r>
              <w:rPr>
                <w:spacing w:val="-1"/>
              </w:rPr>
              <w:t>L;=H-(1.1~1.2)h</w:t>
            </w:r>
          </w:p>
        </w:tc>
      </w:tr>
    </w:tbl>
    <w:p>
      <w:pPr>
        <w:pStyle w:val="BodyText"/>
        <w:spacing w:line="361" w:lineRule="auto"/>
      </w:pPr>
    </w:p>
    <w:p>
      <w:pPr>
        <w:spacing w:before="65" w:line="222" w:lineRule="auto"/>
        <w:ind w:left="190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4.2</w:t>
      </w:r>
      <w:r>
        <w:rPr>
          <w:rFonts w:ascii="SimHei" w:eastAsia="SimHei" w:hAnsi="SimHei" w:cs="SimHei"/>
          <w:spacing w:val="30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桩基水平承载力</w:t>
      </w:r>
    </w:p>
    <w:p>
      <w:pPr>
        <w:pStyle w:val="BodyText"/>
        <w:spacing w:line="306" w:lineRule="auto"/>
      </w:pPr>
    </w:p>
    <w:p>
      <w:pPr>
        <w:spacing w:before="66" w:line="258" w:lineRule="auto"/>
        <w:ind w:right="29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4.2.1</w:t>
      </w:r>
      <w:r>
        <w:rPr>
          <w:rFonts w:ascii="SimSun" w:eastAsia="SimSun" w:hAnsi="SimSun" w:cs="SimSun"/>
          <w:spacing w:val="4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挤扩灌注桩单桩水平承载力特征值应通过现场水平载荷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试验确定。</w:t>
      </w:r>
    </w:p>
    <w:p>
      <w:pPr>
        <w:pStyle w:val="BodyText"/>
        <w:spacing w:before="61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 xml:space="preserve">4.2.2      </w:t>
      </w:r>
      <w:r>
        <w:rPr>
          <w:rFonts w:ascii="SimSun" w:eastAsia="SimSun" w:hAnsi="SimSun" w:cs="SimSun"/>
          <w:spacing w:val="3"/>
          <w:sz w:val="20"/>
          <w:szCs w:val="20"/>
        </w:rPr>
        <w:t>挤扩灌注桩可视为桩径为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d    </w:t>
      </w:r>
      <w:r>
        <w:rPr>
          <w:rFonts w:ascii="SimSun" w:eastAsia="SimSun" w:hAnsi="SimSun" w:cs="SimSun"/>
          <w:spacing w:val="3"/>
          <w:sz w:val="20"/>
          <w:szCs w:val="20"/>
        </w:rPr>
        <w:t>的常规灌注桩进行桩基水平</w:t>
      </w:r>
    </w:p>
    <w:p>
      <w:pPr>
        <w:spacing w:before="102" w:line="225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承载力与位移计算，其计算应符合现行《建筑桩基技术规范》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JGJ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94)</w:t>
      </w:r>
      <w:r>
        <w:rPr>
          <w:rFonts w:ascii="Times New Roman" w:eastAsia="Times New Roman" w:hAnsi="Times New Roman" w:cs="Times New Roman"/>
          <w:spacing w:val="47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的规定。</w:t>
      </w:r>
    </w:p>
    <w:p>
      <w:pPr>
        <w:pStyle w:val="BodyText"/>
        <w:spacing w:line="360" w:lineRule="auto"/>
      </w:pPr>
    </w:p>
    <w:p>
      <w:pPr>
        <w:spacing w:before="66" w:line="221" w:lineRule="auto"/>
        <w:ind w:left="223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4.3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桩身强度</w:t>
      </w:r>
    </w:p>
    <w:p>
      <w:pPr>
        <w:pStyle w:val="BodyText"/>
        <w:spacing w:line="308" w:lineRule="auto"/>
      </w:pPr>
    </w:p>
    <w:p>
      <w:pPr>
        <w:spacing w:before="65" w:line="262" w:lineRule="auto"/>
        <w:ind w:right="32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4.3.1</w:t>
      </w:r>
      <w:r>
        <w:rPr>
          <w:rFonts w:ascii="SimSun" w:eastAsia="SimSun" w:hAnsi="SimSun" w:cs="SimSun"/>
          <w:spacing w:val="4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桩</w:t>
      </w:r>
      <w:r>
        <w:rPr>
          <w:rFonts w:ascii="SimSun" w:eastAsia="SimSun" w:hAnsi="SimSun" w:cs="SimSun"/>
          <w:spacing w:val="7"/>
          <w:sz w:val="20"/>
          <w:szCs w:val="20"/>
        </w:rPr>
        <w:t>身混凝土强度应满足桩的承载力设计要求。</w:t>
      </w:r>
      <w:r>
        <w:rPr>
          <w:rFonts w:ascii="SimSun" w:eastAsia="SimSun" w:hAnsi="SimSun" w:cs="SimSun"/>
          <w:spacing w:val="6"/>
          <w:sz w:val="20"/>
          <w:szCs w:val="20"/>
        </w:rPr>
        <w:t>桩身混凝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土强度应符合下式要求：</w:t>
      </w:r>
    </w:p>
    <w:p>
      <w:pPr>
        <w:spacing w:before="15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position w:val="1"/>
          <w:sz w:val="20"/>
          <w:szCs w:val="20"/>
        </w:rPr>
        <w:t>桩轴心受压时</w:t>
      </w:r>
      <w:r>
        <w:rPr>
          <w:rFonts w:ascii="SimSun" w:eastAsia="SimSun" w:hAnsi="SimSun" w:cs="SimSun"/>
          <w:spacing w:val="11"/>
          <w:position w:val="1"/>
          <w:sz w:val="20"/>
          <w:szCs w:val="20"/>
        </w:rPr>
        <w:t xml:space="preserve">      </w:t>
      </w:r>
      <w:r>
        <w:rPr>
          <w:position w:val="-6"/>
          <w:sz w:val="20"/>
          <w:szCs w:val="20"/>
        </w:rPr>
        <w:drawing>
          <wp:inline distT="0" distB="0" distL="0" distR="0">
            <wp:extent cx="635019" cy="18049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35019" cy="18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 xml:space="preserve">                 </w:t>
      </w:r>
      <w:r>
        <w:rPr>
          <w:rFonts w:ascii="SimSun" w:eastAsia="SimSun" w:hAnsi="SimSun" w:cs="SimSun"/>
          <w:spacing w:val="-1"/>
          <w:position w:val="-1"/>
          <w:sz w:val="20"/>
          <w:szCs w:val="20"/>
        </w:rPr>
        <w:t>(4.3.1)</w:t>
      </w:r>
    </w:p>
    <w:p>
      <w:pPr>
        <w:spacing w:before="37" w:line="212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4"/>
          <w:footerReference w:type="default" r:id="rId35"/>
          <w:pgSz w:w="7730" w:h="11910"/>
          <w:pgMar w:top="400" w:right="1100" w:bottom="1177" w:left="790" w:header="0" w:footer="1039" w:gutter="0"/>
          <w:pgNumType w:start="24"/>
          <w:cols w:space="708"/>
        </w:sectPr>
      </w:pPr>
      <w:r>
        <w:rPr>
          <w:rFonts w:ascii="SimSun" w:eastAsia="SimSun" w:hAnsi="SimSun" w:cs="SimSun"/>
          <w:spacing w:val="-3"/>
          <w:sz w:val="20"/>
          <w:szCs w:val="20"/>
        </w:rPr>
        <w:t>式</w:t>
      </w:r>
      <w:r>
        <w:rPr>
          <w:rFonts w:ascii="SimSun" w:eastAsia="SimSun" w:hAnsi="SimSun" w:cs="SimSun"/>
          <w:spacing w:val="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中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Q——    </w:t>
      </w:r>
      <w:r>
        <w:rPr>
          <w:rFonts w:ascii="SimSun" w:eastAsia="SimSun" w:hAnsi="SimSun" w:cs="SimSun"/>
          <w:spacing w:val="-3"/>
          <w:sz w:val="20"/>
          <w:szCs w:val="20"/>
        </w:rPr>
        <w:t>相应于荷载效应基本组合时的单桩竖向力设计值；</w:t>
      </w:r>
    </w:p>
    <w:p>
      <w:pPr>
        <w:spacing w:before="98" w:line="311" w:lineRule="exact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fe</w:t>
      </w: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 xml:space="preserve">——  </w:t>
      </w:r>
      <w:r>
        <w:rPr>
          <w:rFonts w:ascii="SimSun" w:eastAsia="SimSun" w:hAnsi="SimSun" w:cs="SimSun"/>
          <w:spacing w:val="4"/>
          <w:position w:val="8"/>
          <w:sz w:val="20"/>
          <w:szCs w:val="20"/>
        </w:rPr>
        <w:t>混凝土轴心抗压强度设计值；</w:t>
      </w:r>
    </w:p>
    <w:p>
      <w:pPr>
        <w:spacing w:line="219" w:lineRule="auto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A——</w:t>
      </w:r>
      <w:r>
        <w:rPr>
          <w:rFonts w:ascii="SimSun" w:eastAsia="SimSun" w:hAnsi="SimSun" w:cs="SimSun"/>
          <w:spacing w:val="1"/>
          <w:sz w:val="20"/>
          <w:szCs w:val="20"/>
        </w:rPr>
        <w:t>桩身截面面积；</w:t>
      </w:r>
    </w:p>
    <w:p>
      <w:pPr>
        <w:spacing w:before="73" w:line="219" w:lineRule="auto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ψ。</w:t>
      </w:r>
      <w:r>
        <w:rPr>
          <w:rFonts w:ascii="SimSun" w:eastAsia="SimSun" w:hAnsi="SimSun" w:cs="SimSun"/>
          <w:spacing w:val="-4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——工作条件系数，取0.6～0.8。</w:t>
      </w:r>
    </w:p>
    <w:p>
      <w:pPr>
        <w:pStyle w:val="BodyText"/>
        <w:spacing w:line="321" w:lineRule="auto"/>
      </w:pPr>
    </w:p>
    <w:p>
      <w:pPr>
        <w:spacing w:before="65" w:line="222" w:lineRule="auto"/>
        <w:ind w:left="200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4.4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桩基沉降计算</w:t>
      </w:r>
    </w:p>
    <w:p>
      <w:pPr>
        <w:pStyle w:val="BodyText"/>
        <w:spacing w:line="335" w:lineRule="auto"/>
      </w:pPr>
    </w:p>
    <w:p>
      <w:pPr>
        <w:spacing w:before="66" w:line="247" w:lineRule="auto"/>
        <w:ind w:right="61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4"/>
          <w:sz w:val="20"/>
          <w:szCs w:val="20"/>
        </w:rPr>
        <w:t>4.4.1</w:t>
      </w:r>
      <w:r>
        <w:rPr>
          <w:rFonts w:ascii="SimSun" w:eastAsia="SimSun" w:hAnsi="SimSun" w:cs="SimSun"/>
          <w:spacing w:val="3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4"/>
          <w:sz w:val="20"/>
          <w:szCs w:val="20"/>
        </w:rPr>
        <w:t>挤扩灌注桩基础最终沉降量可参照《建筑桩基技术规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范》(JGJ94)</w:t>
      </w:r>
      <w:r>
        <w:rPr>
          <w:rFonts w:ascii="SimSun" w:eastAsia="SimSun" w:hAnsi="SimSun" w:cs="SimSun"/>
          <w:spacing w:val="-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进行计算，沉降计算经验系数ψ宜按工程经验确定。</w:t>
      </w:r>
    </w:p>
    <w:p>
      <w:pPr>
        <w:spacing w:line="247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6"/>
          <w:footerReference w:type="default" r:id="rId37"/>
          <w:type w:val="nextPage"/>
          <w:pgSz w:w="7730" w:h="11910"/>
          <w:pgMar w:top="400" w:right="1100" w:bottom="1177" w:left="790" w:header="0" w:footer="1039" w:gutter="0"/>
          <w:pgNumType w:start="25"/>
          <w:cols w:space="708"/>
          <w:titlePg w:val="0"/>
        </w:sectPr>
      </w:pP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pStyle w:val="BodyText"/>
        <w:spacing w:before="61" w:line="287" w:lineRule="auto"/>
        <w:jc w:val="both"/>
        <w:rPr>
          <w:rFonts w:ascii="SimSun" w:eastAsia="SimSun" w:hAnsi="SimSun" w:cs="SimSun"/>
          <w:sz w:val="19"/>
          <w:szCs w:val="19"/>
        </w:rPr>
      </w:pPr>
      <w:bookmarkStart w:id="17" w:name="bookmark18"/>
      <w:bookmarkEnd w:id="17"/>
      <w:bookmarkStart w:id="18" w:name="bookmark34"/>
      <w:bookmarkEnd w:id="18"/>
      <w:r>
        <w:rPr>
          <w:b/>
          <w:bCs/>
          <w:spacing w:val="15"/>
          <w:sz w:val="19"/>
          <w:szCs w:val="19"/>
        </w:rPr>
        <w:t xml:space="preserve">4.4.2     </w:t>
      </w:r>
      <w:r>
        <w:rPr>
          <w:rFonts w:ascii="SimSun" w:eastAsia="SimSun" w:hAnsi="SimSun" w:cs="SimSun"/>
          <w:spacing w:val="15"/>
          <w:sz w:val="19"/>
          <w:szCs w:val="19"/>
        </w:rPr>
        <w:t>桩基础的沉降不得超过建筑物的沉降允许值，并应符合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现行《建筑地基基础设计规范》(</w:t>
      </w: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0"/>
          <w:sz w:val="19"/>
          <w:szCs w:val="19"/>
        </w:rPr>
        <w:t>50007)  和《岩土工程技术规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7"/>
          <w:sz w:val="19"/>
          <w:szCs w:val="19"/>
        </w:rPr>
        <w:t>范</w:t>
      </w:r>
      <w:r>
        <w:rPr>
          <w:rFonts w:ascii="SimSun" w:eastAsia="SimSun" w:hAnsi="SimSun" w:cs="SimSun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7"/>
          <w:sz w:val="19"/>
          <w:szCs w:val="19"/>
        </w:rPr>
        <w:t>》(DB29-20)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7"/>
          <w:sz w:val="19"/>
          <w:szCs w:val="19"/>
        </w:rPr>
        <w:t>的规定。</w:t>
      </w:r>
    </w:p>
    <w:p>
      <w:pPr>
        <w:spacing w:line="287" w:lineRule="auto"/>
        <w:rPr>
          <w:rFonts w:ascii="SimSun" w:eastAsia="SimSun" w:hAnsi="SimSun" w:cs="SimSun"/>
          <w:sz w:val="19"/>
          <w:szCs w:val="19"/>
        </w:rPr>
        <w:sectPr>
          <w:headerReference w:type="default" r:id="rId38"/>
          <w:footerReference w:type="default" r:id="rId39"/>
          <w:pgSz w:w="7730" w:h="11910"/>
          <w:pgMar w:top="400" w:right="931" w:bottom="1147" w:left="1030" w:header="0" w:footer="1038" w:gutter="0"/>
          <w:pgNumType w:start="26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85" w:line="225" w:lineRule="auto"/>
        <w:ind w:left="2113"/>
        <w:rPr>
          <w:rFonts w:ascii="SimHei" w:eastAsia="SimHei" w:hAnsi="SimHei" w:cs="SimHei"/>
          <w:sz w:val="26"/>
          <w:szCs w:val="26"/>
        </w:rPr>
      </w:pPr>
      <w:bookmarkStart w:id="19" w:name="bookmark19"/>
      <w:bookmarkEnd w:id="19"/>
      <w:bookmarkStart w:id="20" w:name="bookmark35"/>
      <w:bookmarkEnd w:id="20"/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5</w:t>
      </w:r>
      <w:r>
        <w:rPr>
          <w:rFonts w:ascii="SimHei" w:eastAsia="SimHei" w:hAnsi="SimHei" w:cs="SimHei"/>
          <w:spacing w:val="22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桩基施工</w:t>
      </w:r>
    </w:p>
    <w:p>
      <w:pPr>
        <w:pStyle w:val="BodyText"/>
        <w:spacing w:line="368" w:lineRule="auto"/>
      </w:pPr>
    </w:p>
    <w:p>
      <w:pPr>
        <w:spacing w:before="65" w:line="221" w:lineRule="auto"/>
        <w:ind w:left="220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5.1</w:t>
      </w:r>
      <w:r>
        <w:rPr>
          <w:rFonts w:ascii="SimHei" w:eastAsia="SimHei" w:hAnsi="SimHei" w:cs="SimHei"/>
          <w:spacing w:val="2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一般规定</w:t>
      </w:r>
    </w:p>
    <w:p>
      <w:pPr>
        <w:pStyle w:val="BodyText"/>
        <w:spacing w:line="336" w:lineRule="auto"/>
      </w:pPr>
    </w:p>
    <w:p>
      <w:pPr>
        <w:spacing w:before="65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5.1.1</w:t>
      </w:r>
      <w:r>
        <w:rPr>
          <w:rFonts w:ascii="SimSun" w:eastAsia="SimSun" w:hAnsi="SimSun" w:cs="SimSun"/>
          <w:spacing w:val="4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挤扩灌注桩成孔宜采用泥浆护壁钻孔施工工艺。</w:t>
      </w:r>
    </w:p>
    <w:p>
      <w:pPr>
        <w:spacing w:before="64" w:line="276" w:lineRule="auto"/>
        <w:ind w:right="111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5.1.2</w:t>
      </w:r>
      <w:r>
        <w:rPr>
          <w:rFonts w:ascii="SimSun" w:eastAsia="SimSun" w:hAnsi="SimSun" w:cs="SimSun"/>
          <w:spacing w:val="4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成孔设备就位后，必须平整、稳固，确保在施工中</w:t>
      </w:r>
      <w:r>
        <w:rPr>
          <w:rFonts w:ascii="SimSun" w:eastAsia="SimSun" w:hAnsi="SimSun" w:cs="SimSun"/>
          <w:spacing w:val="-2"/>
          <w:sz w:val="20"/>
          <w:szCs w:val="20"/>
        </w:rPr>
        <w:t>不发生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倾斜、移动。为准确控制成孔深度和盘位，在桩架或孔口固定位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置上设置控制深度的标高点，以便施工中进行观测记录。</w:t>
      </w:r>
    </w:p>
    <w:p>
      <w:pPr>
        <w:spacing w:before="7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8"/>
          <w:sz w:val="20"/>
          <w:szCs w:val="20"/>
        </w:rPr>
        <w:t>5.1.3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  成孔控制深度必须保证设计桩长及桩端进入持力层的</w:t>
      </w:r>
      <w:r>
        <w:rPr>
          <w:rFonts w:ascii="SimSun" w:eastAsia="SimSun" w:hAnsi="SimSun" w:cs="SimSun"/>
          <w:spacing w:val="-9"/>
          <w:sz w:val="20"/>
          <w:szCs w:val="20"/>
        </w:rPr>
        <w:t>深度。</w:t>
      </w:r>
    </w:p>
    <w:p>
      <w:pPr>
        <w:spacing w:before="7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0"/>
          <w:sz w:val="20"/>
          <w:szCs w:val="20"/>
        </w:rPr>
        <w:t>5.1.4</w:t>
      </w:r>
      <w:r>
        <w:rPr>
          <w:rFonts w:ascii="SimSun" w:eastAsia="SimSun" w:hAnsi="SimSun" w:cs="SimSun"/>
          <w:spacing w:val="5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0"/>
          <w:sz w:val="20"/>
          <w:szCs w:val="20"/>
        </w:rPr>
        <w:t>泥浆护壁挤扩灌注桩成孔施工的允许偏差应满足表</w:t>
      </w:r>
    </w:p>
    <w:p>
      <w:pPr>
        <w:spacing w:before="73" w:line="22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5.1.4的要求。</w:t>
      </w:r>
    </w:p>
    <w:p>
      <w:pPr>
        <w:spacing w:before="115" w:line="221" w:lineRule="auto"/>
        <w:ind w:left="95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7"/>
          <w:sz w:val="20"/>
          <w:szCs w:val="20"/>
        </w:rPr>
        <w:t>表5.1.4</w:t>
      </w:r>
      <w:r>
        <w:rPr>
          <w:rFonts w:ascii="SimHei" w:eastAsia="SimHei" w:hAnsi="SimHei" w:cs="SimHei"/>
          <w:spacing w:val="7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0"/>
          <w:szCs w:val="20"/>
        </w:rPr>
        <w:t>泥浆护壁挤扩灌注桩成孔施工允许偏差</w:t>
      </w:r>
    </w:p>
    <w:p>
      <w:pPr>
        <w:spacing w:line="122" w:lineRule="exact"/>
      </w:pPr>
    </w:p>
    <w:tbl>
      <w:tblPr>
        <w:tblStyle w:val="TableNormal3"/>
        <w:tblW w:w="5720" w:type="dxa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3"/>
        <w:gridCol w:w="948"/>
        <w:gridCol w:w="639"/>
        <w:gridCol w:w="1747"/>
        <w:gridCol w:w="1433"/>
      </w:tblGrid>
      <w:tr>
        <w:tblPrEx>
          <w:tblW w:w="5720" w:type="dxa"/>
          <w:tblInd w:w="7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953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19" w:lineRule="auto"/>
              <w:ind w:left="1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桩身直径d</w:t>
            </w:r>
          </w:p>
          <w:p>
            <w:pPr>
              <w:pStyle w:val="TableText"/>
              <w:spacing w:before="82" w:line="222" w:lineRule="auto"/>
              <w:ind w:left="305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94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63" w:lineRule="auto"/>
              <w:ind w:left="302" w:right="162" w:hanging="16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桩径偏差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75" w:lineRule="auto"/>
              <w:ind w:left="73"/>
              <w:jc w:val="both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垂直度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1"/>
                <w:sz w:val="16"/>
                <w:szCs w:val="16"/>
              </w:rPr>
              <w:t>允许偏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18"/>
                <w:sz w:val="16"/>
                <w:szCs w:val="16"/>
              </w:rPr>
              <w:t>差(%】</w:t>
            </w:r>
          </w:p>
        </w:tc>
        <w:tc>
          <w:tcPr>
            <w:tcW w:w="3180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8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桩位允许偏差(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4"/>
                <w:sz w:val="16"/>
                <w:szCs w:val="16"/>
              </w:rPr>
              <w:t>)</w:t>
            </w:r>
          </w:p>
        </w:tc>
      </w:tr>
      <w:tr>
        <w:tblPrEx>
          <w:tblW w:w="5720" w:type="dxa"/>
          <w:tblInd w:w="79" w:type="dxa"/>
          <w:tblLayout w:type="fixed"/>
        </w:tblPrEx>
        <w:trPr>
          <w:trHeight w:val="856"/>
        </w:trPr>
        <w:tc>
          <w:tcPr>
            <w:tcW w:w="9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88" w:line="273" w:lineRule="auto"/>
              <w:ind w:left="35" w:right="79" w:firstLine="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1~3根、单排桩基沿垂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直轴线方向和群桩基础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中的边桩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spacing w:before="88" w:line="273" w:lineRule="auto"/>
              <w:ind w:left="18" w:right="59" w:firstLine="49"/>
              <w:jc w:val="both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条形桩基沿轴线方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8"/>
                <w:sz w:val="16"/>
                <w:szCs w:val="16"/>
              </w:rPr>
              <w:t>向和群桩基础中间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桩</w:t>
            </w:r>
          </w:p>
        </w:tc>
      </w:tr>
      <w:tr>
        <w:tblPrEx>
          <w:tblW w:w="5720" w:type="dxa"/>
          <w:tblInd w:w="79" w:type="dxa"/>
          <w:tblLayout w:type="fixed"/>
        </w:tblPrEx>
        <w:trPr>
          <w:trHeight w:val="547"/>
        </w:trPr>
        <w:tc>
          <w:tcPr>
            <w:tcW w:w="953" w:type="dxa"/>
            <w:vAlign w:val="top"/>
          </w:tcPr>
          <w:p>
            <w:pPr>
              <w:pStyle w:val="TableText"/>
              <w:spacing w:before="216" w:line="236" w:lineRule="auto"/>
              <w:ind w:left="18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d≤1000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96" w:line="254" w:lineRule="auto"/>
              <w:ind w:left="142" w:right="162" w:firstLine="7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±0.1d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-2"/>
                <w:sz w:val="16"/>
                <w:szCs w:val="16"/>
              </w:rPr>
              <w:t>且≤±50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4" w:lineRule="auto"/>
              <w:ind w:left="27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62" w:line="293" w:lineRule="exact"/>
              <w:ind w:left="505"/>
              <w:rPr>
                <w:sz w:val="16"/>
                <w:szCs w:val="16"/>
              </w:rPr>
            </w:pPr>
            <w:r>
              <w:rPr>
                <w:spacing w:val="-2"/>
                <w:position w:val="10"/>
                <w:sz w:val="16"/>
                <w:szCs w:val="16"/>
              </w:rPr>
              <w:t>d/6且不大</w:t>
            </w:r>
          </w:p>
          <w:p>
            <w:pPr>
              <w:pStyle w:val="TableText"/>
              <w:spacing w:line="209" w:lineRule="auto"/>
              <w:ind w:left="6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于100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spacing w:before="83" w:line="272" w:lineRule="exact"/>
              <w:ind w:left="348"/>
              <w:rPr>
                <w:sz w:val="16"/>
                <w:szCs w:val="16"/>
              </w:rPr>
            </w:pPr>
            <w:r>
              <w:rPr>
                <w:spacing w:val="-2"/>
                <w:position w:val="8"/>
                <w:sz w:val="16"/>
                <w:szCs w:val="16"/>
              </w:rPr>
              <w:t>d/4且不大</w:t>
            </w:r>
          </w:p>
          <w:p>
            <w:pPr>
              <w:pStyle w:val="TableText"/>
              <w:spacing w:line="209" w:lineRule="auto"/>
              <w:ind w:left="50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于150</w:t>
            </w:r>
          </w:p>
        </w:tc>
      </w:tr>
      <w:tr>
        <w:tblPrEx>
          <w:tblW w:w="5720" w:type="dxa"/>
          <w:tblInd w:w="79" w:type="dxa"/>
          <w:tblLayout w:type="fixed"/>
        </w:tblPrEx>
        <w:trPr>
          <w:trHeight w:val="314"/>
        </w:trPr>
        <w:tc>
          <w:tcPr>
            <w:tcW w:w="953" w:type="dxa"/>
            <w:vAlign w:val="top"/>
          </w:tcPr>
          <w:p>
            <w:pPr>
              <w:pStyle w:val="TableText"/>
              <w:spacing w:before="101" w:line="234" w:lineRule="auto"/>
              <w:ind w:left="2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d&gt;1000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99" w:line="235" w:lineRule="auto"/>
              <w:ind w:left="302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±50</w:t>
            </w:r>
          </w:p>
        </w:tc>
        <w:tc>
          <w:tcPr>
            <w:tcW w:w="6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126" w:line="184" w:lineRule="auto"/>
              <w:ind w:left="50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100+0.01H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spacing w:before="126" w:line="184" w:lineRule="auto"/>
              <w:ind w:left="3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150+0.01H</w:t>
            </w:r>
          </w:p>
        </w:tc>
      </w:tr>
    </w:tbl>
    <w:p>
      <w:pPr>
        <w:spacing w:before="122"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40"/>
          <w:footerReference w:type="default" r:id="rId41"/>
          <w:pgSz w:w="7920" w:h="12030"/>
          <w:pgMar w:top="400" w:right="1188" w:bottom="1265" w:left="849" w:header="0" w:footer="1116" w:gutter="0"/>
          <w:pgNumType w:start="27"/>
          <w:cols w:space="708"/>
        </w:sectPr>
      </w:pPr>
      <w:r>
        <w:rPr>
          <w:rFonts w:ascii="SimSun" w:eastAsia="SimSun" w:hAnsi="SimSun" w:cs="SimSun"/>
          <w:spacing w:val="-14"/>
          <w:sz w:val="17"/>
          <w:szCs w:val="17"/>
        </w:rPr>
        <w:t>注：1</w:t>
      </w:r>
      <w:r>
        <w:rPr>
          <w:rFonts w:ascii="SimSun" w:eastAsia="SimSun" w:hAnsi="SimSun" w:cs="SimSun"/>
          <w:spacing w:val="30"/>
          <w:w w:val="10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4"/>
          <w:sz w:val="17"/>
          <w:szCs w:val="17"/>
        </w:rPr>
        <w:t>允许偏差的负值是指个别断面；</w:t>
      </w:r>
    </w:p>
    <w:p>
      <w:pPr>
        <w:spacing w:before="49" w:line="219" w:lineRule="auto"/>
        <w:ind w:left="280"/>
        <w:rPr>
          <w:rFonts w:ascii="SimSun" w:eastAsia="SimSun" w:hAnsi="SimSun" w:cs="SimSu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2    H₄</w:t>
      </w:r>
      <w:r>
        <w:rPr>
          <w:rFonts w:ascii="SimSun" w:eastAsia="SimSun" w:hAnsi="SimSun" w:cs="SimSun"/>
          <w:spacing w:val="-7"/>
          <w:sz w:val="17"/>
          <w:szCs w:val="17"/>
        </w:rPr>
        <w:t>为施工现场地面标高与桩顶设计标高的距离。</w:t>
      </w:r>
    </w:p>
    <w:p>
      <w:pPr>
        <w:spacing w:before="69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z w:val="20"/>
          <w:szCs w:val="20"/>
        </w:rPr>
        <w:t>5.1.5</w:t>
      </w:r>
      <w:r>
        <w:rPr>
          <w:rFonts w:ascii="SimSun" w:eastAsia="SimSun" w:hAnsi="SimSun" w:cs="SimSun"/>
          <w:spacing w:val="44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盘、岔应确保位于设计要求的土层；盘、岔最小</w:t>
      </w:r>
      <w:r>
        <w:rPr>
          <w:rFonts w:ascii="SimSun" w:eastAsia="SimSun" w:hAnsi="SimSun" w:cs="SimSun"/>
          <w:spacing w:val="-1"/>
          <w:sz w:val="20"/>
          <w:szCs w:val="20"/>
        </w:rPr>
        <w:t>允许直径</w:t>
      </w:r>
    </w:p>
    <w:p>
      <w:pPr>
        <w:spacing w:before="12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(也即保证直径)为盘的设计直径。</w:t>
      </w:r>
    </w:p>
    <w:p>
      <w:pPr>
        <w:spacing w:before="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5.1.6</w:t>
      </w:r>
      <w:r>
        <w:rPr>
          <w:rFonts w:ascii="SimSun" w:eastAsia="SimSun" w:hAnsi="SimSun" w:cs="SimSun"/>
          <w:spacing w:val="4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钢筋笼制作除符合设计要求外，尚应满足下列规定：</w:t>
      </w:r>
    </w:p>
    <w:p>
      <w:pPr>
        <w:spacing w:before="143" w:line="219" w:lineRule="auto"/>
        <w:ind w:left="48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</w:t>
      </w:r>
      <w:r>
        <w:rPr>
          <w:rFonts w:ascii="SimSun" w:eastAsia="SimSun" w:hAnsi="SimSun" w:cs="SimSun"/>
          <w:spacing w:val="3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钢筋笼制作允许偏差见表5.1.6;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42"/>
          <w:footerReference w:type="default" r:id="rId43"/>
          <w:type w:val="nextPage"/>
          <w:pgSz w:w="7920" w:h="12030"/>
          <w:pgMar w:top="400" w:right="1188" w:bottom="1265" w:left="849" w:header="0" w:footer="1116" w:gutter="0"/>
          <w:pgNumType w:start="28"/>
          <w:cols w:space="708"/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59" w:line="221" w:lineRule="auto"/>
        <w:ind w:left="1607"/>
        <w:rPr>
          <w:rFonts w:ascii="SimHei" w:eastAsia="SimHei" w:hAnsi="SimHei" w:cs="SimHei"/>
          <w:sz w:val="18"/>
          <w:szCs w:val="18"/>
        </w:rPr>
      </w:pPr>
      <w:bookmarkStart w:id="21" w:name="bookmark36"/>
      <w:bookmarkEnd w:id="21"/>
      <w:bookmarkStart w:id="22" w:name="bookmark20"/>
      <w:bookmarkEnd w:id="22"/>
      <w:r>
        <w:rPr>
          <w:rFonts w:ascii="SimHei" w:eastAsia="SimHei" w:hAnsi="SimHei" w:cs="SimHei"/>
          <w:b/>
          <w:bCs/>
          <w:sz w:val="18"/>
          <w:szCs w:val="18"/>
        </w:rPr>
        <w:t>表5.1.6</w:t>
      </w:r>
      <w:r>
        <w:rPr>
          <w:rFonts w:ascii="SimHei" w:eastAsia="SimHei" w:hAnsi="SimHei" w:cs="SimHei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z w:val="18"/>
          <w:szCs w:val="18"/>
        </w:rPr>
        <w:t>钢筋笼制作允许偏差</w:t>
      </w:r>
    </w:p>
    <w:p>
      <w:pPr>
        <w:spacing w:line="146" w:lineRule="exact"/>
      </w:pPr>
    </w:p>
    <w:tbl>
      <w:tblPr>
        <w:tblStyle w:val="TableNormal4"/>
        <w:tblW w:w="57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82"/>
        <w:gridCol w:w="2385"/>
        <w:gridCol w:w="1752"/>
      </w:tblGrid>
      <w:tr>
        <w:tblPrEx>
          <w:tblW w:w="57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1582" w:type="dxa"/>
            <w:vAlign w:val="top"/>
          </w:tcPr>
          <w:p>
            <w:pPr>
              <w:pStyle w:val="TableText"/>
              <w:spacing w:before="81" w:line="219" w:lineRule="auto"/>
              <w:ind w:left="62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项次</w:t>
            </w:r>
          </w:p>
        </w:tc>
        <w:tc>
          <w:tcPr>
            <w:tcW w:w="2385" w:type="dxa"/>
            <w:vAlign w:val="top"/>
          </w:tcPr>
          <w:p>
            <w:pPr>
              <w:pStyle w:val="TableText"/>
              <w:spacing w:before="82" w:line="220" w:lineRule="auto"/>
              <w:ind w:left="1023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项 目</w:t>
            </w:r>
          </w:p>
        </w:tc>
        <w:tc>
          <w:tcPr>
            <w:tcW w:w="1752" w:type="dxa"/>
            <w:vAlign w:val="top"/>
          </w:tcPr>
          <w:p>
            <w:pPr>
              <w:pStyle w:val="TableText"/>
              <w:spacing w:before="81" w:line="219" w:lineRule="auto"/>
              <w:ind w:left="3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允许偏差(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</w:tr>
      <w:tr>
        <w:tblPrEx>
          <w:tblW w:w="5719" w:type="dxa"/>
          <w:tblInd w:w="5" w:type="dxa"/>
          <w:tblLayout w:type="fixed"/>
        </w:tblPrEx>
        <w:trPr>
          <w:trHeight w:val="308"/>
        </w:trPr>
        <w:tc>
          <w:tcPr>
            <w:tcW w:w="1582" w:type="dxa"/>
            <w:vAlign w:val="top"/>
          </w:tcPr>
          <w:p>
            <w:pPr>
              <w:pStyle w:val="TableText"/>
              <w:spacing w:before="118" w:line="184" w:lineRule="auto"/>
              <w:ind w:left="7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385" w:type="dxa"/>
            <w:vAlign w:val="top"/>
          </w:tcPr>
          <w:p>
            <w:pPr>
              <w:pStyle w:val="TableText"/>
              <w:spacing w:before="78" w:line="219" w:lineRule="auto"/>
              <w:ind w:left="86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主筋间距</w:t>
            </w:r>
          </w:p>
        </w:tc>
        <w:tc>
          <w:tcPr>
            <w:tcW w:w="1752" w:type="dxa"/>
            <w:vAlign w:val="top"/>
          </w:tcPr>
          <w:p>
            <w:pPr>
              <w:pStyle w:val="TableText"/>
              <w:spacing w:before="92" w:line="235" w:lineRule="auto"/>
              <w:ind w:left="707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±10</w:t>
            </w:r>
          </w:p>
        </w:tc>
      </w:tr>
      <w:tr>
        <w:tblPrEx>
          <w:tblW w:w="5719" w:type="dxa"/>
          <w:tblInd w:w="5" w:type="dxa"/>
          <w:tblLayout w:type="fixed"/>
        </w:tblPrEx>
        <w:trPr>
          <w:trHeight w:val="308"/>
        </w:trPr>
        <w:tc>
          <w:tcPr>
            <w:tcW w:w="1582" w:type="dxa"/>
            <w:vAlign w:val="top"/>
          </w:tcPr>
          <w:p>
            <w:pPr>
              <w:pStyle w:val="TableText"/>
              <w:spacing w:before="121" w:line="183" w:lineRule="auto"/>
              <w:ind w:left="7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385" w:type="dxa"/>
            <w:vAlign w:val="top"/>
          </w:tcPr>
          <w:p>
            <w:pPr>
              <w:pStyle w:val="TableText"/>
              <w:spacing w:before="80" w:line="219" w:lineRule="auto"/>
              <w:ind w:left="38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箍筋间距或螺旋筋螺距</w:t>
            </w:r>
          </w:p>
        </w:tc>
        <w:tc>
          <w:tcPr>
            <w:tcW w:w="1752" w:type="dxa"/>
            <w:vAlign w:val="top"/>
          </w:tcPr>
          <w:p>
            <w:pPr>
              <w:pStyle w:val="TableText"/>
              <w:spacing w:before="94" w:line="235" w:lineRule="auto"/>
              <w:ind w:left="707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±20</w:t>
            </w:r>
          </w:p>
        </w:tc>
      </w:tr>
      <w:tr>
        <w:tblPrEx>
          <w:tblW w:w="5719" w:type="dxa"/>
          <w:tblInd w:w="5" w:type="dxa"/>
          <w:tblLayout w:type="fixed"/>
        </w:tblPrEx>
        <w:trPr>
          <w:trHeight w:val="298"/>
        </w:trPr>
        <w:tc>
          <w:tcPr>
            <w:tcW w:w="1582" w:type="dxa"/>
            <w:vAlign w:val="top"/>
          </w:tcPr>
          <w:p>
            <w:pPr>
              <w:pStyle w:val="TableText"/>
              <w:spacing w:before="113" w:line="183" w:lineRule="auto"/>
              <w:ind w:left="7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385" w:type="dxa"/>
            <w:vAlign w:val="top"/>
          </w:tcPr>
          <w:p>
            <w:pPr>
              <w:pStyle w:val="TableText"/>
              <w:spacing w:before="72" w:line="219" w:lineRule="auto"/>
              <w:ind w:left="78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钢筋笼直径</w:t>
            </w:r>
          </w:p>
        </w:tc>
        <w:tc>
          <w:tcPr>
            <w:tcW w:w="1752" w:type="dxa"/>
            <w:vAlign w:val="top"/>
          </w:tcPr>
          <w:p>
            <w:pPr>
              <w:pStyle w:val="TableText"/>
              <w:spacing w:before="86" w:line="233" w:lineRule="auto"/>
              <w:ind w:left="707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±10</w:t>
            </w:r>
          </w:p>
        </w:tc>
      </w:tr>
      <w:tr>
        <w:tblPrEx>
          <w:tblW w:w="5719" w:type="dxa"/>
          <w:tblInd w:w="5" w:type="dxa"/>
          <w:tblLayout w:type="fixed"/>
        </w:tblPrEx>
        <w:trPr>
          <w:trHeight w:val="312"/>
        </w:trPr>
        <w:tc>
          <w:tcPr>
            <w:tcW w:w="1582" w:type="dxa"/>
            <w:vAlign w:val="top"/>
          </w:tcPr>
          <w:p>
            <w:pPr>
              <w:pStyle w:val="TableText"/>
              <w:spacing w:before="125" w:line="183" w:lineRule="auto"/>
              <w:ind w:left="7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385" w:type="dxa"/>
            <w:vAlign w:val="top"/>
          </w:tcPr>
          <w:p>
            <w:pPr>
              <w:pStyle w:val="TableText"/>
              <w:spacing w:before="84" w:line="219" w:lineRule="auto"/>
              <w:ind w:left="78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钢筋笼长度</w:t>
            </w:r>
          </w:p>
        </w:tc>
        <w:tc>
          <w:tcPr>
            <w:tcW w:w="1752" w:type="dxa"/>
            <w:vAlign w:val="top"/>
          </w:tcPr>
          <w:p>
            <w:pPr>
              <w:pStyle w:val="TableText"/>
              <w:spacing w:before="98" w:line="235" w:lineRule="auto"/>
              <w:ind w:left="707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±50</w:t>
            </w:r>
          </w:p>
        </w:tc>
      </w:tr>
    </w:tbl>
    <w:p>
      <w:pPr>
        <w:spacing w:before="241" w:line="273" w:lineRule="auto"/>
        <w:ind w:left="5" w:right="19" w:firstLine="3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2  分段制作的钢筋笼，其接头宜采用焊接并应遵守现行标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准《钢筋焊接及验收规程》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(JGJ18)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及《混凝土结构工程施工及验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收规范》(GB50204) 的规定；</w:t>
      </w:r>
    </w:p>
    <w:p>
      <w:pPr>
        <w:spacing w:before="50" w:line="219" w:lineRule="auto"/>
        <w:ind w:left="3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3  主筋净距必须大于混凝土粗骨料粒径3倍以上；</w:t>
      </w:r>
    </w:p>
    <w:p>
      <w:pPr>
        <w:spacing w:before="71" w:line="250" w:lineRule="auto"/>
        <w:ind w:left="5" w:right="37" w:firstLine="3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4  加劲箍宜设在主筋外侧，主筋一般不设弯钩，根据施工工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艺要求所设弯钩不得向内圆伸露，以免妨碍导管工作；</w:t>
      </w:r>
    </w:p>
    <w:p>
      <w:pPr>
        <w:spacing w:before="70" w:line="219" w:lineRule="auto"/>
        <w:ind w:left="3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5  钢筋笼的内径应比导管接头外径大100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以上；</w:t>
      </w:r>
    </w:p>
    <w:p>
      <w:pPr>
        <w:spacing w:before="42" w:line="268" w:lineRule="auto"/>
        <w:ind w:left="5" w:right="38" w:firstLine="39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8"/>
          <w:sz w:val="21"/>
          <w:szCs w:val="21"/>
        </w:rPr>
        <w:t>6</w:t>
      </w:r>
      <w:r>
        <w:rPr>
          <w:rFonts w:ascii="SimSun" w:eastAsia="SimSun" w:hAnsi="SimSun" w:cs="SimSun"/>
          <w:spacing w:val="1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搬运和吊装时，应防止变形，安放要对准孔位，避免碰撞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孔壁，就位后应立即固定；</w:t>
      </w:r>
    </w:p>
    <w:p>
      <w:pPr>
        <w:spacing w:before="39" w:line="219" w:lineRule="auto"/>
        <w:ind w:left="3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7  钢筋笼主筋的保护层允许偏差为±20</w:t>
      </w:r>
      <w:r>
        <w:rPr>
          <w:rFonts w:ascii="Times New Roman" w:eastAsia="Times New Roman" w:hAnsi="Times New Roman" w:cs="Times New Roman"/>
          <w:sz w:val="21"/>
          <w:szCs w:val="21"/>
        </w:rPr>
        <w:t>mm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51" w:line="219" w:lineRule="auto"/>
        <w:ind w:left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2"/>
          <w:sz w:val="21"/>
          <w:szCs w:val="21"/>
        </w:rPr>
        <w:t>5.1.7</w:t>
      </w:r>
      <w:r>
        <w:rPr>
          <w:rFonts w:ascii="SimSun" w:eastAsia="SimSun" w:hAnsi="SimSun" w:cs="SimSun"/>
          <w:spacing w:val="3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挤扩灌注桩用混凝土粗骨料可选用卵石或碎石，其最大</w:t>
      </w:r>
    </w:p>
    <w:p>
      <w:pPr>
        <w:spacing w:before="101" w:line="219" w:lineRule="auto"/>
        <w:ind w:left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粒径不宜大于50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mm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pStyle w:val="BodyText"/>
        <w:spacing w:before="41" w:line="219" w:lineRule="auto"/>
        <w:ind w:left="5"/>
        <w:rPr>
          <w:rFonts w:ascii="SimSun" w:eastAsia="SimSun" w:hAnsi="SimSun" w:cs="SimSun"/>
        </w:rPr>
      </w:pPr>
      <w:r>
        <w:rPr>
          <w:b/>
          <w:bCs/>
          <w:spacing w:val="-6"/>
        </w:rPr>
        <w:t xml:space="preserve">5.1.8     </w:t>
      </w:r>
      <w:r>
        <w:rPr>
          <w:rFonts w:ascii="SimSun" w:eastAsia="SimSun" w:hAnsi="SimSun" w:cs="SimSun"/>
          <w:spacing w:val="-6"/>
        </w:rPr>
        <w:t>检查成孔、岔腔、盘腔质量合</w:t>
      </w:r>
      <w:r>
        <w:rPr>
          <w:rFonts w:ascii="SimSun" w:eastAsia="SimSun" w:hAnsi="SimSun" w:cs="SimSun"/>
          <w:spacing w:val="-7"/>
        </w:rPr>
        <w:t>格后应尽快浇注混凝土，混</w:t>
      </w:r>
    </w:p>
    <w:p>
      <w:pPr>
        <w:spacing w:before="101" w:line="219" w:lineRule="auto"/>
        <w:ind w:left="5"/>
        <w:rPr>
          <w:rFonts w:ascii="SimSun" w:eastAsia="SimSun" w:hAnsi="SimSun" w:cs="SimSun"/>
          <w:sz w:val="21"/>
          <w:szCs w:val="21"/>
        </w:rPr>
        <w:sectPr>
          <w:headerReference w:type="default" r:id="rId44"/>
          <w:footerReference w:type="default" r:id="rId45"/>
          <w:pgSz w:w="7730" w:h="11910"/>
          <w:pgMar w:top="400" w:right="891" w:bottom="1151" w:left="1034" w:header="0" w:footer="1022" w:gutter="0"/>
          <w:pgNumType w:start="29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凝土必须按灌注桩规定要求留有试件。</w:t>
      </w:r>
    </w:p>
    <w:p>
      <w:pPr>
        <w:spacing w:before="31" w:line="259" w:lineRule="auto"/>
        <w:ind w:left="5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6"/>
          <w:sz w:val="21"/>
          <w:szCs w:val="21"/>
        </w:rPr>
        <w:t>5.1.9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6"/>
          <w:sz w:val="21"/>
          <w:szCs w:val="21"/>
        </w:rPr>
        <w:t>挤</w:t>
      </w:r>
      <w:r>
        <w:rPr>
          <w:rFonts w:ascii="SimSun" w:eastAsia="SimSun" w:hAnsi="SimSun" w:cs="SimSun"/>
          <w:spacing w:val="-15"/>
          <w:sz w:val="21"/>
          <w:szCs w:val="21"/>
        </w:rPr>
        <w:t>扩灌注桩施工现场所有设备、设施、安全装置、工具</w:t>
      </w:r>
      <w:r>
        <w:rPr>
          <w:rFonts w:ascii="SimSun" w:eastAsia="SimSun" w:hAnsi="SimSun" w:cs="SimSun"/>
          <w:spacing w:val="-16"/>
          <w:sz w:val="21"/>
          <w:szCs w:val="21"/>
        </w:rPr>
        <w:t>、</w:t>
      </w:r>
      <w:r>
        <w:rPr>
          <w:rFonts w:ascii="SimSun" w:eastAsia="SimSun" w:hAnsi="SimSun" w:cs="SimSun"/>
          <w:spacing w:val="-10"/>
          <w:sz w:val="21"/>
          <w:szCs w:val="21"/>
        </w:rPr>
        <w:t>配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件及个人劳保用品必须经常检查，确保完好和使用安全。</w:t>
      </w:r>
    </w:p>
    <w:p>
      <w:pPr>
        <w:pStyle w:val="BodyText"/>
        <w:spacing w:line="308" w:lineRule="auto"/>
      </w:pPr>
    </w:p>
    <w:p>
      <w:pPr>
        <w:spacing w:before="68" w:line="223" w:lineRule="auto"/>
        <w:ind w:left="2257"/>
        <w:outlineLvl w:val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5.2</w:t>
      </w:r>
      <w:r>
        <w:rPr>
          <w:rFonts w:ascii="SimHei" w:eastAsia="SimHei" w:hAnsi="SimHei" w:cs="SimHei"/>
          <w:spacing w:val="10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施工准备</w:t>
      </w:r>
    </w:p>
    <w:p>
      <w:pPr>
        <w:pStyle w:val="BodyText"/>
        <w:spacing w:line="318" w:lineRule="auto"/>
      </w:pPr>
    </w:p>
    <w:p>
      <w:pPr>
        <w:spacing w:before="69" w:line="219" w:lineRule="auto"/>
        <w:ind w:left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5.2.1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挤扩灌注桩施工应具备下列资料：</w:t>
      </w:r>
    </w:p>
    <w:p>
      <w:pPr>
        <w:spacing w:before="71" w:line="219" w:lineRule="auto"/>
        <w:ind w:left="3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1  建筑物场地工程地质资料和水文地质资料；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46"/>
          <w:footerReference w:type="default" r:id="rId47"/>
          <w:type w:val="nextPage"/>
          <w:pgSz w:w="7730" w:h="11910"/>
          <w:pgMar w:top="400" w:right="891" w:bottom="1151" w:left="1034" w:header="0" w:footer="1022" w:gutter="0"/>
          <w:pgNumType w:start="30"/>
          <w:cols w:space="708"/>
          <w:titlePg w:val="0"/>
        </w:sectPr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before="65" w:line="276" w:lineRule="auto"/>
        <w:ind w:right="5" w:firstLine="409"/>
        <w:jc w:val="both"/>
        <w:rPr>
          <w:rFonts w:ascii="SimSun" w:eastAsia="SimSun" w:hAnsi="SimSun" w:cs="SimSun"/>
          <w:sz w:val="20"/>
          <w:szCs w:val="20"/>
        </w:rPr>
      </w:pPr>
      <w:bookmarkStart w:id="23" w:name="bookmark37"/>
      <w:bookmarkEnd w:id="23"/>
      <w:bookmarkStart w:id="24" w:name="bookmark21"/>
      <w:bookmarkEnd w:id="24"/>
      <w:r>
        <w:rPr>
          <w:rFonts w:ascii="SimSun" w:eastAsia="SimSun" w:hAnsi="SimSun" w:cs="SimSun"/>
          <w:spacing w:val="10"/>
          <w:sz w:val="20"/>
          <w:szCs w:val="20"/>
        </w:rPr>
        <w:t>2  桩基工程施工图(包括同一单位工程中所有的桩基础图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7"/>
          <w:sz w:val="20"/>
          <w:szCs w:val="20"/>
        </w:rPr>
        <w:t>特别是桩身大样图中各承力盘(岔)在土层中位置及土层名称)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及图纸会审记录；</w:t>
      </w:r>
    </w:p>
    <w:p>
      <w:pPr>
        <w:spacing w:before="72" w:line="267" w:lineRule="auto"/>
        <w:ind w:right="41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建筑物场地和邻近区域内的地下管线(管道、电缆)、地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下构筑物以及危房等对沉降敏感的建筑物调查资料；</w:t>
      </w:r>
    </w:p>
    <w:p>
      <w:pPr>
        <w:spacing w:before="61" w:line="267" w:lineRule="auto"/>
        <w:ind w:left="412" w:right="8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主要施工机械及其配套设备的技术性能资料；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5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桩基工程的施工组织设计或施工方案；</w:t>
      </w:r>
    </w:p>
    <w:p>
      <w:pPr>
        <w:spacing w:before="72" w:line="270" w:lineRule="auto"/>
        <w:ind w:left="412" w:right="4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6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直孔与挤扩腔体工艺试验记录及桩静载试验资料；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7</w:t>
      </w:r>
      <w:r>
        <w:rPr>
          <w:rFonts w:ascii="SimSun" w:eastAsia="SimSun" w:hAnsi="SimSun" w:cs="SimSun"/>
          <w:spacing w:val="-5"/>
          <w:sz w:val="20"/>
          <w:szCs w:val="20"/>
        </w:rPr>
        <w:t xml:space="preserve">  水泥、砂、石、钢筋等原材料及其制品的质检报告；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8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有关荷载、施工工艺的试验参考资料。</w:t>
      </w:r>
    </w:p>
    <w:p>
      <w:pPr>
        <w:pStyle w:val="BodyText"/>
        <w:spacing w:before="71" w:line="267" w:lineRule="auto"/>
        <w:ind w:right="33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5.2.2     </w:t>
      </w:r>
      <w:r>
        <w:rPr>
          <w:rFonts w:ascii="SimSun" w:eastAsia="SimSun" w:hAnsi="SimSun" w:cs="SimSun"/>
          <w:spacing w:val="7"/>
          <w:sz w:val="20"/>
          <w:szCs w:val="20"/>
        </w:rPr>
        <w:t>施工组织设计应结合工程特点，有针对性</w:t>
      </w:r>
      <w:r>
        <w:rPr>
          <w:rFonts w:ascii="SimSun" w:eastAsia="SimSun" w:hAnsi="SimSun" w:cs="SimSun"/>
          <w:spacing w:val="6"/>
          <w:sz w:val="20"/>
          <w:szCs w:val="20"/>
        </w:rPr>
        <w:t>地制定相应的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质量管理措施，主要包括下列内容：</w:t>
      </w:r>
    </w:p>
    <w:p>
      <w:pPr>
        <w:spacing w:before="63" w:line="271" w:lineRule="auto"/>
        <w:ind w:right="17" w:firstLine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1</w:t>
      </w:r>
      <w:r>
        <w:rPr>
          <w:rFonts w:ascii="SimSun" w:eastAsia="SimSun" w:hAnsi="SimSun" w:cs="SimSun"/>
          <w:spacing w:val="-5"/>
          <w:sz w:val="20"/>
          <w:szCs w:val="20"/>
        </w:rPr>
        <w:t xml:space="preserve">  施工平面图：标明桩位、编号、施工顺序、水电线路和临时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设施的位置；采用泥浆护壁成孔时，应标明泥浆制备设施及其循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环系统：</w:t>
      </w:r>
    </w:p>
    <w:p>
      <w:pPr>
        <w:spacing w:before="78" w:line="257" w:lineRule="auto"/>
        <w:ind w:right="33" w:firstLine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2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确定成孔机械配套设备、挤扩设备以及合理施工工艺的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有关资料，采用泥浆扩壁成孔工艺时，必须有泥浆处理措施；</w:t>
      </w:r>
    </w:p>
    <w:p>
      <w:pPr>
        <w:spacing w:before="84" w:line="259" w:lineRule="auto"/>
        <w:ind w:right="32" w:firstLine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3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施工作业计划、钻机与挤扩机交接操作要点以及劳</w:t>
      </w:r>
      <w:r>
        <w:rPr>
          <w:rFonts w:ascii="SimSun" w:eastAsia="SimSun" w:hAnsi="SimSun" w:cs="SimSun"/>
          <w:spacing w:val="8"/>
          <w:sz w:val="20"/>
          <w:szCs w:val="20"/>
        </w:rPr>
        <w:t>动力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组织计划；</w:t>
      </w:r>
    </w:p>
    <w:p>
      <w:pPr>
        <w:spacing w:before="79" w:line="268" w:lineRule="auto"/>
        <w:ind w:right="22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4/机械设备、备(配)件、工具(包括质量检查工具)、材料供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应计划；</w:t>
      </w:r>
    </w:p>
    <w:p>
      <w:pPr>
        <w:spacing w:before="57" w:line="263" w:lineRule="auto"/>
        <w:ind w:right="21" w:firstLine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2"/>
          <w:sz w:val="20"/>
          <w:szCs w:val="20"/>
        </w:rPr>
        <w:t>5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 桩基施工时，对安全、劳动保护、防火、防雨、防台风、爆破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作业、文物和环境保护等方面，应按有关规定执行；</w:t>
      </w:r>
    </w:p>
    <w:p>
      <w:pPr>
        <w:spacing w:before="63" w:line="219" w:lineRule="auto"/>
        <w:ind w:left="412"/>
        <w:rPr>
          <w:rFonts w:ascii="SimSun" w:eastAsia="SimSun" w:hAnsi="SimSun" w:cs="SimSun"/>
          <w:sz w:val="20"/>
          <w:szCs w:val="20"/>
        </w:rPr>
        <w:sectPr>
          <w:headerReference w:type="default" r:id="rId48"/>
          <w:footerReference w:type="default" r:id="rId49"/>
          <w:pgSz w:w="7880" w:h="12000"/>
          <w:pgMar w:top="400" w:right="1120" w:bottom="1235" w:left="970" w:header="0" w:footer="1086" w:gutter="0"/>
          <w:pgNumType w:start="31"/>
          <w:cols w:space="708"/>
        </w:sect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6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保证工程质量、安全生产和季节性(冬、</w:t>
      </w:r>
      <w:r>
        <w:rPr>
          <w:rFonts w:ascii="SimSun" w:eastAsia="SimSun" w:hAnsi="SimSun" w:cs="SimSun"/>
          <w:spacing w:val="8"/>
          <w:sz w:val="20"/>
          <w:szCs w:val="20"/>
        </w:rPr>
        <w:t>雨)施工的技术</w:t>
      </w:r>
    </w:p>
    <w:p>
      <w:pPr>
        <w:spacing w:before="113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措施。</w:t>
      </w:r>
    </w:p>
    <w:p>
      <w:pPr>
        <w:pStyle w:val="BodyText"/>
        <w:spacing w:before="40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5.2.3     </w:t>
      </w:r>
      <w:r>
        <w:rPr>
          <w:rFonts w:ascii="SimSun" w:eastAsia="SimSun" w:hAnsi="SimSun" w:cs="SimSun"/>
          <w:spacing w:val="7"/>
          <w:sz w:val="20"/>
          <w:szCs w:val="20"/>
        </w:rPr>
        <w:t>成桩机械显示挤扩压力的液</w:t>
      </w:r>
      <w:r>
        <w:rPr>
          <w:rFonts w:ascii="SimSun" w:eastAsia="SimSun" w:hAnsi="SimSun" w:cs="SimSun"/>
          <w:spacing w:val="6"/>
          <w:sz w:val="20"/>
          <w:szCs w:val="20"/>
        </w:rPr>
        <w:t>压表必须经计量检定后方能</w:t>
      </w:r>
    </w:p>
    <w:p>
      <w:pPr>
        <w:spacing w:before="11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使用。</w:t>
      </w:r>
    </w:p>
    <w:p>
      <w:pPr>
        <w:pStyle w:val="BodyText"/>
        <w:spacing w:before="71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 xml:space="preserve">5.2.4     </w:t>
      </w:r>
      <w:r>
        <w:rPr>
          <w:rFonts w:ascii="SimSun" w:eastAsia="SimSun" w:hAnsi="SimSun" w:cs="SimSun"/>
          <w:spacing w:val="8"/>
          <w:sz w:val="20"/>
          <w:szCs w:val="20"/>
        </w:rPr>
        <w:t>施工前应组织图纸会审，会审纪要连同</w:t>
      </w:r>
      <w:r>
        <w:rPr>
          <w:rFonts w:ascii="SimSun" w:eastAsia="SimSun" w:hAnsi="SimSun" w:cs="SimSun"/>
          <w:spacing w:val="7"/>
          <w:sz w:val="20"/>
          <w:szCs w:val="20"/>
        </w:rPr>
        <w:t>施工图等作为施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50"/>
          <w:footerReference w:type="default" r:id="rId51"/>
          <w:type w:val="nextPage"/>
          <w:pgSz w:w="7880" w:h="12000"/>
          <w:pgMar w:top="400" w:right="1120" w:bottom="1235" w:left="970" w:header="0" w:footer="1086" w:gutter="0"/>
          <w:pgNumType w:start="32"/>
          <w:cols w:space="708"/>
          <w:titlePg w:val="0"/>
        </w:sectPr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bookmarkStart w:id="25" w:name="bookmark22"/>
      <w:bookmarkEnd w:id="25"/>
      <w:bookmarkStart w:id="26" w:name="bookmark38"/>
      <w:bookmarkEnd w:id="26"/>
      <w:r>
        <w:rPr>
          <w:rFonts w:ascii="SimSun" w:eastAsia="SimSun" w:hAnsi="SimSun" w:cs="SimSun"/>
          <w:spacing w:val="3"/>
          <w:sz w:val="20"/>
          <w:szCs w:val="20"/>
        </w:rPr>
        <w:t>工依据并列入工程资料存档。</w:t>
      </w:r>
    </w:p>
    <w:p>
      <w:pPr>
        <w:pStyle w:val="BodyText"/>
        <w:spacing w:before="73" w:line="276" w:lineRule="auto"/>
        <w:ind w:right="51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6"/>
          <w:sz w:val="20"/>
          <w:szCs w:val="20"/>
        </w:rPr>
        <w:t xml:space="preserve">5.2.5      </w:t>
      </w:r>
      <w:r>
        <w:rPr>
          <w:rFonts w:ascii="SimSun" w:eastAsia="SimSun" w:hAnsi="SimSun" w:cs="SimSun"/>
          <w:spacing w:val="-6"/>
          <w:sz w:val="20"/>
          <w:szCs w:val="20"/>
        </w:rPr>
        <w:t>桩基施工用的临时设施，如供水、供电、道路、排水、临设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房屋等，必须在开工前准备就绪，施工场地应进行平整处理，以保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证施工机械正常作业。</w:t>
      </w:r>
    </w:p>
    <w:p>
      <w:pPr>
        <w:pStyle w:val="BodyText"/>
        <w:spacing w:before="63" w:line="263" w:lineRule="auto"/>
        <w:ind w:right="5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5.2.6     </w:t>
      </w:r>
      <w:r>
        <w:rPr>
          <w:rFonts w:ascii="SimSun" w:eastAsia="SimSun" w:hAnsi="SimSun" w:cs="SimSun"/>
          <w:spacing w:val="7"/>
          <w:sz w:val="20"/>
          <w:szCs w:val="20"/>
        </w:rPr>
        <w:t>基桩轴线的控制点和水准基点应设在不受施工影响的地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方。开工前，经复核后应妥善保护，施工中应经常复测。</w:t>
      </w:r>
    </w:p>
    <w:p>
      <w:pPr>
        <w:pStyle w:val="BodyText"/>
        <w:spacing w:before="71" w:line="276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 xml:space="preserve">5.2.7     </w:t>
      </w:r>
      <w:r>
        <w:rPr>
          <w:rFonts w:ascii="SimSun" w:eastAsia="SimSun" w:hAnsi="SimSun" w:cs="SimSun"/>
          <w:spacing w:val="3"/>
          <w:sz w:val="20"/>
          <w:szCs w:val="20"/>
        </w:rPr>
        <w:t>施工前宜先进行试成孔、试挤扩盘、</w:t>
      </w:r>
      <w:r>
        <w:rPr>
          <w:rFonts w:ascii="SimSun" w:eastAsia="SimSun" w:hAnsi="SimSun" w:cs="SimSun"/>
          <w:spacing w:val="2"/>
          <w:sz w:val="20"/>
          <w:szCs w:val="20"/>
        </w:rPr>
        <w:t>岔以及试成桩试验，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以便核对地质资料，检验设备及挤扩压力等技术要</w:t>
      </w:r>
      <w:r>
        <w:rPr>
          <w:rFonts w:ascii="SimSun" w:eastAsia="SimSun" w:hAnsi="SimSun" w:cs="SimSun"/>
          <w:spacing w:val="7"/>
          <w:sz w:val="20"/>
          <w:szCs w:val="20"/>
        </w:rPr>
        <w:t>求是否适宜，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检验承力盘(岔)的成型情况，并应详细纪录成孔</w:t>
      </w:r>
      <w:r>
        <w:rPr>
          <w:rFonts w:ascii="SimSun" w:eastAsia="SimSun" w:hAnsi="SimSun" w:cs="SimSun"/>
          <w:spacing w:val="5"/>
          <w:sz w:val="20"/>
          <w:szCs w:val="20"/>
        </w:rPr>
        <w:t>、挤扩和灌注混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凝土的各种数据，作为施工控制的依据。</w:t>
      </w:r>
    </w:p>
    <w:p>
      <w:pPr>
        <w:pStyle w:val="BodyText"/>
        <w:spacing w:line="332" w:lineRule="auto"/>
      </w:pPr>
    </w:p>
    <w:p>
      <w:pPr>
        <w:spacing w:before="65" w:line="222" w:lineRule="auto"/>
        <w:ind w:left="190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5.3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挤扩灌注桩施工</w:t>
      </w:r>
    </w:p>
    <w:p>
      <w:pPr>
        <w:pStyle w:val="BodyText"/>
        <w:spacing w:line="316" w:lineRule="auto"/>
      </w:pPr>
    </w:p>
    <w:p>
      <w:pPr>
        <w:spacing w:before="65" w:line="267" w:lineRule="auto"/>
        <w:ind w:right="30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z w:val="20"/>
          <w:szCs w:val="20"/>
        </w:rPr>
        <w:t>5.3.1</w:t>
      </w:r>
      <w:r>
        <w:rPr>
          <w:rFonts w:ascii="SimSun" w:eastAsia="SimSun" w:hAnsi="SimSun" w:cs="SimSun"/>
          <w:spacing w:val="37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泥浆护壁成孔的要求，在泥浆的制备和处理、正反循环钻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成孔的施工、冲击钻成孔的施工、水下混凝土的浇注等方面均应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按现行《建筑桩基技术规范》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(JGJ94)   </w:t>
      </w:r>
      <w:r>
        <w:rPr>
          <w:rFonts w:ascii="SimSun" w:eastAsia="SimSun" w:hAnsi="SimSun" w:cs="SimSun"/>
          <w:spacing w:val="-1"/>
          <w:sz w:val="20"/>
          <w:szCs w:val="20"/>
        </w:rPr>
        <w:t>的要求施工。</w:t>
      </w:r>
    </w:p>
    <w:p>
      <w:pPr>
        <w:pStyle w:val="BodyText"/>
        <w:spacing w:before="123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5.3.2</w:t>
      </w:r>
      <w:r>
        <w:rPr>
          <w:b/>
          <w:bCs/>
          <w:spacing w:val="11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6"/>
          <w:sz w:val="20"/>
          <w:szCs w:val="20"/>
        </w:rPr>
        <w:t>泥浆护壁成孔挤扩灌注桩施工程序</w:t>
      </w:r>
    </w:p>
    <w:p>
      <w:pPr>
        <w:spacing w:before="64" w:line="276" w:lineRule="auto"/>
        <w:ind w:right="49" w:firstLine="460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钻进成孔并进行第一次孔底沉渣清理</w:t>
      </w:r>
      <w:r>
        <w:rPr>
          <w:rFonts w:ascii="SimSun" w:eastAsia="SimSun" w:hAnsi="SimSun" w:cs="SimSun"/>
          <w:spacing w:val="-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→将挤扩装置放入孔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内</w:t>
      </w:r>
      <w:r>
        <w:rPr>
          <w:rFonts w:ascii="SimSun" w:eastAsia="SimSun" w:hAnsi="SimSun" w:cs="SimSun"/>
          <w:spacing w:val="-6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→按设计位置自下而上依次挤扩成盘、岔腔体</w:t>
      </w:r>
      <w:r>
        <w:rPr>
          <w:rFonts w:ascii="SimSun" w:eastAsia="SimSun" w:hAnsi="SimSun" w:cs="SimSun"/>
          <w:spacing w:val="-7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→将挤扩装置移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出孔口</w:t>
      </w:r>
      <w:r>
        <w:rPr>
          <w:rFonts w:ascii="SimSun" w:eastAsia="SimSun" w:hAnsi="SimSun" w:cs="SimSun"/>
          <w:spacing w:val="-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→</w:t>
      </w:r>
      <w:r>
        <w:rPr>
          <w:rFonts w:ascii="SimSun" w:eastAsia="SimSun" w:hAnsi="SimSun" w:cs="SimSun"/>
          <w:spacing w:val="-7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下放钢筋笼和导管</w:t>
      </w:r>
      <w:r>
        <w:rPr>
          <w:rFonts w:ascii="SimSun" w:eastAsia="SimSun" w:hAnsi="SimSun" w:cs="SimSun"/>
          <w:spacing w:val="-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→第二次清理孔底沉渣</w:t>
      </w:r>
      <w:r>
        <w:rPr>
          <w:rFonts w:ascii="SimSun" w:eastAsia="SimSun" w:hAnsi="SimSun" w:cs="SimSun"/>
          <w:spacing w:val="-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→</w:t>
      </w:r>
      <w:r>
        <w:rPr>
          <w:rFonts w:ascii="SimSun" w:eastAsia="SimSun" w:hAnsi="SimSun" w:cs="SimSun"/>
          <w:spacing w:val="-7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水下</w:t>
      </w:r>
      <w:r>
        <w:rPr>
          <w:rFonts w:ascii="SimSun" w:eastAsia="SimSun" w:hAnsi="SimSun" w:cs="SimSun"/>
          <w:spacing w:val="6"/>
          <w:sz w:val="20"/>
          <w:szCs w:val="20"/>
        </w:rPr>
        <w:t>灌注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混凝土并随即上拔导管→拔出导管、护筒成桩。</w:t>
      </w:r>
    </w:p>
    <w:p>
      <w:pPr>
        <w:pStyle w:val="BodyText"/>
        <w:spacing w:before="81" w:line="261" w:lineRule="auto"/>
        <w:rPr>
          <w:rFonts w:ascii="SimSun" w:eastAsia="SimSun" w:hAnsi="SimSun" w:cs="SimSun"/>
          <w:sz w:val="20"/>
          <w:szCs w:val="20"/>
        </w:rPr>
        <w:sectPr>
          <w:headerReference w:type="default" r:id="rId52"/>
          <w:footerReference w:type="default" r:id="rId53"/>
          <w:pgSz w:w="7830" w:h="11970"/>
          <w:pgMar w:top="400" w:right="1069" w:bottom="1198" w:left="939" w:header="0" w:footer="1059" w:gutter="0"/>
          <w:pgNumType w:start="33"/>
          <w:cols w:space="708"/>
        </w:sectPr>
      </w:pPr>
      <w:r>
        <w:rPr>
          <w:b/>
          <w:bCs/>
          <w:spacing w:val="3"/>
          <w:sz w:val="20"/>
          <w:szCs w:val="20"/>
        </w:rPr>
        <w:t xml:space="preserve">5.3.3     </w:t>
      </w:r>
      <w:r>
        <w:rPr>
          <w:rFonts w:ascii="SimSun" w:eastAsia="SimSun" w:hAnsi="SimSun" w:cs="SimSun"/>
          <w:spacing w:val="3"/>
          <w:sz w:val="20"/>
          <w:szCs w:val="20"/>
        </w:rPr>
        <w:t>挤扩装置放入孔内之前必须检查法兰</w:t>
      </w:r>
      <w:r>
        <w:rPr>
          <w:rFonts w:ascii="SimSun" w:eastAsia="SimSun" w:hAnsi="SimSun" w:cs="SimSun"/>
          <w:spacing w:val="2"/>
          <w:sz w:val="20"/>
          <w:szCs w:val="20"/>
        </w:rPr>
        <w:t>连接、螺栓、油管、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液压装置、弓压臂分合情况，并填写《挤扩装置性能现场检测记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录》(详见附录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B)</w:t>
      </w:r>
      <w:r>
        <w:rPr>
          <w:rFonts w:ascii="SimSun" w:eastAsia="SimSun" w:hAnsi="SimSun" w:cs="SimSun"/>
          <w:spacing w:val="7"/>
          <w:sz w:val="20"/>
          <w:szCs w:val="20"/>
        </w:rPr>
        <w:t>一切正常后方可进行挤扩</w:t>
      </w:r>
      <w:r>
        <w:rPr>
          <w:rFonts w:ascii="SimSun" w:eastAsia="SimSun" w:hAnsi="SimSun" w:cs="SimSun"/>
          <w:spacing w:val="6"/>
          <w:sz w:val="20"/>
          <w:szCs w:val="20"/>
        </w:rPr>
        <w:t>作业。</w:t>
      </w:r>
    </w:p>
    <w:p>
      <w:pPr>
        <w:spacing w:before="11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5.3.4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成孔后，经对孔的垂直度、孔径、孔深等检验合格后</w:t>
      </w:r>
      <w:r>
        <w:rPr>
          <w:rFonts w:ascii="SimSun" w:eastAsia="SimSun" w:hAnsi="SimSun" w:cs="SimSun"/>
          <w:spacing w:val="-7"/>
          <w:sz w:val="20"/>
          <w:szCs w:val="20"/>
        </w:rPr>
        <w:t>，即可</w:t>
      </w:r>
    </w:p>
    <w:p>
      <w:pPr>
        <w:spacing w:before="10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将挤扩装置下入孔内进行挤扩，挤扩工序自下而上依次进行。</w:t>
      </w:r>
    </w:p>
    <w:p>
      <w:pPr>
        <w:pStyle w:val="BodyText"/>
        <w:spacing w:before="53" w:line="262" w:lineRule="auto"/>
        <w:ind w:right="51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5.3.5     </w:t>
      </w:r>
      <w:r>
        <w:rPr>
          <w:rFonts w:ascii="SimSun" w:eastAsia="SimSun" w:hAnsi="SimSun" w:cs="SimSun"/>
          <w:spacing w:val="7"/>
          <w:sz w:val="20"/>
          <w:szCs w:val="20"/>
        </w:rPr>
        <w:t>挤扩盘、岔腔体时应按弓压臂宽度和孔径算出挤扩次数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和挤扩角度转位。</w:t>
      </w:r>
    </w:p>
    <w:p>
      <w:pPr>
        <w:spacing w:line="262" w:lineRule="auto"/>
        <w:rPr>
          <w:rFonts w:ascii="SimSun" w:eastAsia="SimSun" w:hAnsi="SimSun" w:cs="SimSun"/>
          <w:sz w:val="20"/>
          <w:szCs w:val="20"/>
        </w:rPr>
        <w:sectPr>
          <w:headerReference w:type="default" r:id="rId54"/>
          <w:footerReference w:type="default" r:id="rId55"/>
          <w:type w:val="nextPage"/>
          <w:pgSz w:w="7830" w:h="11970"/>
          <w:pgMar w:top="400" w:right="1069" w:bottom="1198" w:left="939" w:header="0" w:footer="1059" w:gutter="0"/>
          <w:pgNumType w:start="34"/>
          <w:cols w:space="708"/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before="65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9"/>
          <w:sz w:val="20"/>
          <w:szCs w:val="20"/>
        </w:rPr>
        <w:t xml:space="preserve">5.3.6     </w:t>
      </w:r>
      <w:r>
        <w:rPr>
          <w:rFonts w:ascii="SimSun" w:eastAsia="SimSun" w:hAnsi="SimSun" w:cs="SimSun"/>
          <w:spacing w:val="9"/>
          <w:sz w:val="20"/>
          <w:szCs w:val="20"/>
        </w:rPr>
        <w:t>挤扩过程中应认真观测挤扩压力值的变化及挤扩时间，</w:t>
      </w:r>
    </w:p>
    <w:p>
      <w:pPr>
        <w:spacing w:before="10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有关数据详细填入《挤扩灌注桩挤扩施工记录》(见附录</w:t>
      </w:r>
      <w:r>
        <w:rPr>
          <w:rFonts w:ascii="SimSun" w:eastAsia="SimSun" w:hAnsi="SimSun" w:cs="SimSun"/>
          <w:spacing w:val="2"/>
          <w:sz w:val="20"/>
          <w:szCs w:val="20"/>
        </w:rPr>
        <w:t>C)。</w:t>
      </w:r>
    </w:p>
    <w:p>
      <w:pPr>
        <w:pStyle w:val="BodyText"/>
        <w:spacing w:before="53" w:line="262" w:lineRule="auto"/>
        <w:ind w:right="68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5.3.7     </w:t>
      </w:r>
      <w:r>
        <w:rPr>
          <w:rFonts w:ascii="SimSun" w:eastAsia="SimSun" w:hAnsi="SimSun" w:cs="SimSun"/>
          <w:spacing w:val="7"/>
          <w:sz w:val="20"/>
          <w:szCs w:val="20"/>
        </w:rPr>
        <w:t>挤扩过程中应注意观察孔内泥浆液面的落差，及时补充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泥浆以维持水头压力，保证孔壁稳定。</w:t>
      </w:r>
    </w:p>
    <w:p>
      <w:pPr>
        <w:spacing w:before="71" w:line="270" w:lineRule="auto"/>
        <w:ind w:right="69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5.3.8</w:t>
      </w:r>
      <w:r>
        <w:rPr>
          <w:rFonts w:ascii="SimSun" w:eastAsia="SimSun" w:hAnsi="SimSun" w:cs="SimSun"/>
          <w:spacing w:val="3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设计要求标高处挤扩成盘遇到困难时，应查明原因，必要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时可根据地层实际情况，适当进行盘、岔腔位上下调整，但必须保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证调整后的盘、岔腔位于设计要求的土层，并满足本规程基本规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定的盘、岔间距要求。</w:t>
      </w:r>
    </w:p>
    <w:p>
      <w:pPr>
        <w:spacing w:line="270" w:lineRule="auto"/>
        <w:rPr>
          <w:rFonts w:ascii="SimSun" w:eastAsia="SimSun" w:hAnsi="SimSun" w:cs="SimSun"/>
          <w:sz w:val="20"/>
          <w:szCs w:val="20"/>
        </w:rPr>
        <w:sectPr>
          <w:headerReference w:type="default" r:id="rId56"/>
          <w:footerReference w:type="default" r:id="rId57"/>
          <w:pgSz w:w="7910" w:h="12030"/>
          <w:pgMar w:top="400" w:right="1070" w:bottom="1221" w:left="1010" w:header="0" w:footer="1092" w:gutter="0"/>
          <w:pgNumType w:start="35"/>
          <w:cols w:space="708"/>
        </w:sectPr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before="85" w:line="222" w:lineRule="auto"/>
        <w:ind w:left="170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6</w:t>
      </w:r>
      <w:r>
        <w:rPr>
          <w:rFonts w:ascii="SimHei" w:eastAsia="SimHei" w:hAnsi="SimHei" w:cs="SimHei"/>
          <w:spacing w:val="21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质量检查与检测</w:t>
      </w:r>
    </w:p>
    <w:p>
      <w:pPr>
        <w:pStyle w:val="BodyText"/>
        <w:spacing w:line="421" w:lineRule="auto"/>
      </w:pPr>
    </w:p>
    <w:p>
      <w:pPr>
        <w:spacing w:before="61" w:line="222" w:lineRule="auto"/>
        <w:ind w:left="2012"/>
        <w:outlineLvl w:val="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6.1</w:t>
      </w:r>
      <w:r>
        <w:rPr>
          <w:rFonts w:ascii="SimHei" w:eastAsia="SimHei" w:hAnsi="SimHei" w:cs="SimHei"/>
          <w:spacing w:val="28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施工质量检查</w:t>
      </w:r>
    </w:p>
    <w:p>
      <w:pPr>
        <w:pStyle w:val="BodyText"/>
        <w:spacing w:line="331" w:lineRule="auto"/>
      </w:pPr>
    </w:p>
    <w:p>
      <w:pPr>
        <w:spacing w:before="62" w:line="280" w:lineRule="auto"/>
        <w:ind w:right="88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5"/>
          <w:sz w:val="19"/>
          <w:szCs w:val="19"/>
        </w:rPr>
        <w:t>6.1.1</w:t>
      </w:r>
      <w:r>
        <w:rPr>
          <w:rFonts w:ascii="SimSun" w:eastAsia="SimSun" w:hAnsi="SimSun" w:cs="SimSun"/>
          <w:spacing w:val="5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5"/>
          <w:sz w:val="19"/>
          <w:szCs w:val="19"/>
        </w:rPr>
        <w:t>挤扩灌注桩的成桩质量检查除包括成孔及清孔、钢筋笼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制作与安放、混凝土搅拌及灌注等常规灌注桩工序过程外，还应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重点检查挤扩工序过程的质量。</w:t>
      </w:r>
    </w:p>
    <w:p>
      <w:pPr>
        <w:spacing w:before="63" w:line="281" w:lineRule="auto"/>
        <w:ind w:right="23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9"/>
          <w:sz w:val="19"/>
          <w:szCs w:val="19"/>
        </w:rPr>
        <w:t>6.1.2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9"/>
          <w:sz w:val="19"/>
          <w:szCs w:val="19"/>
        </w:rPr>
        <w:t>成孔及清孔、钢筋笼制作与安放、混凝土搅拌及灌注等常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9"/>
          <w:sz w:val="19"/>
          <w:szCs w:val="19"/>
        </w:rPr>
        <w:t>规灌注桩工序过程的成桩质量检查按现行《</w:t>
      </w:r>
      <w:r>
        <w:rPr>
          <w:rFonts w:ascii="SimSun" w:eastAsia="SimSun" w:hAnsi="SimSun" w:cs="SimSun"/>
          <w:spacing w:val="18"/>
          <w:sz w:val="19"/>
          <w:szCs w:val="19"/>
        </w:rPr>
        <w:t>建筑桩基技术规范》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>(</w:t>
      </w:r>
      <w:r>
        <w:rPr>
          <w:rFonts w:ascii="Times New Roman" w:eastAsia="Times New Roman" w:hAnsi="Times New Roman" w:cs="Times New Roman"/>
          <w:sz w:val="19"/>
          <w:szCs w:val="19"/>
        </w:rPr>
        <w:t>JGJ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>94)</w:t>
      </w:r>
      <w:r>
        <w:rPr>
          <w:rFonts w:ascii="Times New Roman" w:eastAsia="Times New Roman" w:hAnsi="Times New Roman" w:cs="Times New Roman"/>
          <w:spacing w:val="15"/>
          <w:w w:val="10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的有关规定执行。</w:t>
      </w:r>
    </w:p>
    <w:p>
      <w:pPr>
        <w:spacing w:before="75" w:line="298" w:lineRule="auto"/>
        <w:ind w:right="59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5"/>
          <w:sz w:val="19"/>
          <w:szCs w:val="19"/>
        </w:rPr>
        <w:t>6.1.3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  挤扩工序过程的质量检查项目包括扩径腔体</w:t>
      </w:r>
      <w:r>
        <w:rPr>
          <w:rFonts w:ascii="SimSun" w:eastAsia="SimSun" w:hAnsi="SimSun" w:cs="SimSun"/>
          <w:spacing w:val="14"/>
          <w:sz w:val="19"/>
          <w:szCs w:val="19"/>
        </w:rPr>
        <w:t>的位置和直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径，应采用承力盘直径检测器等有效检测方法，承力盘直径检测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1"/>
          <w:sz w:val="19"/>
          <w:szCs w:val="19"/>
        </w:rPr>
        <w:t xml:space="preserve">器检测方法应满足现行行业标准《三岔双向挤扩灌注桩设计规 </w:t>
      </w:r>
      <w:r>
        <w:rPr>
          <w:rFonts w:ascii="SimSun" w:eastAsia="SimSun" w:hAnsi="SimSun" w:cs="SimSun"/>
          <w:spacing w:val="6"/>
          <w:sz w:val="19"/>
          <w:szCs w:val="19"/>
        </w:rPr>
        <w:t>程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》(</w:t>
      </w:r>
      <w:r>
        <w:rPr>
          <w:rFonts w:ascii="SimSun" w:eastAsia="SimSun" w:hAnsi="SimSun" w:cs="SimSun"/>
          <w:sz w:val="19"/>
          <w:szCs w:val="19"/>
        </w:rPr>
        <w:t>JGJ</w:t>
      </w:r>
      <w:r>
        <w:rPr>
          <w:rFonts w:ascii="SimSun" w:eastAsia="SimSun" w:hAnsi="SimSun" w:cs="SimSun"/>
          <w:spacing w:val="6"/>
          <w:sz w:val="19"/>
          <w:szCs w:val="19"/>
        </w:rPr>
        <w:t>171) 附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录</w:t>
      </w:r>
      <w:r>
        <w:rPr>
          <w:rFonts w:ascii="SimSun" w:eastAsia="SimSun" w:hAnsi="SimSun" w:cs="SimSun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D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的规定；对于一般建筑物、地质条件简单的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0"/>
          <w:sz w:val="19"/>
          <w:szCs w:val="19"/>
        </w:rPr>
        <w:t>工程，检查数量不应少于总桩数的30%～50%,且不应少于20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根；对于建筑桩基设计等级为甲级的建筑物</w:t>
      </w:r>
      <w:r>
        <w:rPr>
          <w:rFonts w:ascii="SimSun" w:eastAsia="SimSun" w:hAnsi="SimSun" w:cs="SimSun"/>
          <w:spacing w:val="15"/>
          <w:sz w:val="19"/>
          <w:szCs w:val="19"/>
        </w:rPr>
        <w:t>、地质条件复杂的工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5"/>
          <w:sz w:val="19"/>
          <w:szCs w:val="19"/>
        </w:rPr>
        <w:t>程，检查数量不应少于总桩数的50%。柱下三桩或三桩以下的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5"/>
          <w:sz w:val="19"/>
          <w:szCs w:val="19"/>
        </w:rPr>
        <w:t>承台不应少于1根；重点部位应100%进行检查；检查结</w:t>
      </w:r>
      <w:r>
        <w:rPr>
          <w:rFonts w:ascii="SimSun" w:eastAsia="SimSun" w:hAnsi="SimSun" w:cs="SimSun"/>
          <w:spacing w:val="24"/>
          <w:sz w:val="19"/>
          <w:szCs w:val="19"/>
        </w:rPr>
        <w:t>果应形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成质量检查报告。</w:t>
      </w:r>
    </w:p>
    <w:p>
      <w:pPr>
        <w:pStyle w:val="BodyText"/>
        <w:spacing w:line="321" w:lineRule="auto"/>
      </w:pPr>
    </w:p>
    <w:p>
      <w:pPr>
        <w:spacing w:before="62" w:line="223" w:lineRule="auto"/>
        <w:ind w:left="2162"/>
        <w:outlineLvl w:val="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6.2</w:t>
      </w:r>
      <w:r>
        <w:rPr>
          <w:rFonts w:ascii="SimHei" w:eastAsia="SimHei" w:hAnsi="SimHei" w:cs="SimHei"/>
          <w:spacing w:val="27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施工后检测</w:t>
      </w:r>
    </w:p>
    <w:p>
      <w:pPr>
        <w:pStyle w:val="BodyText"/>
        <w:spacing w:line="318" w:lineRule="auto"/>
      </w:pPr>
    </w:p>
    <w:p>
      <w:pPr>
        <w:spacing w:before="63" w:line="270" w:lineRule="auto"/>
        <w:ind w:right="88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5"/>
          <w:sz w:val="19"/>
          <w:szCs w:val="19"/>
        </w:rPr>
        <w:t>6.2.1</w:t>
      </w:r>
      <w:r>
        <w:rPr>
          <w:rFonts w:ascii="SimSun" w:eastAsia="SimSun" w:hAnsi="SimSun" w:cs="SimSun"/>
          <w:spacing w:val="5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5"/>
          <w:sz w:val="19"/>
          <w:szCs w:val="19"/>
        </w:rPr>
        <w:t>工程桩应进行单桩承载力和桩身完整性抽样检测。单桩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3"/>
          <w:sz w:val="19"/>
          <w:szCs w:val="19"/>
        </w:rPr>
        <w:t>承载力和桩身完整性的检测应符合现行行业和地方标准中有关</w:t>
      </w: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https://d.book118.com/406134101241010101</w:t>
        </w:r>
      </w:hyperlink>
    </w:p>
    <w:p>
      <w:pPr>
        <w:spacing w:before="63" w:line="270" w:lineRule="auto"/>
        <w:ind w:right="88" w:firstLine="2"/>
        <w:rPr>
          <w:rFonts w:ascii="SimSun" w:eastAsia="SimSun" w:hAnsi="SimSun" w:cs="SimSun"/>
          <w:sz w:val="19"/>
          <w:szCs w:val="19"/>
        </w:rPr>
      </w:pPr>
    </w:p>
    <w:sectPr>
      <w:headerReference w:type="default" r:id="rId59"/>
      <w:footerReference w:type="default" r:id="rId60"/>
      <w:pgSz w:w="7730" w:h="11910"/>
      <w:pgMar w:top="400" w:right="951" w:bottom="1118" w:left="909" w:header="0" w:footer="979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9"/>
        <w:sz w:val="14"/>
        <w:szCs w:val="14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3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sz w:val="11"/>
        <w:szCs w:val="11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71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71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60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60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1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image" Target="media/image4.png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image" Target="media/image1.png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header" Target="header20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image" Target="media/image2.png" /><Relationship Id="rId50" Type="http://schemas.openxmlformats.org/officeDocument/2006/relationships/header" Target="header22.xml" /><Relationship Id="rId51" Type="http://schemas.openxmlformats.org/officeDocument/2006/relationships/footer" Target="footer22.xml" /><Relationship Id="rId52" Type="http://schemas.openxmlformats.org/officeDocument/2006/relationships/header" Target="header23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footer" Target="footer25.xml" /><Relationship Id="rId58" Type="http://schemas.openxmlformats.org/officeDocument/2006/relationships/hyperlink" Target="https://d.book118.com/406134101241010101" TargetMode="External" /><Relationship Id="rId59" Type="http://schemas.openxmlformats.org/officeDocument/2006/relationships/header" Target="header26.xml" /><Relationship Id="rId6" Type="http://schemas.openxmlformats.org/officeDocument/2006/relationships/image" Target="media/image3.png" /><Relationship Id="rId60" Type="http://schemas.openxmlformats.org/officeDocument/2006/relationships/footer" Target="footer26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2024-03-15T11:51:26Z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65f3c5b871bc50001f5a2d3dwl</vt:lpwstr>
  </property>
</Properties>
</file>