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ArialRGB8512408555"/>
        <w:shd w:val="clear" w:color="auto" w:fill="FFFFFF"/>
        <w:spacing w:line="360" w:lineRule="auto"/>
        <w:jc w:val="center"/>
        <w:rPr>
          <w:rFonts w:ascii="宋体" w:eastAsia="宋体" w:hAnsi="宋体" w:hint="eastAsia"/>
          <w:bCs/>
          <w:color w:val="auto"/>
          <w:sz w:val="52"/>
          <w:szCs w:val="52"/>
          <w:u w:val="none"/>
        </w:rPr>
      </w:pPr>
      <w:r>
        <w:rPr>
          <w:rFonts w:ascii="宋体" w:eastAsia="宋体" w:hAnsi="宋体" w:cs="宋体" w:hint="eastAsia"/>
          <w:color w:val="auto"/>
          <w:sz w:val="52"/>
          <w:szCs w:val="52"/>
          <w:u w:val="none"/>
        </w:rPr>
        <w:t xml:space="preserve"> </w:t>
      </w:r>
      <w:r>
        <w:rPr>
          <w:rFonts w:ascii="宋体" w:eastAsia="宋体" w:hAnsi="宋体" w:cs="宋体" w:hint="eastAsia"/>
          <w:bCs/>
          <w:color w:val="auto"/>
          <w:sz w:val="52"/>
          <w:szCs w:val="52"/>
          <w:u w:val="none"/>
        </w:rPr>
        <w:t>2015年全市双创迎检道路交通安全设施建设工程</w:t>
      </w:r>
    </w:p>
    <w:p>
      <w:pPr>
        <w:pStyle w:val="ArialRGB8512408555"/>
        <w:keepNext w:val="0"/>
        <w:keepLines w:val="0"/>
        <w:pageBreakBefore w:val="0"/>
        <w:widowControl w:val="0"/>
        <w:shd w:val="clear" w:color="auto" w:fill="FFFFFF"/>
        <w:kinsoku/>
        <w:wordWrap/>
        <w:overflowPunct/>
        <w:topLinePunct w:val="0"/>
        <w:autoSpaceDE/>
        <w:autoSpaceDN/>
        <w:bidi w:val="0"/>
        <w:adjustRightInd/>
        <w:snapToGrid/>
        <w:spacing w:before="100" w:after="100" w:line="360" w:lineRule="auto"/>
        <w:ind w:left="0" w:right="0" w:firstLine="480" w:leftChars="0" w:rightChars="0" w:firstLineChars="0"/>
        <w:jc w:val="center"/>
        <w:textAlignment w:val="auto"/>
        <w:outlineLvl w:val="9"/>
        <w:rPr>
          <w:rFonts w:ascii="宋体" w:eastAsia="宋体" w:hAnsi="宋体" w:hint="eastAsia"/>
          <w:bCs/>
          <w:color w:val="auto"/>
          <w:sz w:val="72"/>
          <w:szCs w:val="72"/>
          <w:u w:val="none"/>
          <w:lang w:eastAsia="zh-CN"/>
        </w:rPr>
      </w:pPr>
      <w:r>
        <w:rPr>
          <w:rFonts w:ascii="宋体" w:eastAsia="宋体" w:hAnsi="宋体" w:cs="宋体" w:hint="eastAsia"/>
          <w:bCs/>
          <w:color w:val="auto"/>
          <w:sz w:val="72"/>
          <w:szCs w:val="72"/>
          <w:u w:val="none"/>
          <w:lang w:eastAsia="zh-CN"/>
        </w:rPr>
        <w:t>施</w:t>
      </w:r>
    </w:p>
    <w:p>
      <w:pPr>
        <w:pStyle w:val="ArialRGB8512408555"/>
        <w:keepNext w:val="0"/>
        <w:keepLines w:val="0"/>
        <w:pageBreakBefore w:val="0"/>
        <w:widowControl w:val="0"/>
        <w:shd w:val="clear" w:color="auto" w:fill="FFFFFF"/>
        <w:kinsoku/>
        <w:wordWrap/>
        <w:overflowPunct/>
        <w:topLinePunct w:val="0"/>
        <w:autoSpaceDE/>
        <w:autoSpaceDN/>
        <w:bidi w:val="0"/>
        <w:adjustRightInd/>
        <w:snapToGrid/>
        <w:spacing w:before="100" w:after="100" w:line="360" w:lineRule="auto"/>
        <w:ind w:left="0" w:right="0" w:firstLine="480" w:leftChars="0" w:rightChars="0" w:firstLineChars="0"/>
        <w:jc w:val="center"/>
        <w:textAlignment w:val="auto"/>
        <w:outlineLvl w:val="9"/>
        <w:rPr>
          <w:rFonts w:ascii="宋体" w:eastAsia="宋体" w:hAnsi="宋体" w:hint="eastAsia"/>
          <w:bCs/>
          <w:color w:val="auto"/>
          <w:sz w:val="72"/>
          <w:szCs w:val="72"/>
          <w:u w:val="none"/>
          <w:lang w:eastAsia="zh-CN"/>
        </w:rPr>
      </w:pPr>
      <w:r>
        <w:rPr>
          <w:rFonts w:ascii="宋体" w:eastAsia="宋体" w:hAnsi="宋体" w:cs="宋体" w:hint="eastAsia"/>
          <w:bCs/>
          <w:color w:val="auto"/>
          <w:sz w:val="72"/>
          <w:szCs w:val="72"/>
          <w:u w:val="none"/>
          <w:lang w:eastAsia="zh-CN"/>
        </w:rPr>
        <w:t>工</w:t>
      </w:r>
    </w:p>
    <w:p>
      <w:pPr>
        <w:pStyle w:val="ArialRGB8512408555"/>
        <w:keepNext w:val="0"/>
        <w:keepLines w:val="0"/>
        <w:pageBreakBefore w:val="0"/>
        <w:widowControl w:val="0"/>
        <w:shd w:val="clear" w:color="auto" w:fill="FFFFFF"/>
        <w:kinsoku/>
        <w:wordWrap/>
        <w:overflowPunct/>
        <w:topLinePunct w:val="0"/>
        <w:autoSpaceDE/>
        <w:autoSpaceDN/>
        <w:bidi w:val="0"/>
        <w:adjustRightInd/>
        <w:snapToGrid/>
        <w:spacing w:before="100" w:after="100" w:line="360" w:lineRule="auto"/>
        <w:ind w:left="0" w:right="0" w:firstLine="480" w:leftChars="0" w:rightChars="0" w:firstLineChars="0"/>
        <w:jc w:val="center"/>
        <w:textAlignment w:val="auto"/>
        <w:outlineLvl w:val="9"/>
        <w:rPr>
          <w:rFonts w:ascii="宋体" w:eastAsia="宋体" w:hAnsi="宋体" w:hint="eastAsia"/>
          <w:bCs/>
          <w:color w:val="auto"/>
          <w:sz w:val="72"/>
          <w:szCs w:val="72"/>
          <w:u w:val="none"/>
          <w:lang w:eastAsia="zh-CN"/>
        </w:rPr>
      </w:pPr>
      <w:r>
        <w:rPr>
          <w:rFonts w:ascii="宋体" w:eastAsia="宋体" w:hAnsi="宋体" w:cs="宋体" w:hint="eastAsia"/>
          <w:bCs/>
          <w:color w:val="auto"/>
          <w:sz w:val="72"/>
          <w:szCs w:val="72"/>
          <w:u w:val="none"/>
          <w:lang w:eastAsia="zh-CN"/>
        </w:rPr>
        <w:t>组</w:t>
      </w:r>
    </w:p>
    <w:p>
      <w:pPr>
        <w:pStyle w:val="ArialRGB8512408555"/>
        <w:keepNext w:val="0"/>
        <w:keepLines w:val="0"/>
        <w:pageBreakBefore w:val="0"/>
        <w:widowControl w:val="0"/>
        <w:shd w:val="clear" w:color="auto" w:fill="FFFFFF"/>
        <w:kinsoku/>
        <w:wordWrap/>
        <w:overflowPunct/>
        <w:topLinePunct w:val="0"/>
        <w:autoSpaceDE/>
        <w:autoSpaceDN/>
        <w:bidi w:val="0"/>
        <w:adjustRightInd/>
        <w:snapToGrid/>
        <w:spacing w:before="100" w:after="100" w:line="360" w:lineRule="auto"/>
        <w:ind w:left="0" w:right="0" w:firstLine="480" w:leftChars="0" w:rightChars="0" w:firstLineChars="0"/>
        <w:jc w:val="center"/>
        <w:textAlignment w:val="auto"/>
        <w:outlineLvl w:val="9"/>
        <w:rPr>
          <w:rFonts w:ascii="宋体" w:eastAsia="宋体" w:hAnsi="宋体" w:hint="eastAsia"/>
          <w:bCs/>
          <w:color w:val="auto"/>
          <w:sz w:val="72"/>
          <w:szCs w:val="72"/>
          <w:u w:val="none"/>
          <w:lang w:eastAsia="zh-CN"/>
        </w:rPr>
      </w:pPr>
      <w:r>
        <w:rPr>
          <w:rFonts w:ascii="宋体" w:eastAsia="宋体" w:hAnsi="宋体" w:cs="宋体" w:hint="eastAsia"/>
          <w:bCs/>
          <w:color w:val="auto"/>
          <w:sz w:val="72"/>
          <w:szCs w:val="72"/>
          <w:u w:val="none"/>
          <w:lang w:eastAsia="zh-CN"/>
        </w:rPr>
        <w:t>织</w:t>
      </w:r>
    </w:p>
    <w:p>
      <w:pPr>
        <w:pStyle w:val="ArialRGB8512408555"/>
        <w:keepNext w:val="0"/>
        <w:keepLines w:val="0"/>
        <w:pageBreakBefore w:val="0"/>
        <w:widowControl w:val="0"/>
        <w:shd w:val="clear" w:color="auto" w:fill="FFFFFF"/>
        <w:kinsoku/>
        <w:wordWrap/>
        <w:overflowPunct/>
        <w:topLinePunct w:val="0"/>
        <w:autoSpaceDE/>
        <w:autoSpaceDN/>
        <w:bidi w:val="0"/>
        <w:adjustRightInd/>
        <w:snapToGrid/>
        <w:spacing w:before="100" w:after="100" w:line="360" w:lineRule="auto"/>
        <w:ind w:left="0" w:right="0" w:firstLine="480" w:leftChars="0" w:rightChars="0" w:firstLineChars="0"/>
        <w:jc w:val="center"/>
        <w:textAlignment w:val="auto"/>
        <w:outlineLvl w:val="9"/>
        <w:rPr>
          <w:rFonts w:ascii="宋体" w:eastAsia="宋体" w:hAnsi="宋体" w:hint="eastAsia"/>
          <w:bCs/>
          <w:color w:val="auto"/>
          <w:sz w:val="72"/>
          <w:szCs w:val="72"/>
          <w:u w:val="none"/>
          <w:lang w:eastAsia="zh-CN"/>
        </w:rPr>
      </w:pPr>
      <w:r>
        <w:rPr>
          <w:rFonts w:ascii="宋体" w:eastAsia="宋体" w:hAnsi="宋体" w:cs="宋体" w:hint="eastAsia"/>
          <w:bCs/>
          <w:color w:val="auto"/>
          <w:sz w:val="72"/>
          <w:szCs w:val="72"/>
          <w:u w:val="none"/>
          <w:lang w:eastAsia="zh-CN"/>
        </w:rPr>
        <w:t>设</w:t>
      </w:r>
    </w:p>
    <w:p>
      <w:pPr>
        <w:pStyle w:val="ArialRGB8512408555"/>
        <w:keepNext w:val="0"/>
        <w:keepLines w:val="0"/>
        <w:pageBreakBefore w:val="0"/>
        <w:widowControl w:val="0"/>
        <w:shd w:val="clear" w:color="auto" w:fill="FFFFFF"/>
        <w:kinsoku/>
        <w:wordWrap/>
        <w:overflowPunct/>
        <w:topLinePunct w:val="0"/>
        <w:autoSpaceDE/>
        <w:autoSpaceDN/>
        <w:bidi w:val="0"/>
        <w:adjustRightInd/>
        <w:snapToGrid/>
        <w:spacing w:before="100" w:after="100" w:line="360" w:lineRule="auto"/>
        <w:ind w:left="0" w:right="0" w:firstLine="480" w:leftChars="0" w:rightChars="0" w:firstLineChars="0"/>
        <w:jc w:val="center"/>
        <w:textAlignment w:val="auto"/>
        <w:outlineLvl w:val="9"/>
        <w:rPr>
          <w:rFonts w:ascii="宋体" w:eastAsia="宋体" w:hAnsi="宋体" w:hint="eastAsia"/>
          <w:bCs/>
          <w:color w:val="auto"/>
          <w:sz w:val="52"/>
          <w:szCs w:val="52"/>
          <w:u w:val="none"/>
          <w:lang w:eastAsia="zh-CN"/>
        </w:rPr>
      </w:pPr>
      <w:r>
        <w:rPr>
          <w:rFonts w:ascii="宋体" w:eastAsia="宋体" w:hAnsi="宋体" w:cs="宋体" w:hint="eastAsia"/>
          <w:bCs/>
          <w:color w:val="auto"/>
          <w:sz w:val="72"/>
          <w:szCs w:val="72"/>
          <w:u w:val="none"/>
          <w:lang w:eastAsia="zh-CN"/>
        </w:rPr>
        <w:t>计</w:t>
      </w:r>
    </w:p>
    <w:p>
      <w:pPr>
        <w:pStyle w:val="ArialRGB8512408555"/>
        <w:keepNext w:val="0"/>
        <w:keepLines w:val="0"/>
        <w:pageBreakBefore w:val="0"/>
        <w:widowControl w:val="0"/>
        <w:shd w:val="clear" w:color="auto" w:fill="FFFFFF"/>
        <w:kinsoku/>
        <w:wordWrap/>
        <w:overflowPunct/>
        <w:topLinePunct w:val="0"/>
        <w:autoSpaceDE/>
        <w:autoSpaceDN/>
        <w:bidi w:val="0"/>
        <w:adjustRightInd/>
        <w:snapToGrid/>
        <w:spacing w:before="100" w:after="100" w:line="360" w:lineRule="auto"/>
        <w:ind w:left="0" w:right="0" w:firstLine="480" w:leftChars="0" w:rightChars="0" w:firstLineChars="0"/>
        <w:jc w:val="center"/>
        <w:textAlignment w:val="auto"/>
        <w:outlineLvl w:val="9"/>
        <w:rPr>
          <w:rFonts w:ascii="宋体" w:eastAsia="宋体" w:hAnsi="宋体" w:hint="eastAsia"/>
          <w:color w:val="auto"/>
          <w:sz w:val="32"/>
          <w:szCs w:val="32"/>
          <w:u w:val="none"/>
        </w:rPr>
      </w:pPr>
      <w:r>
        <w:rPr>
          <w:rFonts w:ascii="宋体" w:eastAsia="宋体" w:hAnsi="宋体" w:cs="宋体" w:hint="eastAsia"/>
          <w:b w:val="0"/>
          <w:bCs w:val="0"/>
          <w:color w:val="auto"/>
          <w:sz w:val="32"/>
          <w:szCs w:val="32"/>
          <w:u w:val="none"/>
          <w:lang w:eastAsia="zh-CN"/>
        </w:rPr>
        <w:t>南京华路公路设备工程有限公司</w:t>
      </w:r>
      <w:r>
        <w:rPr>
          <w:rFonts w:ascii="宋体" w:eastAsia="宋体" w:hAnsi="宋体" w:cs="宋体" w:hint="eastAsia"/>
          <w:color w:val="auto"/>
          <w:sz w:val="32"/>
          <w:szCs w:val="32"/>
          <w:u w:val="none"/>
        </w:rPr>
        <w:t xml:space="preserve"> </w:t>
      </w:r>
    </w:p>
    <w:p>
      <w:pPr>
        <w:pStyle w:val="ArialRGB8512408555"/>
        <w:keepNext w:val="0"/>
        <w:keepLines w:val="0"/>
        <w:pageBreakBefore w:val="0"/>
        <w:widowControl w:val="0"/>
        <w:shd w:val="clear" w:color="auto" w:fill="FFFFFF"/>
        <w:kinsoku/>
        <w:wordWrap/>
        <w:overflowPunct/>
        <w:topLinePunct w:val="0"/>
        <w:autoSpaceDE/>
        <w:autoSpaceDN/>
        <w:bidi w:val="0"/>
        <w:adjustRightInd/>
        <w:snapToGrid/>
        <w:spacing w:before="100" w:after="100" w:line="360" w:lineRule="auto"/>
        <w:ind w:left="0" w:right="0" w:firstLine="480" w:leftChars="0" w:rightChars="0" w:firstLineChars="0"/>
        <w:jc w:val="center"/>
        <w:textAlignment w:val="auto"/>
        <w:outlineLvl w:val="9"/>
        <w:rPr>
          <w:rFonts w:ascii="宋体" w:eastAsia="宋体" w:hAnsi="宋体" w:hint="eastAsia"/>
          <w:color w:val="auto"/>
          <w:sz w:val="32"/>
          <w:szCs w:val="32"/>
          <w:u w:val="none"/>
          <w:lang w:val="en-US" w:eastAsia="zh-CN"/>
        </w:rPr>
        <w:sectPr>
          <w:pgSz w:w="12240" w:h="15840"/>
          <w:pgMar w:top="1440" w:right="1800" w:bottom="1440" w:left="1800" w:header="708" w:footer="708" w:gutter="0"/>
          <w:cols w:space="708"/>
          <w:docGrid w:linePitch="360"/>
        </w:sectPr>
      </w:pPr>
      <w:r>
        <w:rPr>
          <w:rFonts w:ascii="宋体" w:eastAsia="宋体" w:hAnsi="宋体" w:cs="宋体" w:hint="eastAsia"/>
          <w:color w:val="auto"/>
          <w:sz w:val="32"/>
          <w:szCs w:val="32"/>
          <w:u w:val="none"/>
          <w:lang w:val="en-US" w:eastAsia="zh-CN"/>
        </w:rPr>
        <w:t>2016年4月28日</w:t>
      </w:r>
    </w:p>
    <w:p>
      <w:pPr>
        <w:jc w:val="center"/>
        <w:rPr>
          <w:rFonts w:hint="eastAsia"/>
          <w:b/>
          <w:bCs/>
          <w:sz w:val="32"/>
          <w:szCs w:val="32"/>
        </w:rPr>
      </w:pPr>
      <w:r>
        <w:rPr>
          <w:rFonts w:hint="eastAsia"/>
          <w:b/>
          <w:bCs/>
          <w:sz w:val="32"/>
          <w:szCs w:val="32"/>
          <w:lang w:eastAsia="zh-CN"/>
        </w:rPr>
        <w:t>目</w:t>
      </w:r>
      <w:r>
        <w:rPr>
          <w:rFonts w:hint="eastAsia"/>
          <w:b/>
          <w:bCs/>
          <w:sz w:val="32"/>
          <w:szCs w:val="32"/>
          <w:lang w:val="en-US" w:eastAsia="zh-CN"/>
        </w:rPr>
        <w:t xml:space="preserve">  </w:t>
      </w:r>
      <w:r>
        <w:rPr>
          <w:rFonts w:hint="eastAsia"/>
          <w:b/>
          <w:bCs/>
          <w:sz w:val="32"/>
          <w:szCs w:val="32"/>
          <w:lang w:eastAsia="zh-CN"/>
        </w:rPr>
        <w:t>录</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rPr>
      </w:pPr>
      <w:r>
        <w:rPr>
          <w:rFonts w:hint="eastAsia"/>
          <w:sz w:val="28"/>
          <w:szCs w:val="28"/>
        </w:rPr>
        <w:t>第一篇 编制依据</w:t>
      </w:r>
      <w:r>
        <w:rPr>
          <w:rFonts w:hint="eastAsia"/>
          <w:sz w:val="28"/>
          <w:szCs w:val="28"/>
          <w:lang w:eastAsia="zh-CN"/>
        </w:rPr>
        <w:t>及</w:t>
      </w:r>
      <w:r>
        <w:rPr>
          <w:rFonts w:hint="eastAsia"/>
          <w:sz w:val="28"/>
          <w:szCs w:val="28"/>
        </w:rPr>
        <w:t>工程概况</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rPr>
      </w:pPr>
      <w:r>
        <w:rPr>
          <w:rFonts w:hint="eastAsia"/>
          <w:sz w:val="28"/>
          <w:szCs w:val="28"/>
        </w:rPr>
        <w:t>第二篇 施工进度计划</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rPr>
      </w:pPr>
      <w:r>
        <w:rPr>
          <w:rFonts w:hint="eastAsia"/>
          <w:sz w:val="28"/>
          <w:szCs w:val="28"/>
        </w:rPr>
        <w:t>第</w:t>
      </w:r>
      <w:r>
        <w:rPr>
          <w:rFonts w:hint="eastAsia"/>
          <w:sz w:val="28"/>
          <w:szCs w:val="28"/>
          <w:lang w:eastAsia="zh-CN"/>
        </w:rPr>
        <w:t>三</w:t>
      </w:r>
      <w:r>
        <w:rPr>
          <w:rFonts w:hint="eastAsia"/>
          <w:sz w:val="28"/>
          <w:szCs w:val="28"/>
        </w:rPr>
        <w:t xml:space="preserve">篇 施工部署 </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lang w:eastAsia="zh-Hans"/>
        </w:rPr>
      </w:pPr>
      <w:r>
        <w:rPr>
          <w:rFonts w:hint="eastAsia"/>
          <w:sz w:val="28"/>
          <w:szCs w:val="28"/>
          <w:lang w:eastAsia="zh-Hans"/>
        </w:rPr>
        <w:t>第</w:t>
      </w:r>
      <w:r>
        <w:rPr>
          <w:rFonts w:hint="eastAsia"/>
          <w:sz w:val="28"/>
          <w:szCs w:val="28"/>
          <w:lang w:eastAsia="zh-CN"/>
        </w:rPr>
        <w:t>四</w:t>
      </w:r>
      <w:r>
        <w:rPr>
          <w:rFonts w:hint="eastAsia"/>
          <w:sz w:val="28"/>
          <w:szCs w:val="28"/>
          <w:lang w:eastAsia="zh-Hans"/>
        </w:rPr>
        <w:t>章</w:t>
      </w:r>
      <w:r>
        <w:rPr>
          <w:rFonts w:hint="eastAsia"/>
          <w:sz w:val="28"/>
          <w:szCs w:val="28"/>
          <w:lang w:eastAsia="zh-Hans"/>
        </w:rPr>
        <w:t> </w:t>
      </w:r>
      <w:r>
        <w:rPr>
          <w:rFonts w:hint="eastAsia"/>
          <w:sz w:val="28"/>
          <w:szCs w:val="28"/>
          <w:lang w:eastAsia="zh-Hans"/>
        </w:rPr>
        <w:t>交通配套设施工程施工措施</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lang w:eastAsia="zh-Hans"/>
        </w:rPr>
      </w:pPr>
      <w:r>
        <w:rPr>
          <w:rFonts w:hint="eastAsia"/>
          <w:sz w:val="28"/>
          <w:szCs w:val="28"/>
          <w:lang w:eastAsia="zh-Hans"/>
        </w:rPr>
        <w:t>第</w:t>
      </w:r>
      <w:r>
        <w:rPr>
          <w:rFonts w:hint="eastAsia"/>
          <w:sz w:val="28"/>
          <w:szCs w:val="28"/>
          <w:lang w:eastAsia="zh-CN"/>
        </w:rPr>
        <w:t>五篇</w:t>
      </w:r>
      <w:r>
        <w:rPr>
          <w:rFonts w:hint="eastAsia"/>
          <w:sz w:val="28"/>
          <w:szCs w:val="28"/>
          <w:lang w:eastAsia="zh-Hans"/>
        </w:rPr>
        <w:t xml:space="preserve"> </w:t>
      </w:r>
      <w:r>
        <w:rPr>
          <w:rFonts w:hint="eastAsia"/>
          <w:sz w:val="28"/>
          <w:szCs w:val="28"/>
        </w:rPr>
        <w:t>工程施工的重点和难点及保证措施</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lang w:eastAsia="zh-Hans"/>
        </w:rPr>
      </w:pPr>
      <w:r>
        <w:rPr>
          <w:rFonts w:hint="eastAsia"/>
          <w:sz w:val="28"/>
          <w:szCs w:val="28"/>
          <w:lang w:eastAsia="zh-Hans"/>
        </w:rPr>
        <w:t>第</w:t>
      </w:r>
      <w:r>
        <w:rPr>
          <w:rFonts w:hint="eastAsia"/>
          <w:sz w:val="28"/>
          <w:szCs w:val="28"/>
          <w:lang w:eastAsia="zh-CN"/>
        </w:rPr>
        <w:t>六</w:t>
      </w:r>
      <w:r>
        <w:rPr>
          <w:rFonts w:hint="eastAsia"/>
          <w:sz w:val="28"/>
          <w:szCs w:val="28"/>
          <w:lang w:val="en-US" w:eastAsia="zh-CN"/>
        </w:rPr>
        <w:t>篇</w:t>
      </w:r>
      <w:r>
        <w:rPr>
          <w:rFonts w:hint="eastAsia"/>
          <w:sz w:val="28"/>
          <w:szCs w:val="28"/>
          <w:lang w:eastAsia="zh-Hans"/>
        </w:rPr>
        <w:t xml:space="preserve"> </w:t>
      </w:r>
      <w:r>
        <w:rPr>
          <w:rFonts w:hint="eastAsia"/>
          <w:sz w:val="28"/>
          <w:szCs w:val="28"/>
          <w:lang w:val="zh-CN" w:eastAsia="zh-Hans"/>
        </w:rPr>
        <w:t>确保</w:t>
      </w:r>
      <w:r>
        <w:rPr>
          <w:rFonts w:hint="eastAsia"/>
          <w:sz w:val="28"/>
          <w:szCs w:val="28"/>
          <w:lang w:eastAsia="zh-Hans"/>
        </w:rPr>
        <w:t>工程质量的技术组织措施</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rPr>
      </w:pPr>
      <w:r>
        <w:rPr>
          <w:rFonts w:hint="eastAsia"/>
          <w:sz w:val="28"/>
          <w:szCs w:val="28"/>
          <w:lang w:val="en-US" w:eastAsia="zh-CN"/>
        </w:rPr>
        <w:t>第七篇 确保</w:t>
      </w:r>
      <w:r>
        <w:rPr>
          <w:rFonts w:hint="eastAsia"/>
          <w:sz w:val="28"/>
          <w:szCs w:val="28"/>
        </w:rPr>
        <w:t xml:space="preserve">安全生产的技术组织措施 </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lang w:eastAsia="zh-Hans"/>
        </w:rPr>
      </w:pPr>
      <w:r>
        <w:rPr>
          <w:rFonts w:hint="eastAsia"/>
          <w:sz w:val="28"/>
          <w:szCs w:val="28"/>
        </w:rPr>
        <w:t>第</w:t>
      </w:r>
      <w:r>
        <w:rPr>
          <w:rFonts w:hint="eastAsia"/>
          <w:sz w:val="28"/>
          <w:szCs w:val="28"/>
          <w:lang w:eastAsia="zh-CN"/>
        </w:rPr>
        <w:t>八</w:t>
      </w:r>
      <w:r>
        <w:rPr>
          <w:rFonts w:hint="eastAsia"/>
          <w:sz w:val="28"/>
          <w:szCs w:val="28"/>
        </w:rPr>
        <w:t>篇 确保工期的技术组织措施</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rPr>
      </w:pPr>
      <w:r>
        <w:rPr>
          <w:rFonts w:hint="eastAsia"/>
          <w:sz w:val="28"/>
          <w:szCs w:val="28"/>
          <w:lang w:val="zh-CN"/>
        </w:rPr>
        <w:t>确保</w:t>
      </w:r>
      <w:r>
        <w:rPr>
          <w:rFonts w:hint="eastAsia"/>
          <w:sz w:val="28"/>
          <w:szCs w:val="28"/>
        </w:rPr>
        <w:t>文明施工的技术组织措施</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rPr>
      </w:pPr>
      <w:r>
        <w:rPr>
          <w:rFonts w:hint="eastAsia"/>
          <w:sz w:val="28"/>
          <w:szCs w:val="28"/>
        </w:rPr>
        <w:t>第</w:t>
      </w:r>
      <w:r>
        <w:rPr>
          <w:rFonts w:hint="eastAsia"/>
          <w:sz w:val="28"/>
          <w:szCs w:val="28"/>
          <w:lang w:eastAsia="zh-CN"/>
        </w:rPr>
        <w:t>十</w:t>
      </w:r>
      <w:r>
        <w:rPr>
          <w:rFonts w:hint="eastAsia"/>
          <w:sz w:val="28"/>
          <w:szCs w:val="28"/>
        </w:rPr>
        <w:t xml:space="preserve">篇 施工平面图布置 </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lang w:eastAsia="zh-Hans"/>
        </w:rPr>
      </w:pPr>
      <w:r>
        <w:rPr>
          <w:rFonts w:hint="eastAsia"/>
          <w:sz w:val="28"/>
          <w:szCs w:val="28"/>
          <w:lang w:val="en-US" w:eastAsia="zh-CN"/>
        </w:rPr>
        <w:t xml:space="preserve">第十一篇  </w:t>
      </w:r>
      <w:r>
        <w:rPr>
          <w:rFonts w:hint="eastAsia"/>
          <w:sz w:val="28"/>
          <w:szCs w:val="28"/>
          <w:lang w:val="en-US" w:eastAsia="zh-Hans"/>
        </w:rPr>
        <w:t>缺陷责任期内的维护方案</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lang w:eastAsia="zh-Hans"/>
        </w:rPr>
      </w:pPr>
      <w:r>
        <w:rPr>
          <w:rFonts w:hint="eastAsia"/>
          <w:sz w:val="28"/>
          <w:szCs w:val="28"/>
          <w:lang w:eastAsia="zh-Hans"/>
        </w:rPr>
        <w:t>第十</w:t>
      </w:r>
      <w:r>
        <w:rPr>
          <w:rFonts w:hint="eastAsia"/>
          <w:sz w:val="28"/>
          <w:szCs w:val="28"/>
          <w:lang w:eastAsia="zh-CN"/>
        </w:rPr>
        <w:t>二</w:t>
      </w:r>
      <w:r>
        <w:rPr>
          <w:rFonts w:hint="eastAsia"/>
          <w:sz w:val="28"/>
          <w:szCs w:val="28"/>
          <w:lang w:eastAsia="zh-Hans"/>
        </w:rPr>
        <w:t>篇 劳动力安排计划</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lang w:eastAsia="zh-Hans"/>
        </w:rPr>
      </w:pPr>
      <w:r>
        <w:rPr>
          <w:rFonts w:hint="eastAsia"/>
          <w:sz w:val="28"/>
          <w:szCs w:val="28"/>
          <w:lang w:eastAsia="zh-Hans"/>
        </w:rPr>
        <w:t>第十</w:t>
      </w:r>
      <w:r>
        <w:rPr>
          <w:rFonts w:hint="eastAsia"/>
          <w:sz w:val="28"/>
          <w:szCs w:val="28"/>
          <w:lang w:eastAsia="zh-CN"/>
        </w:rPr>
        <w:t>三</w:t>
      </w:r>
      <w:r>
        <w:rPr>
          <w:rFonts w:hint="eastAsia"/>
          <w:sz w:val="28"/>
          <w:szCs w:val="28"/>
          <w:lang w:eastAsia="zh-Hans"/>
        </w:rPr>
        <w:t xml:space="preserve">篇 施工总平面布置图 </w:t>
      </w:r>
    </w:p>
    <w:p>
      <w:pPr>
        <w:keepNext w:val="0"/>
        <w:keepLines w:val="0"/>
        <w:pageBreakBefore w:val="0"/>
        <w:widowControl w:val="0"/>
        <w:kinsoku/>
        <w:wordWrap/>
        <w:overflowPunct/>
        <w:topLinePunct w:val="0"/>
        <w:autoSpaceDE/>
        <w:autoSpaceDN/>
        <w:bidi w:val="0"/>
        <w:adjustRightInd/>
        <w:snapToGrid/>
        <w:spacing w:line="480" w:lineRule="auto"/>
        <w:ind w:left="0" w:right="0" w:firstLine="0" w:leftChars="0" w:rightChars="0" w:firstLineChars="0"/>
        <w:jc w:val="both"/>
        <w:textAlignment w:val="auto"/>
        <w:outlineLvl w:val="9"/>
        <w:rPr>
          <w:rFonts w:hint="eastAsia"/>
          <w:sz w:val="28"/>
          <w:szCs w:val="28"/>
          <w:lang w:eastAsia="zh-Hans"/>
        </w:rPr>
      </w:pPr>
      <w:r>
        <w:rPr>
          <w:rFonts w:hint="eastAsia"/>
          <w:sz w:val="28"/>
          <w:szCs w:val="28"/>
          <w:lang w:eastAsia="zh-Hans"/>
        </w:rPr>
        <w:t>第十</w:t>
      </w:r>
      <w:r>
        <w:rPr>
          <w:rFonts w:hint="eastAsia"/>
          <w:sz w:val="28"/>
          <w:szCs w:val="28"/>
          <w:lang w:eastAsia="zh-CN"/>
        </w:rPr>
        <w:t>四</w:t>
      </w:r>
      <w:r>
        <w:rPr>
          <w:rFonts w:hint="eastAsia"/>
          <w:sz w:val="28"/>
          <w:szCs w:val="28"/>
          <w:lang w:eastAsia="zh-Hans"/>
        </w:rPr>
        <w:t>篇 施工总体计划表</w:t>
      </w:r>
    </w:p>
    <w:p>
      <w:pPr>
        <w:pStyle w:val="Heading2"/>
        <w:spacing w:line="240" w:lineRule="auto"/>
        <w:rPr>
          <w:rFonts w:hint="eastAsia"/>
          <w:color w:val="FF0000"/>
        </w:rPr>
      </w:pPr>
      <w:r>
        <w:rPr>
          <w:rFonts w:hint="eastAsia"/>
          <w:color w:val="FF0000"/>
        </w:rPr>
        <w:t>第一篇 编制依据</w:t>
      </w:r>
      <w:r>
        <w:rPr>
          <w:rFonts w:hint="eastAsia"/>
          <w:color w:val="FF0000"/>
          <w:lang w:eastAsia="zh-CN"/>
        </w:rPr>
        <w:t>及</w:t>
      </w:r>
      <w:r>
        <w:rPr>
          <w:rFonts w:hint="eastAsia"/>
          <w:color w:val="FF0000"/>
        </w:rPr>
        <w:t>工程概况</w:t>
      </w:r>
    </w:p>
    <w:p>
      <w:pPr>
        <w:pStyle w:val="ArialRGB8512408555"/>
        <w:shd w:val="clear" w:color="auto" w:fill="FFFFFF"/>
        <w:spacing w:line="360" w:lineRule="auto"/>
        <w:rPr>
          <w:rFonts w:ascii="宋体" w:hAnsi="宋体" w:hint="eastAsia"/>
          <w:color w:val="auto"/>
          <w:sz w:val="24"/>
          <w:szCs w:val="24"/>
        </w:rPr>
      </w:pPr>
      <w:r>
        <w:rPr>
          <w:rFonts w:ascii="宋体" w:hAnsi="宋体" w:hint="eastAsia"/>
          <w:color w:val="auto"/>
          <w:sz w:val="24"/>
          <w:szCs w:val="24"/>
        </w:rPr>
        <w:t>1、</w:t>
      </w:r>
      <w:r>
        <w:rPr>
          <w:rFonts w:ascii="宋体" w:hAnsi="宋体"/>
          <w:color w:val="auto"/>
          <w:sz w:val="24"/>
          <w:szCs w:val="24"/>
          <w:lang w:eastAsia="zh-Hans"/>
        </w:rPr>
        <w:t>编制说明</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2"/>
          <w:cols w:space="708"/>
          <w:titlePg w:val="0"/>
          <w:docGrid w:linePitch="360"/>
        </w:sectPr>
      </w:pPr>
      <w:r>
        <w:rPr>
          <w:rFonts w:ascii="宋体" w:hAnsi="宋体"/>
          <w:color w:val="auto"/>
          <w:sz w:val="24"/>
          <w:szCs w:val="24"/>
          <w:lang w:eastAsia="zh-Hans"/>
        </w:rPr>
        <w:t>1。1、本《</w:t>
      </w:r>
      <w:r>
        <w:rPr>
          <w:rFonts w:ascii="宋体" w:hAnsi="宋体" w:hint="eastAsia"/>
          <w:color w:val="auto"/>
          <w:sz w:val="24"/>
          <w:szCs w:val="24"/>
          <w:lang w:eastAsia="zh-CN"/>
        </w:rPr>
        <w:t>施工组织设计</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的编制力求做到详细，具有可操作性和实施性，尽量做到能用于指导实际施工.针对本工程的施工特点，从施工组织、技术方案、质量保证措施、工期控制、成本控制、安全、环保和文明施工等方面进行具体说明.</w:t>
      </w:r>
      <w:r>
        <w:rPr>
          <w:rFonts w:ascii="宋体" w:hAnsi="宋体"/>
          <w:color w:val="auto"/>
          <w:sz w:val="24"/>
          <w:szCs w:val="24"/>
          <w:lang w:eastAsia="zh-Hans"/>
        </w:rPr>
        <w:t xml:space="preserve"> </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1。2、我公司将按照业主的要求,高效、优质、安全、文明完成合同文件中规定的工程任务。我们将全力以赴，做好施工前期准备和施工现场的总体规划部署，发挥我公司的技术、管理优势，以完整的管理组织机构,严格的岗位责任制度，扎实的工作作风,对劳动力、设备、材料、技术等方面进行全面的优化,确保在合同工期内优质、高效的完成本工程。</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1。3、按照业主、监理的要求,做好各方面的协调工作，调动全公司的力量,确保达到合同文件中对工程目标所作出的承诺。</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 </w:t>
      </w:r>
      <w:r>
        <w:rPr>
          <w:rFonts w:ascii="宋体" w:hAnsi="宋体" w:hint="eastAsia"/>
          <w:color w:val="auto"/>
          <w:sz w:val="24"/>
          <w:szCs w:val="24"/>
        </w:rPr>
        <w:t>2、</w:t>
      </w:r>
      <w:r>
        <w:rPr>
          <w:rFonts w:ascii="宋体" w:hAnsi="宋体"/>
          <w:color w:val="auto"/>
          <w:sz w:val="24"/>
          <w:szCs w:val="24"/>
          <w:lang w:eastAsia="zh-Hans"/>
        </w:rPr>
        <w:t>编制原则</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 施工组织设计按照业主提出的要求，以及合同文件的规定，即将该项目工程建设成合格质量的原则编制,具体体现在以下几个方面：</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2。</w:t>
      </w:r>
      <w:r>
        <w:rPr>
          <w:rFonts w:ascii="宋体" w:hAnsi="宋体"/>
          <w:color w:val="auto"/>
          <w:sz w:val="24"/>
          <w:szCs w:val="24"/>
          <w:lang w:eastAsia="zh-Hans"/>
        </w:rPr>
        <w:t>1、严格执行国家有关技术规范、操作规程和质量检验评定标准。</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2。</w:t>
      </w:r>
      <w:r>
        <w:rPr>
          <w:rFonts w:ascii="宋体" w:hAnsi="宋体"/>
          <w:color w:val="auto"/>
          <w:sz w:val="24"/>
          <w:szCs w:val="24"/>
          <w:lang w:eastAsia="zh-Hans"/>
        </w:rPr>
        <w:t>2、严格执行国家法令、法规、政策、办法和制度.</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2。</w:t>
      </w:r>
      <w:r>
        <w:rPr>
          <w:rFonts w:ascii="宋体" w:hAnsi="宋体"/>
          <w:color w:val="auto"/>
          <w:sz w:val="24"/>
          <w:szCs w:val="24"/>
          <w:lang w:eastAsia="zh-Hans"/>
        </w:rPr>
        <w:t>3、确保招标文件对施工组织设计的具体要求。针对本合同段的施工特点、难点着重考虑相应的施工方案和措施。采用我单位近年来在类似工程建设中使用的先进施工方法、工艺设备。</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2.</w:t>
      </w:r>
      <w:r>
        <w:rPr>
          <w:rFonts w:ascii="宋体" w:hAnsi="宋体"/>
          <w:color w:val="auto"/>
          <w:sz w:val="24"/>
          <w:szCs w:val="24"/>
          <w:lang w:eastAsia="zh-Hans"/>
        </w:rPr>
        <w:t>3。1、施工进度计划满足施工工期要求，并充分考虑气候、环境对施工的影响。</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2。</w:t>
      </w:r>
      <w:r>
        <w:rPr>
          <w:rFonts w:ascii="宋体" w:hAnsi="宋体"/>
          <w:color w:val="auto"/>
          <w:sz w:val="24"/>
          <w:szCs w:val="24"/>
          <w:lang w:eastAsia="zh-Hans"/>
        </w:rPr>
        <w:t>3.2、施工方案优化,工艺先进合理、措施切实可行,保证工期，保证质量,保证安全。充分考虑各种不利施工进度和质量的因素，在工期安排、人员设备配置、施工方法等方面综合考虑时留有余地.</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2.</w:t>
      </w:r>
      <w:r>
        <w:rPr>
          <w:rFonts w:ascii="宋体" w:hAnsi="宋体"/>
          <w:color w:val="auto"/>
          <w:sz w:val="24"/>
          <w:szCs w:val="24"/>
          <w:lang w:eastAsia="zh-Hans"/>
        </w:rPr>
        <w:t>3。3、设置合理的项目机构，派遣精干的施工队伍和最雄厚的技术力量，并组成一个强有力的交通配套设施工程施工队伍。专业技术管理人员数量和资历满足招标文件的要求。</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3"/>
          <w:cols w:space="708"/>
          <w:titlePg w:val="0"/>
          <w:docGrid w:linePitch="360"/>
        </w:sectPr>
      </w:pPr>
      <w:r>
        <w:rPr>
          <w:rFonts w:ascii="宋体" w:hAnsi="宋体" w:hint="eastAsia"/>
          <w:color w:val="auto"/>
          <w:sz w:val="24"/>
          <w:szCs w:val="24"/>
        </w:rPr>
        <w:t>2.</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3.4、施工机械设备配备齐全合理，并配有备用的设备，满足施工方案的工艺要求。</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2.</w:t>
      </w:r>
      <w:r>
        <w:rPr>
          <w:rFonts w:ascii="宋体" w:hAnsi="宋体"/>
          <w:color w:val="auto"/>
          <w:sz w:val="24"/>
          <w:szCs w:val="24"/>
          <w:lang w:eastAsia="zh-Hans"/>
        </w:rPr>
        <w:t>3。5、劳动力安排和主要材料的供应计划满足施工方案和进度要求.</w:t>
      </w:r>
    </w:p>
    <w:p>
      <w:pPr>
        <w:pStyle w:val="ArialRGB8512408555"/>
        <w:shd w:val="clear" w:color="auto" w:fill="FFFFFF"/>
        <w:spacing w:line="360" w:lineRule="auto"/>
        <w:rPr>
          <w:rFonts w:ascii="宋体" w:hAnsi="宋体" w:hint="eastAsia"/>
          <w:color w:val="auto"/>
          <w:sz w:val="24"/>
          <w:szCs w:val="24"/>
        </w:rPr>
      </w:pPr>
      <w:r>
        <w:rPr>
          <w:rFonts w:ascii="宋体" w:hAnsi="宋体" w:hint="eastAsia"/>
          <w:color w:val="auto"/>
          <w:sz w:val="24"/>
          <w:szCs w:val="24"/>
        </w:rPr>
        <w:t>2.</w:t>
      </w:r>
      <w:r>
        <w:rPr>
          <w:rFonts w:ascii="宋体" w:hAnsi="宋体"/>
          <w:color w:val="auto"/>
          <w:sz w:val="24"/>
          <w:szCs w:val="24"/>
          <w:lang w:eastAsia="zh-Hans"/>
        </w:rPr>
        <w:t>3.6、保证质量、工期、安全、环保、季节性施工、文明施工等施工组织和技术保证措施切实可行。</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2.</w:t>
      </w:r>
      <w:r>
        <w:rPr>
          <w:rFonts w:ascii="宋体" w:hAnsi="宋体"/>
          <w:color w:val="auto"/>
          <w:sz w:val="24"/>
          <w:szCs w:val="24"/>
          <w:lang w:eastAsia="zh-Hans"/>
        </w:rPr>
        <w:t>3.7、树立视优良工程为合格工程的标准.</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3、</w:t>
      </w:r>
      <w:r>
        <w:rPr>
          <w:rFonts w:ascii="宋体" w:hAnsi="宋体"/>
          <w:color w:val="auto"/>
          <w:sz w:val="24"/>
          <w:szCs w:val="24"/>
          <w:lang w:eastAsia="zh-Hans"/>
        </w:rPr>
        <w:t>编制依据</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w:t>
      </w:r>
      <w:r>
        <w:rPr>
          <w:rFonts w:ascii="宋体" w:hAnsi="宋体" w:hint="eastAsia"/>
          <w:color w:val="auto"/>
          <w:sz w:val="24"/>
          <w:szCs w:val="24"/>
          <w:lang w:eastAsia="zh-Hans"/>
        </w:rPr>
        <w:t>2015年全市双创迎检道路交通安全设施建设工程</w:t>
      </w:r>
      <w:r>
        <w:rPr>
          <w:rFonts w:ascii="宋体" w:hAnsi="宋体"/>
          <w:color w:val="auto"/>
          <w:sz w:val="24"/>
          <w:szCs w:val="24"/>
          <w:lang w:eastAsia="zh-Hans"/>
        </w:rPr>
        <w:t>招标文件</w:t>
      </w:r>
      <w:r>
        <w:rPr>
          <w:rFonts w:ascii="宋体" w:hAnsi="宋体" w:hint="eastAsia"/>
          <w:color w:val="auto"/>
          <w:sz w:val="24"/>
          <w:szCs w:val="24"/>
          <w:lang w:eastAsia="zh-CN"/>
        </w:rPr>
        <w:t>、</w:t>
      </w:r>
      <w:r>
        <w:rPr>
          <w:rFonts w:ascii="宋体" w:hAnsi="宋体"/>
          <w:color w:val="auto"/>
          <w:sz w:val="24"/>
          <w:szCs w:val="24"/>
          <w:lang w:eastAsia="zh-Hans"/>
        </w:rPr>
        <w:t>交通配套设施工程施工图设计等。</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3.2、我公司施工类似工程所积累的工法成果、工艺方案以及所拥有的施工技术力量和机械设备。</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3。3、国家相关法律、法规及以及国家交通部、建设部及地方颁布的最新</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的市政工程施工及验收规范,本工程拟采用的主要规范、规程及标准（规程）</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《电气装置安装工程低压电器施工及验收规范》（GB50254-96）</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《电气装置安装工程电缆线路施工及验收规范》(GB50168—92）</w:t>
      </w:r>
    </w:p>
    <w:p>
      <w:pPr>
        <w:pStyle w:val="ArialRGB8512408555"/>
        <w:shd w:val="clear" w:color="auto" w:fill="FFFFFF"/>
        <w:spacing w:line="360" w:lineRule="auto"/>
        <w:rPr>
          <w:rFonts w:ascii="宋体" w:hAnsi="宋体" w:hint="eastAsia"/>
          <w:color w:val="auto"/>
          <w:sz w:val="24"/>
          <w:szCs w:val="24"/>
        </w:rPr>
      </w:pPr>
      <w:r>
        <w:rPr>
          <w:rFonts w:ascii="宋体" w:hAnsi="宋体"/>
          <w:color w:val="auto"/>
          <w:sz w:val="24"/>
          <w:szCs w:val="24"/>
          <w:lang w:eastAsia="zh-Hans"/>
        </w:rPr>
        <w:t>《电气装置安装工程接地装置施工及验收规范》(GB50169—92)</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《高速公路交通安全设施设计及施工技术规范》JTJ074-94</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《道路交通标志和标线》GB5768—1999</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《交通信号机技术要求与测试方法》（GA/T47-93）</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《道路交通信号灯安装规范》（GB14886—1994）</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《道路交通信号灯》(GB14887-2003)</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《LED道路交通诱导可变标示》（GA/T 484-2004）</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《发光二极管空白详细规范》(GB/T 12561—1990)</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4"/>
          <w:cols w:space="708"/>
          <w:titlePg w:val="0"/>
          <w:docGrid w:linePitch="360"/>
        </w:sectPr>
      </w:pPr>
      <w:r>
        <w:rPr>
          <w:rFonts w:ascii="宋体" w:hAnsi="宋体"/>
          <w:color w:val="auto"/>
          <w:sz w:val="24"/>
          <w:szCs w:val="24"/>
          <w:lang w:eastAsia="zh-Hans"/>
        </w:rPr>
        <w:t>《LED电子显示屏检测方法》中相关技术要求达C级以上</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《LED显示屏检测方法》（试行）</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《LED显示屏通用规范》（SJ/T11141—1997）</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《信息技术设备（包括电气事务设备）的安全》（GB 4943—95)</w:t>
      </w:r>
    </w:p>
    <w:p>
      <w:pPr>
        <w:pStyle w:val="ArialRGB8512408555"/>
        <w:numPr>
          <w:ilvl w:val="0"/>
          <w:numId w:val="1"/>
        </w:numPr>
        <w:shd w:val="clear" w:color="auto" w:fill="FFFFFF"/>
        <w:spacing w:line="360" w:lineRule="auto"/>
        <w:rPr>
          <w:rFonts w:ascii="宋体" w:hAnsi="宋体" w:hint="eastAsia"/>
          <w:color w:val="auto"/>
          <w:sz w:val="24"/>
          <w:szCs w:val="24"/>
          <w:lang w:eastAsia="zh-CN"/>
        </w:rPr>
      </w:pPr>
      <w:r>
        <w:rPr>
          <w:rFonts w:ascii="宋体" w:hAnsi="宋体" w:hint="eastAsia"/>
          <w:color w:val="auto"/>
          <w:sz w:val="24"/>
          <w:szCs w:val="24"/>
          <w:lang w:eastAsia="zh-CN"/>
        </w:rPr>
        <w:t>工程概况</w:t>
      </w:r>
    </w:p>
    <w:p>
      <w:pPr>
        <w:pStyle w:val="ArialRGB8512408555"/>
        <w:numPr>
          <w:ilvl w:val="0"/>
          <w:numId w:val="0"/>
        </w:numPr>
        <w:shd w:val="clear" w:color="auto" w:fill="FFFFFF"/>
        <w:spacing w:line="360" w:lineRule="auto"/>
        <w:rPr>
          <w:rFonts w:ascii="宋体" w:hAnsi="宋体"/>
          <w:color w:val="auto"/>
          <w:sz w:val="24"/>
          <w:szCs w:val="24"/>
          <w:lang w:eastAsia="zh-Hans"/>
        </w:rPr>
      </w:pPr>
      <w:r>
        <w:rPr>
          <w:rFonts w:ascii="宋体" w:eastAsia="宋体" w:hAnsi="宋体" w:cs="宋体" w:hint="eastAsia"/>
          <w:color w:val="auto"/>
          <w:sz w:val="24"/>
          <w:szCs w:val="24"/>
          <w:lang w:val="en-US" w:eastAsia="zh-CN"/>
        </w:rPr>
        <w:t xml:space="preserve">    本工程为铜陵市全市范围内部分主、次、支路交通标志共计186组/块，交通标线（含热熔、震荡、常温标线）共计31000㎡，交通安全设施增设及更换（包括增设不锈钢护栏、球形花岗岩隔离墩更换、人行道隔离桩更换、中心隔离护栏更换、旧标线洗刨、增设太阳能警示灯、增设50个路口卡通式警</w:t>
      </w:r>
      <w:r>
        <w:rPr>
          <w:rFonts w:ascii="宋体" w:eastAsia="宋体" w:hAnsi="宋体" w:cs="宋体" w:hint="eastAsia"/>
          <w:color w:val="auto"/>
          <w:sz w:val="24"/>
          <w:szCs w:val="24"/>
          <w:highlight w:val="none"/>
          <w:lang w:val="en-US" w:eastAsia="zh-CN"/>
        </w:rPr>
        <w:t>察交通提示及重新覆膜50个、人行横道前喷涂提示语300幅/处）；</w:t>
      </w:r>
    </w:p>
    <w:p>
      <w:pPr>
        <w:pStyle w:val="Heading2"/>
        <w:spacing w:line="240" w:lineRule="auto"/>
        <w:rPr>
          <w:rFonts w:hint="eastAsia"/>
          <w:color w:val="FF0000"/>
        </w:rPr>
      </w:pPr>
      <w:r>
        <w:rPr>
          <w:rFonts w:hint="eastAsia"/>
          <w:color w:val="FF0000"/>
        </w:rPr>
        <w:t>第二篇 施工进度计划</w:t>
      </w:r>
    </w:p>
    <w:p>
      <w:pPr>
        <w:rPr>
          <w:rFonts w:ascii="宋体" w:hAnsi="宋体" w:cs="宋体" w:hint="eastAsia"/>
          <w:color w:val="auto"/>
          <w:sz w:val="24"/>
        </w:rPr>
      </w:pPr>
      <w:r>
        <w:rPr>
          <w:rFonts w:ascii="宋体" w:hAnsi="宋体" w:cs="宋体" w:hint="eastAsia"/>
          <w:color w:val="auto"/>
          <w:sz w:val="24"/>
        </w:rPr>
        <w:t xml:space="preserve">    </w:t>
      </w:r>
      <w:r>
        <w:rPr>
          <w:rFonts w:hint="eastAsia"/>
          <w:color w:val="auto"/>
          <w:kern w:val="0"/>
          <w:sz w:val="24"/>
        </w:rPr>
        <w:t>本工程开工日期以业主下达开工日期为准，本进度计划安排工期为</w:t>
      </w:r>
      <w:r>
        <w:rPr>
          <w:rFonts w:hint="eastAsia"/>
          <w:color w:val="auto"/>
          <w:kern w:val="0"/>
          <w:sz w:val="24"/>
          <w:lang w:eastAsia="zh-CN"/>
        </w:rPr>
        <w:t>90日历</w:t>
      </w:r>
      <w:r>
        <w:rPr>
          <w:color w:val="auto"/>
          <w:kern w:val="0"/>
          <w:sz w:val="24"/>
        </w:rPr>
        <w:t xml:space="preserve"> </w:t>
      </w:r>
      <w:r>
        <w:rPr>
          <w:rFonts w:hint="eastAsia"/>
          <w:color w:val="auto"/>
          <w:kern w:val="0"/>
          <w:sz w:val="24"/>
        </w:rPr>
        <w:t>天。</w:t>
      </w:r>
      <w:r>
        <w:rPr>
          <w:color w:val="auto"/>
          <w:kern w:val="0"/>
          <w:sz w:val="24"/>
        </w:rPr>
        <w:t xml:space="preserve"> </w:t>
      </w:r>
    </w:p>
    <w:p>
      <w:pPr>
        <w:pStyle w:val="Heading2"/>
        <w:spacing w:line="240" w:lineRule="auto"/>
        <w:rPr>
          <w:rFonts w:hint="eastAsia"/>
          <w:color w:val="FF0000"/>
        </w:rPr>
        <w:sectPr>
          <w:type w:val="nextPage"/>
          <w:pgSz w:w="12240" w:h="15840"/>
          <w:pgMar w:top="1440" w:right="1800" w:bottom="1440" w:left="1800" w:header="708" w:footer="708" w:gutter="0"/>
          <w:pgNumType w:start="5"/>
          <w:cols w:space="708"/>
          <w:titlePg w:val="0"/>
          <w:docGrid w:linePitch="360"/>
        </w:sectPr>
      </w:pPr>
      <w:r>
        <w:rPr>
          <w:rFonts w:ascii="宋体" w:hAnsi="宋体" w:cs="宋体" w:hint="eastAsia"/>
          <w:color w:val="auto"/>
          <w:sz w:val="24"/>
        </w:rPr>
        <w:t xml:space="preserve">    施工进度计划详见附录施工进度总计划表.</w:t>
      </w:r>
    </w:p>
    <w:p>
      <w:pPr>
        <w:pStyle w:val="Heading2"/>
        <w:spacing w:line="240" w:lineRule="auto"/>
        <w:rPr>
          <w:rFonts w:hint="eastAsia"/>
          <w:color w:val="FF0000"/>
        </w:rPr>
      </w:pPr>
      <w:r>
        <w:rPr>
          <w:rFonts w:hint="eastAsia"/>
          <w:color w:val="FF0000"/>
        </w:rPr>
        <w:t>第</w:t>
      </w:r>
      <w:r>
        <w:rPr>
          <w:rFonts w:hint="eastAsia"/>
          <w:color w:val="FF0000"/>
          <w:lang w:eastAsia="zh-CN"/>
        </w:rPr>
        <w:t>三</w:t>
      </w:r>
      <w:r>
        <w:rPr>
          <w:rFonts w:hint="eastAsia"/>
          <w:color w:val="FF0000"/>
        </w:rPr>
        <w:t xml:space="preserve">篇 施工部署 </w:t>
      </w:r>
    </w:p>
    <w:p>
      <w:pPr>
        <w:pStyle w:val="ArialRGB8512408555"/>
        <w:shd w:val="clear" w:color="auto" w:fill="FFFFFF"/>
        <w:spacing w:line="360" w:lineRule="auto"/>
        <w:rPr>
          <w:rFonts w:ascii="宋体" w:hAnsi="宋体"/>
          <w:b/>
          <w:color w:val="auto"/>
          <w:sz w:val="24"/>
          <w:szCs w:val="24"/>
          <w:lang w:eastAsia="zh-Hans"/>
        </w:rPr>
      </w:pPr>
      <w:r>
        <w:rPr>
          <w:rFonts w:ascii="宋体" w:hAnsi="宋体"/>
          <w:b/>
          <w:color w:val="auto"/>
          <w:sz w:val="24"/>
          <w:szCs w:val="24"/>
          <w:lang w:eastAsia="zh-Hans"/>
        </w:rPr>
        <w:t>施工总体部署</w:t>
      </w:r>
    </w:p>
    <w:p>
      <w:pPr>
        <w:pStyle w:val="ArialRGB8512408555"/>
        <w:shd w:val="clear" w:color="auto" w:fill="FFFFFF"/>
        <w:spacing w:line="360" w:lineRule="auto"/>
        <w:rPr>
          <w:rFonts w:ascii="宋体" w:hAnsi="宋体"/>
          <w:color w:val="auto"/>
          <w:sz w:val="24"/>
          <w:szCs w:val="24"/>
          <w:lang w:eastAsia="zh-Hans"/>
        </w:rPr>
      </w:pPr>
      <w:r>
        <w:rPr>
          <w:rFonts w:ascii="宋体" w:hAnsi="宋体" w:hint="eastAsia"/>
          <w:color w:val="auto"/>
          <w:sz w:val="24"/>
          <w:szCs w:val="24"/>
        </w:rPr>
        <w:t>（一)、</w:t>
      </w:r>
      <w:r>
        <w:rPr>
          <w:rFonts w:ascii="宋体" w:hAnsi="宋体"/>
          <w:color w:val="auto"/>
          <w:sz w:val="24"/>
          <w:szCs w:val="24"/>
          <w:lang w:eastAsia="zh-Hans"/>
        </w:rPr>
        <w:t>工程施工条件</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1、质量目标</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本工程确保工程质量达到“合格”标准</w:t>
      </w:r>
      <w:r>
        <w:rPr>
          <w:rFonts w:ascii="宋体" w:hAnsi="宋体" w:hint="eastAsia"/>
          <w:color w:val="auto"/>
          <w:sz w:val="24"/>
          <w:szCs w:val="24"/>
          <w:lang w:val="en-US" w:eastAsia="zh-CN"/>
        </w:rPr>
        <w:t>(其中道路交通标志必须满足GB5768.2</w:t>
      </w:r>
      <w:r>
        <w:rPr>
          <w:rFonts w:ascii="宋体" w:hAnsi="宋体" w:hint="eastAsia"/>
          <w:color w:val="auto"/>
          <w:sz w:val="24"/>
          <w:szCs w:val="24"/>
          <w:lang w:val="en-US" w:eastAsia="zh-CN"/>
        </w:rPr>
        <w:t>—</w:t>
      </w:r>
      <w:r>
        <w:rPr>
          <w:rFonts w:ascii="宋体" w:hAnsi="宋体" w:hint="eastAsia"/>
          <w:color w:val="auto"/>
          <w:sz w:val="24"/>
          <w:szCs w:val="24"/>
          <w:lang w:val="en-US" w:eastAsia="zh-CN"/>
        </w:rPr>
        <w:t>2009标准、道路交通标线必须满足GB5786.3-2009标准）</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2、工期目标</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在保证完成业主下达的阶段工期目标要求,施工总工期计划</w:t>
      </w:r>
      <w:r>
        <w:rPr>
          <w:rFonts w:ascii="宋体" w:hAnsi="宋体" w:hint="eastAsia"/>
          <w:color w:val="auto"/>
          <w:sz w:val="24"/>
          <w:szCs w:val="24"/>
          <w:lang w:val="en-US" w:eastAsia="zh-CN"/>
        </w:rPr>
        <w:t>90日历天</w:t>
      </w:r>
      <w:r>
        <w:rPr>
          <w:rFonts w:ascii="宋体" w:hAnsi="宋体"/>
          <w:color w:val="auto"/>
          <w:sz w:val="24"/>
          <w:szCs w:val="24"/>
          <w:lang w:eastAsia="zh-Hans"/>
        </w:rPr>
        <w:t>完工交付使用。</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3、施工安排总体原则</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根据工期要求及本工程的特点，并结合现场的实际条件，确定施工部署的主导思想为：以确保实现工期及质量目标为前提，以标志、标线、</w:t>
      </w:r>
      <w:r>
        <w:rPr>
          <w:rFonts w:ascii="宋体" w:hAnsi="宋体" w:hint="eastAsia"/>
          <w:color w:val="auto"/>
          <w:sz w:val="24"/>
          <w:szCs w:val="24"/>
          <w:lang w:eastAsia="zh-CN"/>
        </w:rPr>
        <w:t>人行道隔离护栏</w:t>
      </w:r>
      <w:r>
        <w:rPr>
          <w:rFonts w:ascii="宋体" w:hAnsi="宋体"/>
          <w:color w:val="auto"/>
          <w:sz w:val="24"/>
          <w:szCs w:val="24"/>
          <w:lang w:eastAsia="zh-Hans"/>
        </w:rPr>
        <w:t>、</w:t>
      </w:r>
      <w:r>
        <w:rPr>
          <w:rFonts w:ascii="宋体" w:eastAsia="宋体" w:hAnsi="宋体" w:cs="宋体" w:hint="eastAsia"/>
          <w:color w:val="auto"/>
          <w:sz w:val="24"/>
          <w:szCs w:val="24"/>
          <w:lang w:eastAsia="zh-CN"/>
        </w:rPr>
        <w:t>限高门等</w:t>
      </w:r>
      <w:r>
        <w:rPr>
          <w:rFonts w:ascii="宋体" w:hAnsi="宋体"/>
          <w:color w:val="auto"/>
          <w:sz w:val="24"/>
          <w:szCs w:val="24"/>
          <w:lang w:eastAsia="zh-Hans"/>
        </w:rPr>
        <w:t>施工为重点，合理安排交通配套设施工程的施工顺序，形成有规模的平行施工和有序的流水作业，力争优质高效地完成施工任务。</w:t>
      </w:r>
    </w:p>
    <w:p>
      <w:pPr>
        <w:pStyle w:val="ArialRGB8512408555"/>
        <w:shd w:val="clear" w:color="auto" w:fill="FFFFFF"/>
        <w:spacing w:line="360" w:lineRule="auto"/>
        <w:rPr>
          <w:rFonts w:ascii="宋体" w:hAnsi="宋体" w:hint="eastAsia"/>
          <w:color w:val="auto"/>
          <w:sz w:val="24"/>
          <w:szCs w:val="24"/>
        </w:rPr>
      </w:pPr>
      <w:r>
        <w:rPr>
          <w:rFonts w:ascii="宋体" w:hAnsi="宋体" w:hint="eastAsia"/>
          <w:color w:val="auto"/>
          <w:sz w:val="24"/>
          <w:szCs w:val="24"/>
        </w:rPr>
        <w:t>(二)、</w:t>
      </w:r>
      <w:r>
        <w:rPr>
          <w:rFonts w:ascii="宋体" w:hAnsi="宋体"/>
          <w:color w:val="auto"/>
          <w:sz w:val="24"/>
          <w:szCs w:val="24"/>
          <w:lang w:eastAsia="zh-Hans"/>
        </w:rPr>
        <w:t>设备、人员、材料的组织</w:t>
      </w:r>
    </w:p>
    <w:p>
      <w:pPr>
        <w:pStyle w:val="ArialRGB8512408555"/>
        <w:shd w:val="clear" w:color="auto" w:fill="FFFFFF"/>
        <w:rPr>
          <w:rFonts w:ascii="宋体" w:hAnsi="宋体"/>
          <w:color w:val="auto"/>
          <w:sz w:val="24"/>
          <w:szCs w:val="24"/>
          <w:lang w:eastAsia="zh-Hans"/>
        </w:rPr>
      </w:pPr>
      <w:r>
        <w:rPr>
          <w:rFonts w:ascii="宋体" w:hAnsi="宋体"/>
          <w:color w:val="auto"/>
          <w:sz w:val="24"/>
          <w:szCs w:val="24"/>
          <w:lang w:eastAsia="zh-Hans"/>
        </w:rPr>
        <w:t>1、设备、人员</w:t>
      </w:r>
    </w:p>
    <w:p>
      <w:pPr>
        <w:pStyle w:val="ArialRGB8512408555"/>
        <w:shd w:val="clear" w:color="auto" w:fill="FFFFFF"/>
        <w:jc w:val="center"/>
        <w:rPr>
          <w:rFonts w:ascii="宋体" w:hAnsi="宋体"/>
          <w:color w:val="auto"/>
          <w:sz w:val="24"/>
          <w:szCs w:val="24"/>
          <w:lang w:eastAsia="zh-Hans"/>
        </w:rPr>
      </w:pPr>
      <w:r>
        <w:rPr>
          <w:rFonts w:ascii="宋体" w:hAnsi="宋体"/>
          <w:color w:val="auto"/>
          <w:sz w:val="24"/>
          <w:szCs w:val="24"/>
          <w:lang w:eastAsia="zh-Hans"/>
        </w:rPr>
        <w:t>施工主要机械设备配置表</w:t>
      </w:r>
    </w:p>
    <w:tbl>
      <w:tblPr>
        <w:tblStyle w:val="TableNormal"/>
        <w:jc w:val="center"/>
        <w:tblCellSpacing w:w="0" w:type="dxa"/>
        <w:tblInd w:w="-6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636"/>
        <w:gridCol w:w="1524"/>
        <w:gridCol w:w="1446"/>
        <w:gridCol w:w="751"/>
        <w:gridCol w:w="749"/>
        <w:gridCol w:w="960"/>
        <w:gridCol w:w="1375"/>
        <w:gridCol w:w="1479"/>
      </w:tblGrid>
      <w:tr>
        <w:tblPrEx>
          <w:jc w:val="center"/>
          <w:tblCellSpacing w:w="0" w:type="dxa"/>
          <w:tblInd w:w="-6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849"/>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序号</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机械名称</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型号规格</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数量</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产地</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制造年份</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定额功率</w:t>
            </w: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生产能力</w:t>
            </w: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1</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高空作业车</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BJ5083JGKC—2</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中国</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2002</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120</w:t>
            </w: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120KW</w:t>
            </w: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2</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运输汽车</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东风（8吨)</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中国</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2003</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8T</w:t>
            </w: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3</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汽车起重机</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10T</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中国</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2003</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60</w:t>
            </w: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60</w:t>
            </w:r>
          </w:p>
        </w:tc>
      </w:tr>
    </w:tbl>
    <w:p>
      <w:pPr>
        <w:sectPr>
          <w:type w:val="nextPage"/>
          <w:pgSz w:w="12240" w:h="15840"/>
          <w:pgMar w:top="1440" w:right="1800" w:bottom="1440" w:left="1800" w:header="708" w:footer="708" w:gutter="0"/>
          <w:pgNumType w:start="6"/>
          <w:cols w:space="708"/>
          <w:titlePg w:val="0"/>
          <w:docGrid w:linePitch="360"/>
        </w:sectPr>
      </w:pPr>
    </w:p>
    <w:tbl>
      <w:tblPr>
        <w:tblStyle w:val="TableNormal"/>
        <w:jc w:val="center"/>
        <w:tblCellSpacing w:w="0" w:type="dxa"/>
        <w:tblInd w:w="-6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636"/>
        <w:gridCol w:w="1524"/>
        <w:gridCol w:w="1446"/>
        <w:gridCol w:w="751"/>
        <w:gridCol w:w="749"/>
        <w:gridCol w:w="960"/>
        <w:gridCol w:w="1375"/>
        <w:gridCol w:w="1479"/>
      </w:tblGrid>
      <w:tr>
        <w:tblPrEx>
          <w:jc w:val="center"/>
          <w:tblCellSpacing w:w="0" w:type="dxa"/>
          <w:tblInd w:w="-6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4</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交流电焊机</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BX3—300</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南京</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2001</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160A</w:t>
            </w: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160A</w:t>
            </w:r>
          </w:p>
        </w:tc>
      </w:tr>
      <w:tr>
        <w:tblPrEx>
          <w:jc w:val="center"/>
          <w:tblCellSpacing w:w="0" w:type="dxa"/>
          <w:tblInd w:w="-60" w:type="dxa"/>
          <w:tblLayout w:type="fixed"/>
          <w:tblCellMar>
            <w:top w:w="0" w:type="dxa"/>
            <w:left w:w="0" w:type="dxa"/>
            <w:bottom w:w="0" w:type="dxa"/>
            <w:right w:w="0" w:type="dxa"/>
          </w:tblCellMar>
          <w:tblLook w:val="0000"/>
        </w:tblPrEx>
        <w:trPr>
          <w:trHeight w:val="743"/>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5</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轻便焊机</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13*13—200—1</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中国</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2003</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25KW</w:t>
            </w: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 o:spid="_x0000_s1025" type="#_x0000_t136" style="width:259.5pt;height:34.5pt;margin-top:193pt;margin-left:58pt;mso-wrap-style:square;position:absolute;z-index:251658240" filled="f" stroked="t" strokecolor="#e6e6e6" strokeweight="0.1pt">
                  <v:stroke dashstyle="dashDot" linestyle="single"/>
                  <v:shadow color="#868686"/>
                  <v:textpath style="font-family:'Arial Black';font-size:25pt;font-weight:bold;v-rotate-letters:f;v-same-letter-heights:f;v-text-kern:t;v-text-reverse:f" trim="t" xscale="f" string="www.zhulong.com"/>
                </v:shape>
              </w:pict>
            </w:r>
            <w:r>
              <w:rPr>
                <w:rFonts w:ascii="宋体" w:hAnsi="宋体" w:cs="Arial"/>
                <w:kern w:val="0"/>
                <w:sz w:val="21"/>
                <w:szCs w:val="21"/>
              </w:rPr>
              <w:t>6</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角向磨光机</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SIM-KP01-100A</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中国</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2003</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0。7</w:t>
            </w: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700W</w:t>
            </w: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7</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液压导线压线钳</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SYQ-15</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江苏</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2004</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16-240mm2</w:t>
            </w: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8</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电钻</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J12-SD03—6A</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3</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上海</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2004</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220V</w:t>
            </w: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9</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底油机</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PS—III</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上海</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2004</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10</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热熔釜</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菊水</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日本</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2001</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300kg×2</w:t>
            </w: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300kg×2</w:t>
            </w:r>
          </w:p>
        </w:tc>
      </w:tr>
      <w:tr>
        <w:tblPrEx>
          <w:jc w:val="center"/>
          <w:tblCellSpacing w:w="0" w:type="dxa"/>
          <w:tblInd w:w="-60" w:type="dxa"/>
          <w:tblLayout w:type="fixed"/>
          <w:tblCellMar>
            <w:top w:w="0" w:type="dxa"/>
            <w:left w:w="0" w:type="dxa"/>
            <w:bottom w:w="0" w:type="dxa"/>
            <w:right w:w="0" w:type="dxa"/>
          </w:tblCellMar>
          <w:tblLook w:val="0000"/>
        </w:tblPrEx>
        <w:trPr>
          <w:trHeight w:val="820"/>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11</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划线机</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CL-15DM</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4</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中国</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2002</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r>
      <w:tr>
        <w:tblPrEx>
          <w:jc w:val="center"/>
          <w:tblCellSpacing w:w="0" w:type="dxa"/>
          <w:tblInd w:w="-60" w:type="dxa"/>
          <w:tblLayout w:type="fixed"/>
          <w:tblCellMar>
            <w:top w:w="0" w:type="dxa"/>
            <w:left w:w="0" w:type="dxa"/>
            <w:bottom w:w="0" w:type="dxa"/>
            <w:right w:w="0" w:type="dxa"/>
          </w:tblCellMar>
          <w:tblLook w:val="0000"/>
        </w:tblPrEx>
        <w:trPr>
          <w:trHeight w:val="849"/>
          <w:tblCellSpacing w:w="0" w:type="dxa"/>
          <w:jc w:val="center"/>
        </w:trPr>
        <w:tc>
          <w:tcPr>
            <w:tcW w:w="63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center"/>
              <w:rPr>
                <w:rFonts w:ascii="宋体" w:hAnsi="宋体" w:cs="Arial"/>
                <w:kern w:val="0"/>
                <w:szCs w:val="21"/>
              </w:rPr>
            </w:pPr>
            <w:r>
              <w:rPr>
                <w:rFonts w:ascii="宋体" w:hAnsi="宋体" w:cs="Arial"/>
                <w:kern w:val="0"/>
                <w:sz w:val="21"/>
                <w:szCs w:val="21"/>
              </w:rPr>
              <w:t>12</w:t>
            </w:r>
          </w:p>
        </w:tc>
        <w:tc>
          <w:tcPr>
            <w:tcW w:w="152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斑马线机</w:t>
            </w:r>
          </w:p>
        </w:tc>
        <w:tc>
          <w:tcPr>
            <w:tcW w:w="1446"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L—45E</w:t>
            </w:r>
          </w:p>
        </w:tc>
        <w:tc>
          <w:tcPr>
            <w:tcW w:w="75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1</w:t>
            </w:r>
          </w:p>
        </w:tc>
        <w:tc>
          <w:tcPr>
            <w:tcW w:w="74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jc w:val="both"/>
              <w:rPr>
                <w:rFonts w:ascii="宋体" w:hAnsi="宋体" w:cs="Arial"/>
                <w:kern w:val="0"/>
                <w:szCs w:val="21"/>
              </w:rPr>
            </w:pPr>
            <w:r>
              <w:rPr>
                <w:rFonts w:ascii="宋体" w:hAnsi="宋体" w:cs="Arial"/>
                <w:kern w:val="0"/>
                <w:sz w:val="21"/>
                <w:szCs w:val="21"/>
              </w:rPr>
              <w:t>中国</w:t>
            </w:r>
          </w:p>
        </w:tc>
        <w:tc>
          <w:tcPr>
            <w:tcW w:w="96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r>
              <w:rPr>
                <w:rFonts w:ascii="宋体" w:hAnsi="宋体" w:cs="Arial"/>
                <w:kern w:val="0"/>
                <w:sz w:val="21"/>
                <w:szCs w:val="21"/>
              </w:rPr>
              <w:t>2004</w:t>
            </w:r>
          </w:p>
        </w:tc>
        <w:tc>
          <w:tcPr>
            <w:tcW w:w="1375"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c>
          <w:tcPr>
            <w:tcW w:w="1479"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jc w:val="center"/>
              <w:rPr>
                <w:rFonts w:ascii="宋体" w:hAnsi="宋体" w:cs="Arial"/>
                <w:kern w:val="0"/>
                <w:szCs w:val="21"/>
              </w:rPr>
            </w:pPr>
          </w:p>
        </w:tc>
      </w:tr>
    </w:tbl>
    <w:p>
      <w:pPr>
        <w:pStyle w:val="ArialRGB8512408555"/>
        <w:shd w:val="clear" w:color="auto" w:fill="FFFFFF"/>
        <w:rPr>
          <w:rFonts w:ascii="宋体" w:hAnsi="宋体"/>
          <w:color w:val="auto"/>
          <w:sz w:val="24"/>
          <w:szCs w:val="24"/>
          <w:lang w:eastAsia="zh-Hans"/>
        </w:rPr>
      </w:pPr>
      <w:r>
        <w:rPr>
          <w:rFonts w:ascii="宋体" w:hAnsi="宋体"/>
          <w:color w:val="auto"/>
          <w:sz w:val="24"/>
          <w:szCs w:val="24"/>
          <w:lang w:eastAsia="zh-Hans"/>
        </w:rPr>
        <w:t> 测量主要设备配置表</w:t>
      </w:r>
    </w:p>
    <w:p>
      <w:pPr>
        <w:pStyle w:val="ArialRGB8512408555"/>
        <w:shd w:val="clear" w:color="auto" w:fill="FFFFFF"/>
        <w:rPr>
          <w:rFonts w:ascii="宋体" w:hAnsi="宋体"/>
          <w:color w:val="auto"/>
          <w:sz w:val="24"/>
          <w:szCs w:val="24"/>
          <w:lang w:eastAsia="zh-Hans"/>
        </w:rPr>
      </w:pPr>
      <w:r>
        <w:rPr>
          <w:rFonts w:ascii="宋体" w:hAnsi="宋体"/>
          <w:color w:val="auto"/>
          <w:sz w:val="24"/>
          <w:szCs w:val="24"/>
          <w:lang w:eastAsia="zh-Hans"/>
        </w:rPr>
        <w:t> </w:t>
      </w:r>
    </w:p>
    <w:tbl>
      <w:tblPr>
        <w:tblStyle w:val="TableNormal"/>
        <w:jc w:val="center"/>
        <w:tblCellSpacing w:w="0" w:type="dxa"/>
        <w:tblInd w:w="-6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
      <w:tblGrid>
        <w:gridCol w:w="864"/>
        <w:gridCol w:w="1792"/>
        <w:gridCol w:w="928"/>
        <w:gridCol w:w="1961"/>
        <w:gridCol w:w="840"/>
        <w:gridCol w:w="2041"/>
      </w:tblGrid>
      <w:tr>
        <w:tblPrEx>
          <w:jc w:val="center"/>
          <w:tblCellSpacing w:w="0" w:type="dxa"/>
          <w:tblInd w:w="-6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0" w:type="dxa"/>
            <w:left w:w="0" w:type="dxa"/>
            <w:bottom w:w="0" w:type="dxa"/>
            <w:right w:w="0" w:type="dxa"/>
          </w:tblCellMar>
          <w:tblLook w:val="0000"/>
        </w:tblPrEx>
        <w:trPr>
          <w:tblCellSpacing w:w="0" w:type="dxa"/>
          <w:jc w:val="center"/>
        </w:trPr>
        <w:tc>
          <w:tcPr>
            <w:tcW w:w="86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序号</w:t>
            </w:r>
          </w:p>
        </w:tc>
        <w:tc>
          <w:tcPr>
            <w:tcW w:w="1792"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设备名称</w:t>
            </w:r>
          </w:p>
        </w:tc>
        <w:tc>
          <w:tcPr>
            <w:tcW w:w="928"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单位</w:t>
            </w:r>
          </w:p>
        </w:tc>
        <w:tc>
          <w:tcPr>
            <w:tcW w:w="196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型号</w:t>
            </w:r>
          </w:p>
        </w:tc>
        <w:tc>
          <w:tcPr>
            <w:tcW w:w="84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数量</w:t>
            </w:r>
          </w:p>
        </w:tc>
        <w:tc>
          <w:tcPr>
            <w:tcW w:w="204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计划进场时间</w:t>
            </w:r>
          </w:p>
        </w:tc>
      </w:tr>
      <w:tr>
        <w:tblPrEx>
          <w:jc w:val="center"/>
          <w:tblCellSpacing w:w="0" w:type="dxa"/>
          <w:tblInd w:w="-60" w:type="dxa"/>
          <w:tblLayout w:type="fixed"/>
          <w:tblCellMar>
            <w:top w:w="0" w:type="dxa"/>
            <w:left w:w="0" w:type="dxa"/>
            <w:bottom w:w="0" w:type="dxa"/>
            <w:right w:w="0" w:type="dxa"/>
          </w:tblCellMar>
          <w:tblLook w:val="0000"/>
        </w:tblPrEx>
        <w:trPr>
          <w:tblCellSpacing w:w="0" w:type="dxa"/>
          <w:jc w:val="center"/>
        </w:trPr>
        <w:tc>
          <w:tcPr>
            <w:tcW w:w="86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1</w:t>
            </w:r>
          </w:p>
        </w:tc>
        <w:tc>
          <w:tcPr>
            <w:tcW w:w="1792"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全站仪</w:t>
            </w:r>
          </w:p>
        </w:tc>
        <w:tc>
          <w:tcPr>
            <w:tcW w:w="928"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台</w:t>
            </w:r>
          </w:p>
        </w:tc>
        <w:tc>
          <w:tcPr>
            <w:tcW w:w="196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GT—211D</w:t>
            </w:r>
          </w:p>
        </w:tc>
        <w:tc>
          <w:tcPr>
            <w:tcW w:w="84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1</w:t>
            </w:r>
          </w:p>
        </w:tc>
        <w:tc>
          <w:tcPr>
            <w:tcW w:w="204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 xml:space="preserve"> 。10。25</w:t>
            </w:r>
          </w:p>
        </w:tc>
      </w:tr>
      <w:tr>
        <w:tblPrEx>
          <w:jc w:val="center"/>
          <w:tblCellSpacing w:w="0" w:type="dxa"/>
          <w:tblInd w:w="-60" w:type="dxa"/>
          <w:tblLayout w:type="fixed"/>
          <w:tblCellMar>
            <w:top w:w="0" w:type="dxa"/>
            <w:left w:w="0" w:type="dxa"/>
            <w:bottom w:w="0" w:type="dxa"/>
            <w:right w:w="0" w:type="dxa"/>
          </w:tblCellMar>
          <w:tblLook w:val="0000"/>
        </w:tblPrEx>
        <w:trPr>
          <w:tblCellSpacing w:w="0" w:type="dxa"/>
          <w:jc w:val="center"/>
        </w:trPr>
        <w:tc>
          <w:tcPr>
            <w:tcW w:w="86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2</w:t>
            </w:r>
          </w:p>
        </w:tc>
        <w:tc>
          <w:tcPr>
            <w:tcW w:w="1792"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经伟仪</w:t>
            </w:r>
          </w:p>
        </w:tc>
        <w:tc>
          <w:tcPr>
            <w:tcW w:w="928"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台</w:t>
            </w:r>
          </w:p>
        </w:tc>
        <w:tc>
          <w:tcPr>
            <w:tcW w:w="196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苏光</w:t>
            </w:r>
          </w:p>
        </w:tc>
        <w:tc>
          <w:tcPr>
            <w:tcW w:w="84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1</w:t>
            </w:r>
          </w:p>
        </w:tc>
        <w:tc>
          <w:tcPr>
            <w:tcW w:w="204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 xml:space="preserve"> 。10.25</w:t>
            </w:r>
          </w:p>
        </w:tc>
      </w:tr>
      <w:tr>
        <w:tblPrEx>
          <w:jc w:val="center"/>
          <w:tblCellSpacing w:w="0" w:type="dxa"/>
          <w:tblInd w:w="-60" w:type="dxa"/>
          <w:tblLayout w:type="fixed"/>
          <w:tblCellMar>
            <w:top w:w="0" w:type="dxa"/>
            <w:left w:w="0" w:type="dxa"/>
            <w:bottom w:w="0" w:type="dxa"/>
            <w:right w:w="0" w:type="dxa"/>
          </w:tblCellMar>
          <w:tblLook w:val="0000"/>
        </w:tblPrEx>
        <w:trPr>
          <w:tblCellSpacing w:w="0" w:type="dxa"/>
          <w:jc w:val="center"/>
        </w:trPr>
        <w:tc>
          <w:tcPr>
            <w:tcW w:w="864"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3</w:t>
            </w:r>
          </w:p>
        </w:tc>
        <w:tc>
          <w:tcPr>
            <w:tcW w:w="1792"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水准仪</w:t>
            </w:r>
          </w:p>
        </w:tc>
        <w:tc>
          <w:tcPr>
            <w:tcW w:w="928"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台</w:t>
            </w:r>
          </w:p>
        </w:tc>
        <w:tc>
          <w:tcPr>
            <w:tcW w:w="196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S20</w:t>
            </w:r>
          </w:p>
        </w:tc>
        <w:tc>
          <w:tcPr>
            <w:tcW w:w="840"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1</w:t>
            </w:r>
          </w:p>
        </w:tc>
        <w:tc>
          <w:tcPr>
            <w:tcW w:w="2041" w:type="dxa"/>
            <w:tcBorders>
              <w:top w:val="thickThinLargeGap" w:sz="6" w:space="0" w:color="auto"/>
              <w:left w:val="thickThinLargeGap" w:sz="6" w:space="0" w:color="auto"/>
              <w:bottom w:val="thickThinLargeGap" w:sz="6" w:space="0" w:color="auto"/>
              <w:right w:val="thickThinLargeGap" w:sz="6" w:space="0" w:color="auto"/>
            </w:tcBorders>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 xml:space="preserve"> .10。25</w:t>
            </w:r>
          </w:p>
        </w:tc>
      </w:tr>
    </w:tbl>
    <w:p>
      <w:pPr>
        <w:pStyle w:val="ArialRGB8512408555"/>
        <w:shd w:val="clear" w:color="auto" w:fill="FFFFFF"/>
        <w:jc w:val="center"/>
        <w:rPr>
          <w:rFonts w:ascii="宋体" w:hAnsi="宋体"/>
          <w:color w:val="auto"/>
          <w:sz w:val="24"/>
          <w:szCs w:val="24"/>
          <w:lang w:eastAsia="zh-Hans"/>
        </w:rPr>
      </w:pPr>
      <w:r>
        <w:rPr>
          <w:rFonts w:ascii="宋体" w:hAnsi="宋体"/>
          <w:color w:val="auto"/>
          <w:sz w:val="24"/>
          <w:szCs w:val="24"/>
          <w:lang w:eastAsia="zh-Hans"/>
        </w:rPr>
        <w:t>人员配备表</w:t>
      </w:r>
    </w:p>
    <w:p>
      <w:pPr>
        <w:pStyle w:val="ArialRGB8512408555"/>
        <w:shd w:val="clear" w:color="auto" w:fill="FFFFFF"/>
        <w:rPr>
          <w:rFonts w:ascii="宋体" w:hAnsi="宋体"/>
          <w:color w:val="auto"/>
          <w:sz w:val="24"/>
          <w:szCs w:val="24"/>
          <w:lang w:eastAsia="zh-Hans"/>
        </w:rPr>
      </w:pPr>
      <w:r>
        <w:rPr>
          <w:rFonts w:ascii="宋体" w:hAnsi="宋体"/>
          <w:color w:val="auto"/>
          <w:sz w:val="24"/>
          <w:szCs w:val="24"/>
          <w:lang w:eastAsia="zh-Hans"/>
        </w:rPr>
        <w:t> </w:t>
      </w:r>
    </w:p>
    <w:tbl>
      <w:tblPr>
        <w:tblStyle w:val="TableNormal"/>
        <w:jc w:val="center"/>
        <w:tblCellSpacing w:w="0" w:type="dxa"/>
        <w:tblLayout w:type="fixed"/>
        <w:tblCellMar>
          <w:top w:w="0" w:type="dxa"/>
          <w:left w:w="0" w:type="dxa"/>
          <w:bottom w:w="0" w:type="dxa"/>
          <w:right w:w="0" w:type="dxa"/>
        </w:tblCellMar>
        <w:tblLook w:val="0000"/>
      </w:tblPr>
      <w:tblGrid>
        <w:gridCol w:w="8306"/>
      </w:tblGrid>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项目经理：</w:t>
            </w:r>
            <w:r>
              <w:rPr>
                <w:rFonts w:ascii="宋体" w:hAnsi="宋体" w:cs="Arial" w:hint="eastAsia"/>
                <w:kern w:val="0"/>
                <w:sz w:val="24"/>
              </w:rPr>
              <w:t xml:space="preserve"> </w:t>
            </w:r>
          </w:p>
        </w:tc>
      </w:tr>
    </w:tbl>
    <w:p>
      <w:pPr>
        <w:sectPr>
          <w:type w:val="nextPage"/>
          <w:pgSz w:w="12240" w:h="15840"/>
          <w:pgMar w:top="1440" w:right="1800" w:bottom="1440" w:left="1800" w:header="708" w:footer="708" w:gutter="0"/>
          <w:pgNumType w:start="7"/>
          <w:cols w:space="708"/>
          <w:titlePg w:val="0"/>
          <w:docGrid w:linePitch="360"/>
        </w:sectPr>
      </w:pPr>
    </w:p>
    <w:tbl>
      <w:tblPr>
        <w:tblStyle w:val="TableNormal"/>
        <w:jc w:val="center"/>
        <w:tblCellSpacing w:w="0" w:type="dxa"/>
        <w:tblLayout w:type="fixed"/>
        <w:tblCellMar>
          <w:top w:w="0" w:type="dxa"/>
          <w:left w:w="0" w:type="dxa"/>
          <w:bottom w:w="0" w:type="dxa"/>
          <w:right w:w="0" w:type="dxa"/>
        </w:tblCellMar>
        <w:tblLook w:val="0000"/>
      </w:tblPr>
      <w:tblGrid>
        <w:gridCol w:w="8306"/>
      </w:tblGrid>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项目总工</w:t>
            </w:r>
            <w:r>
              <w:rPr>
                <w:rFonts w:ascii="宋体" w:hAnsi="宋体" w:cs="Arial" w:hint="eastAsia"/>
                <w:kern w:val="0"/>
                <w:sz w:val="24"/>
                <w:lang w:eastAsia="zh-CN"/>
              </w:rPr>
              <w:t>；</w:t>
            </w:r>
            <w:r>
              <w:rPr>
                <w:rFonts w:ascii="宋体" w:hAnsi="宋体" w:cs="Arial" w:hint="eastAsia"/>
                <w:kern w:val="0"/>
                <w:sz w:val="24"/>
              </w:rPr>
              <w:t xml:space="preserve">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rPr>
                <w:rFonts w:ascii="宋体" w:hAnsi="宋体" w:cs="Arial" w:hint="eastAsia"/>
                <w:kern w:val="0"/>
                <w:sz w:val="24"/>
              </w:rPr>
            </w:pPr>
            <w:r>
              <w:rPr>
                <w:rFonts w:ascii="宋体" w:hAnsi="宋体" w:cs="Arial" w:hint="eastAsia"/>
                <w:kern w:val="0"/>
                <w:sz w:val="24"/>
                <w:lang w:val="en-US" w:eastAsia="zh-CN"/>
              </w:rPr>
              <w:t xml:space="preserve">    </w:t>
            </w:r>
            <w:r>
              <w:rPr>
                <w:rFonts w:ascii="宋体" w:hAnsi="宋体" w:cs="Arial"/>
                <w:kern w:val="0"/>
                <w:sz w:val="24"/>
              </w:rPr>
              <w:t>副总工</w:t>
            </w:r>
            <w:r>
              <w:rPr>
                <w:rFonts w:ascii="宋体" w:hAnsi="宋体" w:cs="Arial" w:hint="eastAsia"/>
                <w:kern w:val="0"/>
                <w:sz w:val="24"/>
                <w:lang w:eastAsia="zh-CN"/>
              </w:rPr>
              <w:t>；</w:t>
            </w:r>
          </w:p>
        </w:tc>
      </w:tr>
      <w:tr>
        <w:tblPrEx>
          <w:jc w:val="center"/>
          <w:tblCellSpacing w:w="0" w:type="dxa"/>
          <w:tblLayout w:type="fixed"/>
          <w:tblCellMar>
            <w:top w:w="0" w:type="dxa"/>
            <w:left w:w="0" w:type="dxa"/>
            <w:bottom w:w="0" w:type="dxa"/>
            <w:right w:w="0" w:type="dxa"/>
          </w:tblCellMar>
          <w:tblLook w:val="0000"/>
        </w:tblPrEx>
        <w:trPr>
          <w:trHeight w:val="90"/>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主管副经理</w:t>
            </w:r>
            <w:r>
              <w:rPr>
                <w:rFonts w:ascii="宋体" w:hAnsi="宋体" w:cs="Arial" w:hint="eastAsia"/>
                <w:kern w:val="0"/>
                <w:sz w:val="24"/>
                <w:lang w:eastAsia="zh-CN"/>
              </w:rPr>
              <w:t>；</w:t>
            </w:r>
            <w:r>
              <w:rPr>
                <w:rFonts w:ascii="宋体" w:hAnsi="宋体" w:cs="Arial" w:hint="eastAsia"/>
                <w:kern w:val="0"/>
                <w:sz w:val="24"/>
              </w:rPr>
              <w:t xml:space="preserve">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试验员</w:t>
            </w:r>
            <w:r>
              <w:rPr>
                <w:rFonts w:ascii="宋体" w:hAnsi="宋体" w:cs="Arial" w:hint="eastAsia"/>
                <w:kern w:val="0"/>
                <w:sz w:val="24"/>
                <w:lang w:eastAsia="zh-CN"/>
              </w:rPr>
              <w:t>；</w:t>
            </w:r>
            <w:r>
              <w:rPr>
                <w:rFonts w:ascii="宋体" w:hAnsi="宋体" w:cs="Arial" w:hint="eastAsia"/>
                <w:kern w:val="0"/>
                <w:sz w:val="24"/>
              </w:rPr>
              <w:t xml:space="preserve">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测量工程师</w:t>
            </w:r>
            <w:r>
              <w:rPr>
                <w:rFonts w:ascii="宋体" w:hAnsi="宋体" w:cs="Arial" w:hint="eastAsia"/>
                <w:kern w:val="0"/>
                <w:sz w:val="24"/>
                <w:lang w:eastAsia="zh-CN"/>
              </w:rPr>
              <w:t>；</w:t>
            </w:r>
            <w:r>
              <w:rPr>
                <w:rFonts w:ascii="宋体" w:hAnsi="宋体" w:cs="Arial" w:hint="eastAsia"/>
                <w:kern w:val="0"/>
                <w:sz w:val="24"/>
              </w:rPr>
              <w:t xml:space="preserve">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交通工程师</w:t>
            </w:r>
            <w:r>
              <w:rPr>
                <w:rFonts w:ascii="宋体" w:hAnsi="宋体" w:cs="Arial" w:hint="eastAsia"/>
                <w:kern w:val="0"/>
                <w:sz w:val="24"/>
                <w:lang w:eastAsia="zh-CN"/>
              </w:rPr>
              <w:t>；</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标线组</w:t>
            </w:r>
            <w:r>
              <w:rPr>
                <w:rFonts w:ascii="宋体" w:hAnsi="宋体" w:cs="Arial" w:hint="eastAsia"/>
                <w:kern w:val="0"/>
                <w:sz w:val="24"/>
                <w:lang w:eastAsia="zh-CN"/>
              </w:rPr>
              <w:t>;</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信号灯组</w:t>
            </w:r>
            <w:r>
              <w:rPr>
                <w:rFonts w:ascii="宋体" w:hAnsi="宋体" w:cs="Arial" w:hint="eastAsia"/>
                <w:kern w:val="0"/>
                <w:sz w:val="24"/>
                <w:lang w:eastAsia="zh-CN"/>
              </w:rPr>
              <w:t>；</w:t>
            </w:r>
            <w:r>
              <w:rPr>
                <w:rFonts w:ascii="宋体" w:hAnsi="宋体" w:cs="Arial" w:hint="eastAsia"/>
                <w:kern w:val="0"/>
                <w:sz w:val="24"/>
              </w:rPr>
              <w:t xml:space="preserve">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各专业作业队</w:t>
            </w:r>
            <w:r>
              <w:rPr>
                <w:rFonts w:ascii="宋体" w:hAnsi="宋体" w:cs="Arial" w:hint="eastAsia"/>
                <w:kern w:val="0"/>
                <w:sz w:val="24"/>
                <w:lang w:eastAsia="zh-CN"/>
              </w:rPr>
              <w:t>；</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标志组</w:t>
            </w:r>
            <w:r>
              <w:rPr>
                <w:rFonts w:ascii="宋体" w:hAnsi="宋体" w:cs="Arial" w:hint="eastAsia"/>
                <w:kern w:val="0"/>
                <w:sz w:val="24"/>
                <w:lang w:eastAsia="zh-CN"/>
              </w:rPr>
              <w:t>；</w:t>
            </w:r>
            <w:r>
              <w:rPr>
                <w:rFonts w:ascii="宋体" w:hAnsi="宋体" w:cs="Arial" w:hint="eastAsia"/>
                <w:kern w:val="0"/>
                <w:sz w:val="24"/>
              </w:rPr>
              <w:t xml:space="preserve"> </w:t>
            </w:r>
          </w:p>
        </w:tc>
      </w:tr>
    </w:tbl>
    <w:p>
      <w:pPr>
        <w:pStyle w:val="ArialRGB8512408555"/>
        <w:shd w:val="clear" w:color="auto" w:fill="FFFFFF"/>
        <w:rPr>
          <w:rFonts w:ascii="宋体" w:hAnsi="宋体"/>
          <w:color w:val="auto"/>
          <w:sz w:val="24"/>
          <w:szCs w:val="24"/>
          <w:lang w:eastAsia="zh-Hans"/>
        </w:rPr>
      </w:pPr>
      <w:r>
        <w:rPr>
          <w:rFonts w:ascii="宋体" w:hAnsi="宋体"/>
          <w:color w:val="auto"/>
          <w:sz w:val="24"/>
          <w:szCs w:val="24"/>
        </w:rPr>
        <w:pict>
          <v:shape id="艺术字 7" o:spid="_x0000_s1026" type="#_x0000_t136" style="width:282.75pt;height:38.25pt;margin-top:260pt;margin-left:140pt;mso-wrap-style:square;position:absolute;z-index:251659264" filled="f" stroked="t" strokecolor="#e6e6e6" strokeweight="0.1pt">
            <v:stroke dashstyle="dashDot" linestyle="single"/>
            <v:shadow color="#868686"/>
            <v:textpath style="font-family:'Arial Black';font-size:27pt;font-weight:bold;v-rotate-letters:f;v-same-letter-heights:f;v-text-kern:t;v-text-reverse:f" trim="t" xscale="f" string="www.zhulong.com"/>
          </v:shape>
        </w:pict>
      </w:r>
      <w:r>
        <w:rPr>
          <w:rFonts w:ascii="宋体" w:hAnsi="宋体"/>
          <w:color w:val="auto"/>
          <w:sz w:val="24"/>
          <w:szCs w:val="24"/>
          <w:lang w:eastAsia="zh-Hans"/>
        </w:rPr>
        <w:t>2、材料的组织采购</w:t>
      </w:r>
    </w:p>
    <w:p>
      <w:pPr>
        <w:pStyle w:val="ArialRGB8512408555"/>
        <w:shd w:val="clear" w:color="auto" w:fill="FFFFFF"/>
        <w:spacing w:line="360" w:lineRule="auto"/>
        <w:rPr>
          <w:rFonts w:ascii="宋体" w:hAnsi="宋体" w:hint="eastAsia"/>
          <w:color w:val="auto"/>
          <w:sz w:val="24"/>
          <w:szCs w:val="24"/>
        </w:rPr>
      </w:pPr>
      <w:r>
        <w:rPr>
          <w:rFonts w:ascii="宋体" w:hAnsi="宋体"/>
          <w:color w:val="auto"/>
          <w:sz w:val="24"/>
          <w:szCs w:val="24"/>
          <w:lang w:eastAsia="zh-Hans"/>
        </w:rPr>
        <w:t>2。1、材料组织采购原则</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严格按照图纸及规范要求采购具有交通部交通安全设施批量生产合格证及通过ISO9000 认证的厂家的产品.所有采购的材料均签订采购合同，并报监理工程师备案。</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2。2、交通标志材料</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1、标志柱：标志柱为为钢管立柱，外径在152mm以下（含152mm）的立柱，可采用普通碳素钢焊接钢管,并应符合《碳素结构钢》(GB/T700—1988)的要求；外径在152mm以上的立柱，采用一般热轧无缝钢管，并应符合《结构用无缝钢管》（GB/T8162-1999）的 规定。铝合金柱具有耐腐蚀性好、重量轻、成型加工比较容易等特点，施工也简单。铝合金柱要满足规范要求。</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2.2.2、标志板：采用LF2铝合金挤压型材，并符合《铝及铝合金板材的尺寸及允许误差》（GB3194）、《铝及铝合金热轧板》（GB3193）的规定.</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2。2.3、滑动槽钢：采用LC4铝合金挤压型材，并符合《铝及铝合金挤压型材》(YB1703）的规定。</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2.2。4、高强螺栓：高强连接螺栓和高强地脚螺栓(包括相应的螺母、垫片）采用45号钢,并符合有关规定。</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2.2。5、滑块：采用普通碳素结构钢A3制造。</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8"/>
          <w:cols w:space="708"/>
          <w:titlePg w:val="0"/>
          <w:docGrid w:linePitch="360"/>
        </w:sectPr>
      </w:pP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2。2.6、单悬臂式标基础采用C20混凝土，基础顶面预埋A3钢地脚螺栓,地脚螺栓下面为标准钩,螺母和垫圈为45号制作，法兰盘为Q235钢制作。</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2。2.7、定向反光标志膜：采用高强反光膜，使用寿命要求在10年以上,其回归反射光度值（最小值）、反光膜颜色和标志色泽耐用期应符合有关规定。反光膜和底面粘结胶可用压型或热敏型。</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2.2.8、金属构件均进行防锈处理。标志支撑结构按规范规定进行热浸镀锌处理，镀锌为600g/m2；螺栓、螺母、垫圈均做镀锌处理，如采用热浸镀锌，必须清理螺纹或作离心分离处理；滑块采用镀锌处理；铝合金板、铝合金挤压型材与钢材接触的部位,要有相应的防腐措施。钢管立柱、横梁符合《碳素结构钢》（GB/T700-1988)、《结构用无缝钢管》（GB/T162—1987)的规定。</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2。3、交通标线材料</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路面标线材料使用热熔型DPI涂料(路标漆）,厚度为1。5～2.5mm，其技术指标应满足《道路标志和标线》（GB5768-1999）要求。</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玻璃珠应符合《路面标线涂料》（JT/T280—1995）的规定。</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w:t>
      </w:r>
      <w:r>
        <w:rPr>
          <w:rFonts w:ascii="宋体" w:hAnsi="宋体" w:hint="eastAsia"/>
          <w:color w:val="auto"/>
          <w:sz w:val="24"/>
          <w:szCs w:val="24"/>
          <w:lang w:val="en-US" w:eastAsia="zh-CN"/>
        </w:rPr>
        <w:t>4</w:t>
      </w:r>
      <w:r>
        <w:rPr>
          <w:rFonts w:ascii="宋体" w:hAnsi="宋体"/>
          <w:color w:val="auto"/>
          <w:sz w:val="24"/>
          <w:szCs w:val="24"/>
          <w:lang w:eastAsia="zh-Hans"/>
        </w:rPr>
        <w:t>、材料进场控制</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外购材料到信誉好、质量好的厂家由监理试验工程师共同取样试验,确定质量合格后，同材料供应商签订质量控制协议和供应合同。一切进入施工现场的材料由专人管理,并分类存放,插标识牌识别。</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 </w:t>
      </w:r>
      <w:r>
        <w:rPr>
          <w:rFonts w:ascii="宋体" w:hAnsi="宋体" w:hint="eastAsia"/>
          <w:color w:val="auto"/>
          <w:sz w:val="24"/>
          <w:szCs w:val="24"/>
        </w:rPr>
        <w:t>（三）、</w:t>
      </w:r>
      <w:r>
        <w:rPr>
          <w:rFonts w:ascii="宋体" w:hAnsi="宋体"/>
          <w:color w:val="auto"/>
          <w:sz w:val="24"/>
          <w:szCs w:val="24"/>
          <w:lang w:eastAsia="zh-Hans"/>
        </w:rPr>
        <w:t>施工组织准备</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 1、建立健全组织机构及各项规章制度</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1.1、制定图纸会审、图纸交底制度。在正式施工之前，项目经理部技术部、工程部等有关人员认真核对图纸，参加由业主组织的图纸会审、图纸交底会议，会中确定的内容形成施工文件，从而尽量减少图纸上的疑问，确保工程顺利进行。</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1.2、制定考察制度。对劳务队及主要材料供应商要经过考察后确定，经过综合评比,最终选定合格、满意的分包方供货。</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9"/>
          <w:cols w:space="708"/>
          <w:titlePg w:val="0"/>
          <w:docGrid w:linePitch="360"/>
        </w:sectPr>
      </w:pPr>
      <w:r>
        <w:rPr>
          <w:rFonts w:ascii="宋体" w:hAnsi="宋体"/>
          <w:color w:val="auto"/>
          <w:sz w:val="24"/>
          <w:szCs w:val="24"/>
          <w:lang w:eastAsia="zh-Hans"/>
        </w:rPr>
        <w:t>2、劳动力组织及动员</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2。1、根据总体施工进度计划以及施工作业安排,提前组织各专业施工人员进场,进行质量、安全及文明施工等方面教育。</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2。2、提前组织所有参加施工的人员学习施工技术规范及质量标准,使之熟练掌握操作工艺及施工技术要点。</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3、技术准备</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3.1、施工测量</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3.1。1、平面定位</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平面定位采用极坐标测设，用计算机先计算出各桩位、桩点坐标以及放线资料，打印成书面表格形式。内业计算校核无误后，在现场将全站仪置于控制点上，进行测放。放线完毕立即进行校核，用钢尺拉出和桩点的间距，同坐标反算之距离值比较，以此方法可校验同次放线各桩点之间的相对位置关系，不合格者立即复查并重放直至合格。</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3。1.2、高程测设</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高程测设由一施工水准点抄出各桩点高程，并尽可能避免转站次数，再核验各桩点的相对高差是否同设计高程差值相符,最后以加设的施工水准点验测桩点中任意两个。以上每一步骤如有不合格或差值过大者,立即查明原因并重测直至合格。每一步放线资料、验测值均以书面型式保存。</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3。2、资料的整理与收集</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 xml:space="preserve">凡属观测成果，均要有书面计算记录及草图,每日做好测量日志。为保证工程竣工后资料能及时归档，要求施工时要及时填写放线报验单和复核记录, </w:t>
      </w:r>
    </w:p>
    <w:p>
      <w:pPr>
        <w:pStyle w:val="ArialRGB8512408555"/>
        <w:shd w:val="clear" w:color="auto" w:fill="FFFFFF"/>
        <w:spacing w:line="360" w:lineRule="auto"/>
        <w:ind w:left="0" w:firstLine="0" w:leftChars="0" w:firstLineChars="0"/>
        <w:jc w:val="center"/>
        <w:rPr>
          <w:rFonts w:ascii="宋体" w:hAnsi="宋体"/>
          <w:color w:val="auto"/>
          <w:sz w:val="24"/>
          <w:szCs w:val="24"/>
          <w:lang w:eastAsia="zh-Hans"/>
        </w:rPr>
      </w:pPr>
      <w:r>
        <w:rPr>
          <w:rFonts w:ascii="宋体" w:hAnsi="宋体"/>
          <w:b/>
          <w:color w:val="auto"/>
          <w:sz w:val="24"/>
          <w:szCs w:val="24"/>
          <w:lang w:eastAsia="zh-Hans"/>
        </w:rPr>
        <w:t xml:space="preserve">第 </w:t>
      </w:r>
      <w:r>
        <w:rPr>
          <w:rFonts w:ascii="宋体" w:hAnsi="宋体" w:hint="eastAsia"/>
          <w:b/>
          <w:color w:val="auto"/>
          <w:sz w:val="24"/>
          <w:szCs w:val="24"/>
          <w:lang w:eastAsia="zh-CN"/>
        </w:rPr>
        <w:t>四</w:t>
      </w:r>
      <w:r>
        <w:rPr>
          <w:rFonts w:ascii="宋体" w:hAnsi="宋体"/>
          <w:b/>
          <w:color w:val="auto"/>
          <w:sz w:val="24"/>
          <w:szCs w:val="24"/>
          <w:lang w:eastAsia="zh-Hans"/>
        </w:rPr>
        <w:t xml:space="preserve"> 章  交通配套设施工程施工措施</w:t>
      </w:r>
    </w:p>
    <w:p>
      <w:pPr>
        <w:pStyle w:val="ArialRGB8512408555"/>
        <w:shd w:val="clear" w:color="auto" w:fill="FFFFFF"/>
        <w:spacing w:line="360" w:lineRule="auto"/>
        <w:rPr>
          <w:rFonts w:ascii="宋体" w:hAnsi="宋体" w:hint="eastAsia"/>
          <w:color w:val="auto"/>
          <w:sz w:val="24"/>
          <w:szCs w:val="24"/>
        </w:rPr>
      </w:pPr>
      <w:r>
        <w:rPr>
          <w:rFonts w:ascii="宋体" w:hAnsi="宋体"/>
          <w:color w:val="auto"/>
          <w:sz w:val="24"/>
          <w:szCs w:val="24"/>
          <w:lang w:eastAsia="zh-Hans"/>
        </w:rPr>
        <w:t>第 一 节  交通标志施工</w:t>
      </w:r>
    </w:p>
    <w:p>
      <w:pPr>
        <w:pStyle w:val="ArialRGB8512408555"/>
        <w:shd w:val="clear" w:color="auto" w:fill="FFFFFF"/>
        <w:spacing w:line="360" w:lineRule="auto"/>
        <w:rPr>
          <w:rFonts w:ascii="宋体" w:hAnsi="宋体" w:hint="eastAsia"/>
          <w:color w:val="auto"/>
          <w:sz w:val="24"/>
          <w:szCs w:val="24"/>
        </w:rPr>
      </w:pPr>
      <w:r>
        <w:rPr>
          <w:rFonts w:ascii="宋体" w:hAnsi="宋体"/>
          <w:color w:val="auto"/>
          <w:sz w:val="24"/>
          <w:szCs w:val="24"/>
          <w:lang w:eastAsia="zh-Hans"/>
        </w:rPr>
        <w:t>1、施工进度安排</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10"/>
          <w:cols w:space="708"/>
          <w:titlePg w:val="0"/>
          <w:docGrid w:linePitch="360"/>
        </w:sectPr>
      </w:pPr>
      <w:r>
        <w:rPr>
          <w:rFonts w:ascii="宋体" w:hAnsi="宋体"/>
          <w:color w:val="auto"/>
          <w:sz w:val="24"/>
          <w:szCs w:val="24"/>
          <w:lang w:eastAsia="zh-Hans"/>
        </w:rPr>
        <w:t>首先，标志牌基础施工,每天可完成基础方量40立方左右，在基础施工的同时立柱、版面在专业公司生产车间施工,平均每天可加工立柱3T，版面</w:t>
      </w:r>
      <w:r>
        <w:rPr>
          <w:rFonts w:ascii="宋体" w:hAnsi="宋体" w:hint="eastAsia"/>
          <w:color w:val="auto"/>
          <w:sz w:val="24"/>
          <w:szCs w:val="24"/>
          <w:lang w:val="en-US" w:eastAsia="zh-CN"/>
        </w:rPr>
        <w:t>40</w:t>
      </w:r>
      <w:r>
        <w:rPr>
          <w:rFonts w:ascii="宋体" w:hAnsi="宋体"/>
          <w:color w:val="auto"/>
          <w:sz w:val="24"/>
          <w:szCs w:val="24"/>
          <w:lang w:eastAsia="zh-Hans"/>
        </w:rPr>
        <w:t>㎡。</w:t>
      </w:r>
    </w:p>
    <w:p>
      <w:pPr>
        <w:pStyle w:val="ArialRGB8512408555"/>
        <w:shd w:val="clear" w:color="auto" w:fill="FFFFFF"/>
        <w:rPr>
          <w:rFonts w:ascii="宋体" w:hAnsi="宋体"/>
          <w:color w:val="auto"/>
          <w:sz w:val="24"/>
          <w:szCs w:val="24"/>
          <w:lang w:eastAsia="zh-Hans"/>
        </w:rPr>
      </w:pPr>
      <w:r>
        <w:rPr>
          <w:rFonts w:ascii="宋体" w:hAnsi="宋体"/>
          <w:color w:val="auto"/>
          <w:sz w:val="24"/>
          <w:szCs w:val="24"/>
          <w:lang w:eastAsia="zh-Hans"/>
        </w:rPr>
        <w:t>2、 施工流程</w:t>
      </w:r>
    </w:p>
    <w:tbl>
      <w:tblPr>
        <w:tblStyle w:val="TableNormal"/>
        <w:jc w:val="center"/>
        <w:tblCellSpacing w:w="0" w:type="dxa"/>
        <w:tblLayout w:type="fixed"/>
        <w:tblCellMar>
          <w:top w:w="0" w:type="dxa"/>
          <w:left w:w="0" w:type="dxa"/>
          <w:bottom w:w="0" w:type="dxa"/>
          <w:right w:w="0" w:type="dxa"/>
        </w:tblCellMar>
        <w:tblLook w:val="0000"/>
      </w:tblPr>
      <w:tblGrid>
        <w:gridCol w:w="8306"/>
      </w:tblGrid>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测量放样</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基础制作</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拆模板、养护</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浇筑混凝土</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hint="eastAsia"/>
                <w:kern w:val="0"/>
                <w:sz w:val="24"/>
              </w:rPr>
            </w:pPr>
            <w:r>
              <w:rPr>
                <w:rFonts w:ascii="宋体" w:hAnsi="宋体" w:cs="Arial"/>
                <w:kern w:val="0"/>
                <w:sz w:val="24"/>
              </w:rPr>
              <w:t>支模绑扎钢筋</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基坑开挖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立柱制作</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版面制作</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标志安装</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运输、安装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镀锌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焊接 </w:t>
            </w:r>
          </w:p>
        </w:tc>
      </w:tr>
      <w:tr>
        <w:tblPrEx>
          <w:jc w:val="center"/>
          <w:tblCellSpacing w:w="0" w:type="dxa"/>
          <w:tblLayout w:type="fixed"/>
          <w:tblCellMar>
            <w:top w:w="0" w:type="dxa"/>
            <w:left w:w="0" w:type="dxa"/>
            <w:bottom w:w="0" w:type="dxa"/>
            <w:right w:w="0" w:type="dxa"/>
          </w:tblCellMar>
          <w:tblLook w:val="0000"/>
        </w:tblPrEx>
        <w:trPr>
          <w:tblCellSpacing w:w="0" w:type="dxa"/>
          <w:jc w:val="center"/>
        </w:trPr>
        <w:tc>
          <w:tcPr>
            <w:tcW w:w="8306" w:type="dxa"/>
            <w:vAlign w:val="center"/>
          </w:tcPr>
          <w:p>
            <w:pPr>
              <w:widowControl/>
              <w:shd w:val="clear" w:color="auto" w:fill="FFFFFF"/>
              <w:spacing w:before="100" w:beforeAutospacing="1" w:after="100" w:afterAutospacing="1"/>
              <w:ind w:firstLine="480"/>
              <w:rPr>
                <w:rFonts w:ascii="宋体" w:hAnsi="宋体" w:cs="Arial"/>
                <w:kern w:val="0"/>
                <w:sz w:val="24"/>
              </w:rPr>
            </w:pPr>
            <w:r>
              <w:rPr>
                <w:rFonts w:ascii="宋体" w:hAnsi="宋体" w:cs="Arial"/>
                <w:kern w:val="0"/>
                <w:sz w:val="24"/>
              </w:rPr>
              <w:t>下料 </w:t>
            </w:r>
          </w:p>
        </w:tc>
      </w:tr>
    </w:tbl>
    <w:p>
      <w:pPr>
        <w:pStyle w:val="ArialRGB8512408555"/>
        <w:shd w:val="clear" w:color="auto" w:fill="FFFFFF"/>
        <w:rPr>
          <w:rFonts w:ascii="宋体" w:hAnsi="宋体" w:hint="eastAsia"/>
          <w:color w:val="auto"/>
          <w:sz w:val="24"/>
          <w:szCs w:val="24"/>
        </w:rPr>
      </w:pPr>
      <w:r>
        <w:rPr>
          <w:rFonts w:ascii="宋体" w:hAnsi="宋体"/>
          <w:color w:val="auto"/>
          <w:sz w:val="24"/>
          <w:szCs w:val="24"/>
          <w:lang w:eastAsia="zh-Hans"/>
        </w:rPr>
        <w:t>  标志牌施工流程</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 施工方法</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3。1、标志定位与设置</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在标志施工中经常会出现基础与立柱的安装角度难以一致的情况，尤其是双柱式和门架式标志更为突出，两个基础之间的间距和中心距出现稍微的偏差，将会导致门架标志横梁无法安装和双柱式标志安装角度偏微等严重后果，针对这些影响总体质量的关键之处,我们也采取了如下的预防措施.</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3.1.1、对双柱式标志着重控制两个基础的中心线，特别是两个基础高度不一致时,必须采用垂线直尺交叉测量，以确保基础中心线重合精度偏差不超过2mm。</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2、在制作门架标志基础时要重点控制基础之间的间距和中心轴线，应先将门架横梁的实际规格尺寸数据进行准确测量，根据此数据为依据确定基础间距，必须将标志基础的间距偏差控制在5mm以内,将两基础的中心轴线偏差控制在4mm以内。</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3、按照施工图纸要求定位和设置，安装的标志与交通流向成直角，在曲线路段，标志的设置角度由交通流的行进方向来确定。悬臂、门架标志沿垂直轴向后倾斜2°。对于路侧标志，标志板内缘距路缘石边缘不得小于250mm.</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11"/>
          <w:cols w:space="708"/>
          <w:titlePg w:val="0"/>
          <w:docGrid w:linePitch="360"/>
        </w:sectPr>
      </w:pPr>
      <w:r>
        <w:rPr>
          <w:rFonts w:ascii="宋体" w:hAnsi="宋体"/>
          <w:color w:val="auto"/>
          <w:sz w:val="24"/>
          <w:szCs w:val="24"/>
          <w:lang w:eastAsia="zh-Hans"/>
        </w:rPr>
        <w:t>3.2、基础施工</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3.2。1、根据设计图纸用全站仪定位放样，定出基坑位置。</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3。2。2、按设计图纸放出基坑大样，开挖后应达到图纸所示的大小和深度，如有扰动的开挖面，加大开挖量，达到设计规定要求.双柱基础不能同时施工。</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3.2.3、基坑验收合格后，开始浇筑相应标号和厚度的砼垫层，然后支外露部分及基坑顶以下15cm 模板,安放、绑扎构造钢筋，绑扎定位地脚螺栓。</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3。2.4、模板、钢筋经监理工程师验收合格后,开始浇注C25砼,浇注时分层捣实，并要振捣均匀，基座顶部抹平，砼达到85％强度后拆模。</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3。2.5、派专人养护砼基础.</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3。2.6、回填土分层夯实，并与四周地面齐平。</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3.3、标志牌立柱施工</w:t>
      </w:r>
    </w:p>
    <w:p>
      <w:pPr>
        <w:pStyle w:val="ArialRGB8512408555"/>
        <w:shd w:val="clear" w:color="auto" w:fill="FFFFFF"/>
        <w:spacing w:line="360" w:lineRule="auto"/>
        <w:rPr>
          <w:rFonts w:ascii="宋体" w:hAnsi="宋体" w:hint="eastAsia"/>
          <w:color w:val="auto"/>
          <w:sz w:val="24"/>
          <w:szCs w:val="24"/>
        </w:rPr>
      </w:pPr>
      <w:r>
        <w:rPr>
          <w:rFonts w:ascii="宋体" w:hAnsi="宋体"/>
          <w:color w:val="auto"/>
          <w:sz w:val="24"/>
          <w:szCs w:val="24"/>
          <w:lang w:eastAsia="zh-Hans"/>
        </w:rPr>
        <w:t>3.3。1、在标志牌标志立柱施工时，对于设在绿化带上的标志，根据所在位置的实际地形确定，路侧</w:t>
      </w:r>
    </w:p>
    <w:p>
      <w:pPr>
        <w:pStyle w:val="ArialRGB8512408555"/>
        <w:shd w:val="clear" w:color="auto" w:fill="FFFFFF"/>
        <w:spacing w:line="360" w:lineRule="auto"/>
        <w:ind w:firstLine="0"/>
        <w:rPr>
          <w:rFonts w:ascii="宋体" w:hAnsi="宋体"/>
          <w:color w:val="auto"/>
          <w:sz w:val="24"/>
          <w:szCs w:val="24"/>
          <w:lang w:eastAsia="zh-Hans"/>
        </w:rPr>
      </w:pPr>
      <w:r>
        <w:rPr>
          <w:rFonts w:ascii="宋体" w:hAnsi="宋体"/>
          <w:color w:val="auto"/>
          <w:sz w:val="24"/>
          <w:szCs w:val="24"/>
          <w:lang w:eastAsia="zh-Hans"/>
        </w:rPr>
        <w:t>单、双柱标志，其板面底边与路缘石外缘高差不小于20mm，板面内边缘距路缘石外缘不小于25mm；悬臂式、门架式标志，其板面底边距路面高度不小于5。5m。</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3。3.2、立柱及横梁根据图纸设计要求，制作防雨帽。</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3.3。3、在钢材热镀锌前，钻孔、冲孔和焊接完成后，所有的连接件和附加件应适合标志安装要求，并符合《道路交通标志和标线》（GB5768-1999)附录E 的要求。</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3。3。4、基础砼强度达到要求后，并得到监理工程师的审批后，安装支撑结构。门架横梁加工时按照图纸要求预先预拱,预拱度为50mm，悬臂预拱度为40mm。</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3。3。5、钢支撑结构立柱、法兰盘、抱箍及连接螺栓等钢结构均采用热镀锌处理，螺栓、螺母等连接件的镀锌量为350g/㎡,其余均为550g/㎡。</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12"/>
          <w:cols w:space="708"/>
          <w:titlePg w:val="0"/>
          <w:docGrid w:linePitch="360"/>
        </w:sectPr>
      </w:pPr>
      <w:r>
        <w:rPr>
          <w:rFonts w:ascii="宋体" w:hAnsi="宋体"/>
          <w:color w:val="auto"/>
          <w:sz w:val="24"/>
          <w:szCs w:val="24"/>
          <w:lang w:eastAsia="zh-Hans"/>
        </w:rPr>
        <w:t>3.3。6、立柱安装所需主要设备及安装工艺：8T</w:t>
      </w:r>
      <w:r>
        <w:rPr>
          <w:rFonts w:ascii="宋体" w:hAnsi="宋体"/>
          <w:color w:val="auto"/>
          <w:sz w:val="24"/>
          <w:szCs w:val="24"/>
          <w:lang w:eastAsia="zh-Hans"/>
        </w:rPr>
        <w:t xml:space="preserve"> 吊车一辆，高空作业车一辆，运输车一辆.对于双柱和单柱，我们计划立柱镀锌完毕后，运输车直接把立柱运到工地，用8T</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 xml:space="preserve"> 吊车安装在相应桩号的基础上；对于单悬，将板面固定在立柱和横梁上后，再一起安装。</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3。4、标志版面制作</w:t>
      </w:r>
    </w:p>
    <w:p>
      <w:pPr>
        <w:pStyle w:val="ArialRGB8512408555"/>
        <w:shd w:val="clear" w:color="auto" w:fill="FFFFFF"/>
        <w:spacing w:line="360" w:lineRule="auto"/>
        <w:rPr>
          <w:rFonts w:ascii="宋体" w:hAnsi="宋体" w:hint="eastAsia"/>
          <w:color w:val="auto"/>
          <w:sz w:val="24"/>
          <w:szCs w:val="24"/>
        </w:rPr>
      </w:pPr>
      <w:r>
        <w:rPr>
          <w:rFonts w:ascii="宋体" w:hAnsi="宋体"/>
          <w:color w:val="auto"/>
          <w:sz w:val="24"/>
          <w:szCs w:val="24"/>
          <w:lang w:eastAsia="zh-Hans"/>
        </w:rPr>
        <w:t>交通标志版面的制作首先进行铝板、铝滑槽的下料，铝滑槽的钻眼、铆接标志版面，然后对铆接好</w:t>
      </w:r>
    </w:p>
    <w:p>
      <w:pPr>
        <w:pStyle w:val="ArialRGB8512408555"/>
        <w:shd w:val="clear" w:color="auto" w:fill="FFFFFF"/>
        <w:spacing w:line="360" w:lineRule="auto"/>
        <w:ind w:firstLine="0"/>
        <w:rPr>
          <w:rFonts w:ascii="宋体" w:hAnsi="宋体"/>
          <w:color w:val="auto"/>
          <w:sz w:val="24"/>
          <w:szCs w:val="24"/>
          <w:lang w:eastAsia="zh-Hans"/>
        </w:rPr>
      </w:pPr>
      <w:r>
        <w:rPr>
          <w:rFonts w:ascii="宋体" w:hAnsi="宋体"/>
          <w:color w:val="auto"/>
          <w:sz w:val="24"/>
          <w:szCs w:val="24"/>
          <w:lang w:eastAsia="zh-Hans"/>
        </w:rPr>
        <w:t>的标志版面进行清洗，经过太阳的晾晒,最后对版面进行处理；粘贴底膜，字膜排版、刻字、粘贴。包装准备装车，运往工地安装。</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1、交通标志的形状、图案和颜色严格按照《道路交通标志和标线》（GB5768—1999）及图纸的规定执行，所有标志上的汉字、汉语拼音字母、英文字、阿拉伯数字符合《道路交通标志和标线》（GB5768-1999）的规定，不采用其它字体。</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3.4.2、标志的边框外缘应有衬底色.其衬底的颜色和衬底边的宽度均按规定进行制作。</w:t>
      </w:r>
    </w:p>
    <w:p>
      <w:pPr>
        <w:pStyle w:val="ArialRGB8512408555"/>
        <w:shd w:val="clear" w:color="auto" w:fill="FFFFFF"/>
        <w:spacing w:line="360" w:lineRule="auto"/>
        <w:rPr>
          <w:rFonts w:ascii="宋体" w:hAnsi="宋体" w:hint="eastAsia"/>
          <w:color w:val="auto"/>
          <w:sz w:val="24"/>
          <w:szCs w:val="24"/>
        </w:rPr>
      </w:pPr>
      <w:r>
        <w:rPr>
          <w:rFonts w:ascii="宋体" w:hAnsi="宋体"/>
          <w:color w:val="auto"/>
          <w:sz w:val="24"/>
          <w:szCs w:val="24"/>
          <w:lang w:eastAsia="zh-Hans"/>
        </w:rPr>
        <w:t>3。4。3、标志板符合《铝及铝合金板材的尺寸及偏差》(GB/T3194—1998)的规定，按照《道路交通标志和标线》（GB5768-1999)附录E 及图纸的规定进行加固,槽钢在粘贴定向反光膜之前与板面铆接好。符合《公路交通标志板技术条件》（JT/T279—1995)的规定。</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3。4.4、标志板在剪裁或切割后边缘整齐、方正、没有毛刺，尺寸偏差控制在±5mm以内，表面无明显皱纹、凹痕、变形,每平方米范围内的平整度公差小于1.0mm.</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3。4。5、对于大型指路标志，我们尽可能减少分块数量,最多不超过4 块。标志板的拼接采用对接,接缝的最大间隙小于1mm,所有接缝用背衬加强，背衬与标志板用铆钉连接，铆钉的间距小于150mm,背衬宽度大于50mm，背衬材料与版面板材相同。</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3。4。6、标志板背面采用氧化处理，使其表面变成暗灰色、不反光。</w:t>
      </w:r>
    </w:p>
    <w:p>
      <w:pPr>
        <w:pStyle w:val="08555"/>
        <w:shd w:val="clear" w:color="auto" w:fill="FFFFFF"/>
        <w:spacing w:line="360" w:lineRule="auto"/>
        <w:rPr>
          <w:rFonts w:ascii="宋体" w:hAnsi="宋体"/>
          <w:kern w:val="0"/>
          <w:sz w:val="24"/>
          <w:szCs w:val="24"/>
          <w:lang w:eastAsia="zh-Hans"/>
        </w:rPr>
        <w:sectPr>
          <w:type w:val="nextPage"/>
          <w:pgSz w:w="12240" w:h="15840"/>
          <w:pgMar w:top="1440" w:right="1800" w:bottom="1440" w:left="1800" w:header="708" w:footer="708" w:gutter="0"/>
          <w:pgNumType w:start="13"/>
          <w:cols w:space="708"/>
          <w:titlePg w:val="0"/>
          <w:docGrid w:linePitch="360"/>
        </w:sectPr>
      </w:pPr>
      <w:r>
        <w:rPr>
          <w:rFonts w:ascii="宋体" w:hAnsi="宋体"/>
          <w:kern w:val="0"/>
          <w:sz w:val="24"/>
          <w:szCs w:val="24"/>
          <w:lang w:eastAsia="zh-Hans"/>
        </w:rPr>
        <w:t>3。4.7、粘贴反光膜时在温度18</w:t>
      </w:r>
      <w:r>
        <w:rPr>
          <w:rFonts w:ascii="宋体" w:hAnsi="宋体" w:hint="eastAsia"/>
          <w:kern w:val="0"/>
          <w:sz w:val="24"/>
          <w:szCs w:val="24"/>
          <w:lang w:eastAsia="zh-Hans"/>
        </w:rPr>
        <w:t>℃</w:t>
      </w:r>
      <w:r>
        <w:rPr>
          <w:rFonts w:ascii="宋体" w:hAnsi="宋体"/>
          <w:kern w:val="0"/>
          <w:sz w:val="24"/>
          <w:szCs w:val="24"/>
          <w:lang w:eastAsia="zh-Hans"/>
        </w:rPr>
        <w:t>～28</w:t>
      </w:r>
      <w:r>
        <w:rPr>
          <w:rFonts w:ascii="宋体" w:hAnsi="宋体" w:hint="eastAsia"/>
          <w:kern w:val="0"/>
          <w:sz w:val="24"/>
          <w:szCs w:val="24"/>
          <w:lang w:eastAsia="zh-Hans"/>
        </w:rPr>
        <w:t>℃</w:t>
      </w:r>
    </w:p>
    <w:p>
      <w:pPr>
        <w:pStyle w:val="08555"/>
        <w:shd w:val="clear" w:color="auto" w:fill="FFFFFF"/>
        <w:spacing w:line="360" w:lineRule="auto"/>
        <w:rPr>
          <w:rFonts w:ascii="宋体" w:hAnsi="宋体"/>
          <w:kern w:val="0"/>
          <w:sz w:val="24"/>
          <w:szCs w:val="24"/>
          <w:lang w:eastAsia="zh-Hans"/>
        </w:rPr>
      </w:pPr>
      <w:r>
        <w:rPr>
          <w:rFonts w:ascii="宋体" w:hAnsi="宋体"/>
          <w:kern w:val="0"/>
          <w:sz w:val="24"/>
          <w:szCs w:val="24"/>
          <w:lang w:eastAsia="zh-Hans"/>
        </w:rPr>
        <w:t>、湿度小于10%的环境中贴在经过酒精清洁、脱脂、磨面处理的铝板上,不采用手工操作或用溶剂激活粘结剂,在标志表面的最外层涂保护层。贴反光膜不可避免出现接缝时，应用上侧膜压下侧膜，拼接处有3～6mm的重叠部分，以防漏水,贴膜时自一端向另一端延伸,边贴边拆下膜后封层，并用压敏贴膜机压实、平整、无任何皱折、气泡和破损，板面不得有回归反射不均匀及明显的颜色不均匀。将用电脑刻字机刻成的文字，按图纸规定事先放样位置贴于板面,并使其位置准确、紧密、平整、无倾斜、皱折、气泡和破损。</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3.4。8、制作标志板的铝合金板厚度，按设计图和规范规定制作，标志板的总质量不允许出现对标志结构的力学性能计算不利的情况。</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3.4。9、标志板外形尺寸，其长度和宽度的允许偏差为0.5%，标志板的4个端面应互相垂直，其不垂直度不应大于±2°。</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3.5、储存和运输</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标志牌板面制作完毕后，采用包装纸包严，塑料纸隔离，毛毡捆好，装车时采用竖放塞紧,避免在运输过程中板面破损,扭曲.大型指路标志由于在制造、运输过程中困难较大，在图纸要求和监理工程师的指示下，根据板面设计的具体情况，采用适当分割的办法来制造,分别贴反光膜，分别运输、安装。</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3.6、安装</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3。6。1、标志安装位置、结构、板面应与设计相符。只有当基础混凝土经7天养护后,方可在其上面进行架设支柱和标志。</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各种半成品运到现场，全面自检合格，并经监理工程师验收合格后进行安装。将底座法兰盘调整符合要求后，将立柱安装就位。立柱竖直度误差不超过±3mm/m,利用吊车将标志牌安装就位，并使其满足设计要求.路侧式标志应尽量减少标志板面对驾驶人员的眩光，在安装时尽可能与道路中线垂直，禁令标志和指示标志为0～45°，指路标志和警告标志为0～10°。</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3。6.2、为减少标志板面对驾驶员的眩光,路侧设置的标志和悬空标志均应符合设计《道路交通标志和标线》（GB5768—1999)和施工规范的要求,即在水平轴和垂直轴方向旋转约5°。</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14"/>
          <w:cols w:space="708"/>
          <w:titlePg w:val="0"/>
          <w:docGrid w:linePitch="360"/>
        </w:sectPr>
      </w:pP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3.6.3、标志支撑结构应按设计要求制造,在安装前应对各部焊点质量及结构整体性进行检查,试装。</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3.6。4、支柱安放于混凝土基础上，支柱之法兰盘与混凝土基础的底法兰盘应水平、密合，地脚螺栓配合妥当，拧紧螺栓后桁架不得倾斜。在平曲线路段,为保护将来安装标志版面与驾驶员视线垂直，应对预埋的法兰盘进行适当调整.</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3.6.5、标志板在运输、吊装过程中应避免板体和反光膜的损伤。标志板平面翘曲的允许误差为±3mm/m。立柱安装后应与地面垂直，其弯曲度不大于±2mm/m。</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3。6。6、安装完毕后，清扫板面，请监理工程师检查所有标志，以确定在白天和晚上条件下，标志的外观、视认性、颜色、镜面眩光等是否符合图纸要求。</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 </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第 二 节  交通标线施工</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 </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1、施工进度安排</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正常情况下，主线施工每天可完成标线工程量800-1000m2，导流线每天可完成400-600 m2，导向箭头每天可完成60 个。</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 施工工法</w:t>
      </w:r>
    </w:p>
    <w:p>
      <w:pPr>
        <w:pStyle w:val="08555"/>
        <w:shd w:val="clear" w:color="auto" w:fill="FFFFFF"/>
        <w:spacing w:line="360" w:lineRule="auto"/>
        <w:rPr>
          <w:rFonts w:ascii="宋体" w:hAnsi="宋体"/>
          <w:kern w:val="0"/>
          <w:sz w:val="24"/>
          <w:szCs w:val="24"/>
          <w:lang w:eastAsia="zh-Hans"/>
        </w:rPr>
      </w:pPr>
      <w:r>
        <w:rPr>
          <w:rFonts w:ascii="宋体" w:hAnsi="宋体"/>
          <w:kern w:val="0"/>
          <w:sz w:val="24"/>
          <w:szCs w:val="24"/>
          <w:lang w:eastAsia="zh-Hans"/>
        </w:rPr>
        <w:t>标线施工人员分为三组，即路面清扫放线组、涂料熔化搅拌组和标线涂布组。施工气温一般在10O</w:t>
      </w:r>
      <w:r>
        <w:rPr>
          <w:rFonts w:ascii="宋体" w:hAnsi="宋体" w:hint="eastAsia"/>
          <w:kern w:val="0"/>
          <w:sz w:val="24"/>
          <w:szCs w:val="24"/>
          <w:lang w:eastAsia="zh-Hans"/>
        </w:rPr>
        <w:t>℃</w:t>
      </w:r>
      <w:r>
        <w:rPr>
          <w:rFonts w:ascii="宋体" w:hAnsi="宋体"/>
          <w:kern w:val="0"/>
          <w:sz w:val="24"/>
          <w:szCs w:val="24"/>
          <w:lang w:eastAsia="zh-Hans"/>
        </w:rPr>
        <w:t>～30O</w:t>
      </w:r>
      <w:r>
        <w:rPr>
          <w:rFonts w:ascii="宋体" w:hAnsi="宋体" w:hint="eastAsia"/>
          <w:kern w:val="0"/>
          <w:sz w:val="24"/>
          <w:szCs w:val="24"/>
          <w:lang w:eastAsia="zh-Hans"/>
        </w:rPr>
        <w:t>℃</w:t>
      </w:r>
      <w:r>
        <w:rPr>
          <w:rFonts w:ascii="宋体" w:hAnsi="宋体"/>
          <w:kern w:val="0"/>
          <w:sz w:val="24"/>
          <w:szCs w:val="24"/>
          <w:lang w:eastAsia="zh-Hans"/>
        </w:rPr>
        <w:t>为宜，环境温度低于10O</w:t>
      </w:r>
      <w:r>
        <w:rPr>
          <w:rFonts w:ascii="宋体" w:hAnsi="宋体" w:hint="eastAsia"/>
          <w:kern w:val="0"/>
          <w:sz w:val="24"/>
          <w:szCs w:val="24"/>
          <w:lang w:eastAsia="zh-Hans"/>
        </w:rPr>
        <w:t>℃</w:t>
      </w:r>
      <w:r>
        <w:rPr>
          <w:rFonts w:ascii="宋体" w:hAnsi="宋体"/>
          <w:kern w:val="0"/>
          <w:sz w:val="24"/>
          <w:szCs w:val="24"/>
          <w:lang w:eastAsia="zh-Hans"/>
        </w:rPr>
        <w:t>时坚决不施工。施工时必须保证路面干燥无尘土。</w:t>
      </w:r>
    </w:p>
    <w:p>
      <w:pPr>
        <w:pStyle w:val="ArialRGB8512408555"/>
        <w:shd w:val="clear" w:color="auto" w:fill="FFFFFF"/>
        <w:spacing w:line="360" w:lineRule="auto"/>
        <w:rPr>
          <w:rFonts w:ascii="宋体" w:hAnsi="宋体"/>
          <w:color w:val="auto"/>
          <w:sz w:val="24"/>
          <w:szCs w:val="24"/>
          <w:lang w:eastAsia="zh-Hans"/>
        </w:rPr>
        <w:sectPr>
          <w:type w:val="nextPage"/>
          <w:pgSz w:w="12240" w:h="15840"/>
          <w:pgMar w:top="1440" w:right="1800" w:bottom="1440" w:left="1800" w:header="708" w:footer="708" w:gutter="0"/>
          <w:pgNumType w:start="15"/>
          <w:cols w:space="708"/>
          <w:titlePg w:val="0"/>
          <w:docGrid w:linePitch="360"/>
        </w:sectPr>
      </w:pP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2.1、路面清扫放线组：首先使用手推式路面清扫机清除路面积土、浮尘及障碍物、灰尘、沥青、油污或其他有害物质,并按要求标出导线。标导线有多种方式,一种是用绳索弹灰线(即弹线包）.此种方法进度较快，简便，但对标线人员技术要求高、凭经验保证导线的曲直，易出偏差，且灰线易掉；另一种用钢钉拉线索，能保证较好的导线曲、直度，但进度稍慢。对于各种箭头、文字一般采用以上两种方法，而对于车道边缘线和分界线可用标线放样车放样施划。施工时，我们将根据经验视具体情况灵活使用。第二步，用底油机在导线一侧涂布底漆。采用喷涂方式较好，底漆宽度一致，漆膜均匀，附着力也很好.用手刷式时要掌握用漆量适中,涂刷均匀，不能漏空、花边。涂布后干燥5～10</w:t>
      </w:r>
      <w:r>
        <w:rPr>
          <w:rFonts w:ascii="宋体" w:hAnsi="宋体"/>
          <w:color w:val="auto"/>
          <w:sz w:val="24"/>
          <w:szCs w:val="24"/>
          <w:lang w:eastAsia="zh-Hans"/>
        </w:rPr>
        <w:t xml:space="preserve"> 分钟，用手指按下提起拉成丝状为准，此时可视为路面处理完毕。</w:t>
      </w:r>
    </w:p>
    <w:p>
      <w:pPr>
        <w:pStyle w:val="08555"/>
        <w:shd w:val="clear" w:color="auto" w:fill="FFFFFF"/>
        <w:spacing w:line="360" w:lineRule="auto"/>
        <w:rPr>
          <w:rFonts w:ascii="宋体" w:hAnsi="宋体"/>
          <w:kern w:val="0"/>
          <w:sz w:val="24"/>
          <w:szCs w:val="24"/>
          <w:lang w:eastAsia="zh-Hans"/>
        </w:rPr>
      </w:pPr>
      <w:r>
        <w:rPr>
          <w:rFonts w:ascii="宋体" w:hAnsi="宋体"/>
          <w:kern w:val="0"/>
          <w:sz w:val="24"/>
          <w:szCs w:val="24"/>
          <w:lang w:eastAsia="zh-Hans"/>
        </w:rPr>
        <w:t xml:space="preserve">2.2、涂料熔化搅拌组：将涂料（助剂）投入热熔釜中，釜内温度控制在180 </w:t>
      </w:r>
      <w:r>
        <w:rPr>
          <w:rFonts w:ascii="宋体" w:hAnsi="宋体" w:hint="eastAsia"/>
          <w:kern w:val="0"/>
          <w:sz w:val="24"/>
          <w:szCs w:val="24"/>
          <w:lang w:eastAsia="zh-Hans"/>
        </w:rPr>
        <w:t>℃</w:t>
      </w:r>
      <w:r>
        <w:rPr>
          <w:rFonts w:ascii="宋体" w:hAnsi="宋体"/>
          <w:kern w:val="0"/>
          <w:sz w:val="24"/>
          <w:szCs w:val="24"/>
          <w:lang w:eastAsia="zh-Hans"/>
        </w:rPr>
        <w:t>～210</w:t>
      </w:r>
      <w:r>
        <w:rPr>
          <w:rFonts w:ascii="宋体" w:hAnsi="宋体" w:hint="eastAsia"/>
          <w:kern w:val="0"/>
          <w:sz w:val="24"/>
          <w:szCs w:val="24"/>
          <w:lang w:eastAsia="zh-Hans"/>
        </w:rPr>
        <w:t>℃</w:t>
      </w:r>
      <w:r>
        <w:rPr>
          <w:rFonts w:ascii="宋体" w:hAnsi="宋体"/>
          <w:kern w:val="0"/>
          <w:sz w:val="24"/>
          <w:szCs w:val="24"/>
          <w:lang w:eastAsia="zh-Hans"/>
        </w:rPr>
        <w:t>之间，边熔化、边搅拌，严格控制好温度。熔化分散好后，为保证较好的标线质量,进行检验测试。检验方法是将釜中涂料取样少许,涂成片状（厚约1。6mm）， 使其自然冷却，干燥后用手指将其弯曲，弯到35度左右时涂片断裂为最佳。</w:t>
      </w:r>
    </w:p>
    <w:p>
      <w:pPr>
        <w:pStyle w:val="08555"/>
        <w:shd w:val="clear" w:color="auto" w:fill="FFFFFF"/>
        <w:spacing w:line="360" w:lineRule="auto"/>
        <w:rPr>
          <w:rFonts w:ascii="宋体" w:hAnsi="宋体"/>
          <w:kern w:val="0"/>
          <w:sz w:val="24"/>
          <w:szCs w:val="24"/>
          <w:lang w:eastAsia="zh-Hans"/>
        </w:rPr>
      </w:pPr>
      <w:r>
        <w:rPr>
          <w:rFonts w:ascii="宋体" w:hAnsi="宋体"/>
          <w:kern w:val="0"/>
          <w:sz w:val="24"/>
          <w:szCs w:val="24"/>
          <w:lang w:eastAsia="zh-Hans"/>
        </w:rPr>
        <w:t>2.3、标线涂布组：热熔釜熔好后的涂料放入划线储桶时，必须用铁筛网过滤。点燃桶下和划线器边的炉火，保持合适的施工温度。再把玻璃微珠倒入箱内，施工即可开始。划线时，划线车按导线涂布，涂布时涂料合适的温度大致在180</w:t>
      </w:r>
      <w:r>
        <w:rPr>
          <w:rFonts w:ascii="宋体" w:hAnsi="宋体" w:hint="eastAsia"/>
          <w:kern w:val="0"/>
          <w:sz w:val="24"/>
          <w:szCs w:val="24"/>
          <w:lang w:eastAsia="zh-Hans"/>
        </w:rPr>
        <w:t>℃</w:t>
      </w:r>
      <w:r>
        <w:rPr>
          <w:rFonts w:ascii="宋体" w:hAnsi="宋体"/>
          <w:kern w:val="0"/>
          <w:sz w:val="24"/>
          <w:szCs w:val="24"/>
          <w:lang w:eastAsia="zh-Hans"/>
        </w:rPr>
        <w:t>左右。</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3、施工过程控制</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3.1、施工前认真检查施工设备，确保其正常。</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3。2、划线前，应对准备划线的区域进行路面检查，路面划线区域必须干净，否则将影响粘结。划线的当天还要注意天气情况，当有雨、风、天气潮湿时不要施工.</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3。3、为提高路面与涂膜的粘结力，须在路面上先涂抹底漆。底漆由合成树脂、可塑剂、芳香族溶剂构成。在底漆末干燥前，不得进行涂料画线。</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3.4、喷涂时，道路表面要干净、干燥，喷漆工作要在白天进行。天气潮湿、灰尘过大时喷涂工作要暂停。</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3。5、所有横向标线、图例、符号和箭头都要应用样板进行均匀涂敷，表面应平整，湿膜厚度符合图纸要求。</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3。6、标线施工时避免涂料长时间高温加热,以防止涂料变色，热劣化。涂料运距不宜过长.</w:t>
      </w:r>
    </w:p>
    <w:p>
      <w:pPr>
        <w:pStyle w:val="ArialRGB8512408555"/>
        <w:shd w:val="clear" w:color="auto" w:fill="FFFFFF"/>
        <w:spacing w:line="360" w:lineRule="auto"/>
        <w:rPr>
          <w:rFonts w:ascii="宋体" w:hAnsi="宋体"/>
          <w:color w:val="auto"/>
          <w:sz w:val="24"/>
          <w:szCs w:val="24"/>
          <w:lang w:eastAsia="zh-Hans"/>
        </w:rPr>
      </w:pPr>
      <w:r>
        <w:rPr>
          <w:rFonts w:ascii="宋体" w:hAnsi="宋体"/>
          <w:color w:val="auto"/>
          <w:sz w:val="24"/>
          <w:szCs w:val="24"/>
          <w:lang w:eastAsia="zh-Hans"/>
        </w:rPr>
        <w:t>3。7、划人字线时,所使用的模具要平，以保证模具与路面紧紧粘住，使划出的线边缘整齐。在划虚线时,要保证划线车行走匀速、直顺,划出的线要美观。</w:t>
      </w:r>
      <w:r>
        <w:rPr>
          <w:rFonts w:ascii="宋体" w:hAnsi="宋体"/>
          <w:color w:val="auto"/>
          <w:sz w:val="24"/>
          <w:szCs w:val="24"/>
          <w:lang w:eastAsia="zh-Hans"/>
        </w:rPr>
        <w:br/>
      </w:r>
      <w:r>
        <w:rPr>
          <w:rFonts w:ascii="宋体" w:hAnsi="宋体"/>
          <w:color w:val="auto"/>
          <w:sz w:val="24"/>
          <w:szCs w:val="24"/>
          <w:lang w:eastAsia="zh-Hans"/>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https://d.book118.com/406213125055010053</w:t>
        </w:r>
      </w:hyperlink>
    </w:p>
    <w:p>
      <w:pPr>
        <w:pStyle w:val="ArialRGB8512408555"/>
        <w:shd w:val="clear" w:color="auto" w:fill="FFFFFF"/>
        <w:spacing w:line="360" w:lineRule="auto"/>
        <w:rPr>
          <w:rFonts w:ascii="宋体" w:hAnsi="宋体"/>
          <w:color w:val="auto"/>
          <w:sz w:val="24"/>
          <w:szCs w:val="24"/>
          <w:lang w:eastAsia="zh-Hans"/>
        </w:rPr>
      </w:pPr>
    </w:p>
    <w:sectPr>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8B3543"/>
    <w:multiLevelType w:val="multilevel"/>
    <w:tmpl w:val="3A8B3543"/>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57221E97"/>
    <w:multiLevelType w:val="singleLevel"/>
    <w:tmpl w:val="57221E97"/>
    <w:lvl w:ilvl="0">
      <w:start w:val="2"/>
      <w:numFmt w:val="chineseCounting"/>
      <w:suff w:val="nothing"/>
      <w:lvlText w:val="%1、"/>
      <w:lvlJc w:val="left"/>
    </w:lvl>
  </w:abstractNum>
  <w:abstractNum w:abstractNumId="2">
    <w:nsid w:val="57222BD8"/>
    <w:multiLevelType w:val="singleLevel"/>
    <w:tmpl w:val="57222BD8"/>
    <w:lvl w:ilvl="0">
      <w:start w:val="3"/>
      <w:numFmt w:val="chineseCounting"/>
      <w:suff w:val="space"/>
      <w:lvlText w:val="第%1节"/>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40B2"/>
    <w:rsid w:val="001777AD"/>
    <w:rsid w:val="008B37FD"/>
    <w:rsid w:val="02B65F34"/>
    <w:rsid w:val="058F0C4D"/>
    <w:rsid w:val="17043018"/>
    <w:rsid w:val="348A4511"/>
    <w:rsid w:val="36960768"/>
    <w:rsid w:val="3FCF2224"/>
    <w:rsid w:val="471710CB"/>
    <w:rsid w:val="47BE3762"/>
    <w:rsid w:val="5FB9507D"/>
    <w:rsid w:val="711F20A5"/>
    <w:rsid w:val="718D006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next w:val="NormalIndent"/>
    <w:unhideWhenUsed/>
    <w:qFormat/>
    <w:pPr>
      <w:keepNext/>
      <w:keepLines/>
      <w:spacing w:before="140" w:after="140" w:line="413" w:lineRule="auto"/>
      <w:jc w:val="center"/>
      <w:outlineLvl w:val="1"/>
    </w:pPr>
    <w:rPr>
      <w:rFonts w:ascii="Arial" w:eastAsia="黑体" w:hAnsi="Arial"/>
      <w:b/>
      <w:sz w:val="30"/>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CharChar1">
    <w:name w:val=" Char Char1"/>
    <w:basedOn w:val="DefaultParagraphFont"/>
    <w:link w:val="Header"/>
    <w:rPr>
      <w:kern w:val="2"/>
      <w:sz w:val="18"/>
      <w:szCs w:val="18"/>
    </w:rPr>
  </w:style>
  <w:style w:type="character" w:customStyle="1" w:styleId="CharChar">
    <w:name w:val=" Char Char"/>
    <w:basedOn w:val="DefaultParagraphFont"/>
    <w:link w:val="Footer"/>
    <w:rPr>
      <w:kern w:val="2"/>
      <w:sz w:val="18"/>
      <w:szCs w:val="18"/>
    </w:rPr>
  </w:style>
  <w:style w:type="paragraph" w:styleId="NormalIndent">
    <w:name w:val="Normal Indent"/>
    <w:basedOn w:val="Normal"/>
    <w:pPr>
      <w:ind w:firstLine="420"/>
    </w:pPr>
    <w:rPr>
      <w:szCs w:val="20"/>
    </w:rPr>
  </w:style>
  <w:style w:type="paragraph" w:styleId="BodyText">
    <w:name w:val="Body Text"/>
    <w:basedOn w:val="Normal"/>
    <w:pPr>
      <w:spacing w:after="120"/>
    </w:pPr>
  </w:style>
  <w:style w:type="paragraph" w:styleId="Header">
    <w:name w:val="header"/>
    <w:basedOn w:val="Normal"/>
    <w:link w:val="CharChar1"/>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pPr>
      <w:tabs>
        <w:tab w:val="center" w:pos="4153"/>
        <w:tab w:val="right" w:pos="8306"/>
      </w:tabs>
      <w:snapToGrid w:val="0"/>
      <w:jc w:val="left"/>
    </w:pPr>
    <w:rPr>
      <w:sz w:val="18"/>
      <w:szCs w:val="18"/>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customStyle="1" w:styleId="08555">
    <w:name w:val="样式 首行缩进:  0.85 厘米 段前: 5 磅 段后: 5 磅"/>
    <w:basedOn w:val="Normal"/>
    <w:pPr>
      <w:spacing w:before="100" w:after="100"/>
      <w:ind w:firstLine="480"/>
    </w:pPr>
    <w:rPr>
      <w:rFonts w:cs="宋体"/>
      <w:szCs w:val="20"/>
    </w:rPr>
  </w:style>
  <w:style w:type="paragraph" w:customStyle="1" w:styleId="ArialRGB8512408555">
    <w:name w:val="样式 Arial 小五 自定义颜(RGB(85124)) 首行缩进:  0.85 厘米 段前: 5 磅 段后: 5..."/>
    <w:basedOn w:val="Normal"/>
    <w:pPr>
      <w:spacing w:before="100" w:after="100"/>
      <w:ind w:firstLine="480"/>
    </w:pPr>
    <w:rPr>
      <w:rFonts w:ascii="Arial" w:hAnsi="Arial" w:cs="宋体"/>
      <w:color w:val="550C04"/>
      <w:kern w:val="0"/>
      <w:sz w:val="18"/>
      <w:szCs w:val="20"/>
    </w:rPr>
  </w:style>
  <w:style w:type="paragraph" w:customStyle="1" w:styleId="Normal0">
    <w:name w:val="Normal_0"/>
    <w:qFormat/>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0621312505501005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2923</Words>
  <Characters>16667</Characters>
  <Application>Microsoft Office Word</Application>
  <DocSecurity>0</DocSecurity>
  <Lines>138</Lines>
  <Paragraphs>39</Paragraphs>
  <ScaleCrop>false</ScaleCrop>
  <Company>XiongDi TECH. Studio</Company>
  <LinksUpToDate>false</LinksUpToDate>
  <CharactersWithSpaces>19551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 一 章   综合说明</dc:title>
  <dc:subject>(标线、标志、交通信号灯)工程施工组织设计</dc:subject>
  <dc:creator>张照兵</dc:creator>
  <cp:keywords>标线,标志,交通,信号灯,工程,施工组织设计</cp:keywords>
  <cp:lastModifiedBy>Administrator</cp:lastModifiedBy>
  <cp:revision>17</cp:revision>
  <cp:lastPrinted>2016-05-03T08:32:32Z</cp:lastPrinted>
  <dcterms:created xsi:type="dcterms:W3CDTF">2008-01-09T09:03:00Z</dcterms:created>
  <dcterms:modified xsi:type="dcterms:W3CDTF">2016-05-03T08:56:00Z</dcterms:modified>
  <cp:category>管理学资料</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