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化学单质：碳行业相关公司设立可行性研究报告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_Toc32750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(七)、化学单质：碳项目建设必要性分析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(一)、化学单质：碳项目选址原则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(五)、化学单质：碳项目选址综合评价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_Toc27977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六、化学单质：碳项目经济效益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(三)、化学单质：碳项目盈利能力分析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_Toc14337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" w:history="1">
        <w:r>
          <w:rPr>
            <w:rFonts w:ascii="仿宋" w:eastAsia="仿宋" w:hAnsi="仿宋" w:cs="仿宋" w:hint="eastAsia"/>
            <w:lang w:eastAsia="zh-CN"/>
          </w:rPr>
          <w:t>(一)、化学单质：碳项目进度安排</w:t>
        </w:r>
        <w:r>
          <w:tab/>
        </w:r>
        <w:r>
          <w:fldChar w:fldCharType="begin"/>
        </w:r>
        <w:r>
          <w:instrText xml:space="preserve"> PAGEREF _Toc359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eastAsia="zh-CN"/>
          </w:rPr>
          <w:t>(二)、化学单质：碳项目实施保障措施</w:t>
        </w:r>
        <w:r>
          <w:tab/>
        </w:r>
        <w:r>
          <w:fldChar w:fldCharType="begin"/>
        </w:r>
        <w:r>
          <w:instrText xml:space="preserve"> PAGEREF _Toc31235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(一)、化学单质：碳项目背景分析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(二)、化学单质：碳项目建设必要性分析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_Toc28121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_Toc13244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_Toc28958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(五)、化学单质：碳项目总投资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十一、化学单质：碳项目总结分析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8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7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https://d.book118.com/407005104016006034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化学单质：碳行业相关公司设立可行性研究报告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化学单质：碳行业相关公司设立可行性研究报告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化学单质：碳行业相关公司设立可行性研究报告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化学单质：碳行业相关公司设立可行性研究报告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化学单质：碳行业相关公司设立可行性研究报告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7005104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2024-01-14T14:58:00Z</dcterms:created>
  <dcterms:modified xsi:type="dcterms:W3CDTF">2024-01-14T14:58:28Z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BFEE5B3EA05747B6BF7C0D4C4ECE98F1_11</vt:lpwstr>
  </property>
  <property fmtid="{D5CDD505-2E9C-101B-9397-08002B2CF9AE}" pid="3" name="KSOProductBuildVer">
    <vt:lpwstr>2052-12.1.0.16120</vt:lpwstr>
  </property>
</Properties>
</file>