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Title"/>
        <w:tabs>
          <w:tab w:val="left" w:pos="1447"/>
        </w:tabs>
      </w:pPr>
      <w:r>
        <w:t>目</w:t>
        <w:tab/>
        <w:t>录</w:t>
      </w:r>
    </w:p>
    <w:sdt>
      <w:sdtPr>
        <w:id w:val="71299569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6107"/>
            </w:tabs>
            <w:spacing w:before="338"/>
            <w:rPr>
              <w:rFonts w:ascii="Garamond" w:eastAsia="Garamond"/>
            </w:rPr>
          </w:pPr>
          <w:r>
            <w:fldChar w:fldCharType="begin"/>
          </w:r>
          <w:r>
            <w:instrText xml:space="preserve">  \l “_TOC_250020“ </w:instrText>
          </w:r>
          <w:r>
            <w:fldChar w:fldCharType="separate"/>
          </w:r>
          <w:r>
            <w:rPr>
              <w:w w:val="105"/>
            </w:rPr>
            <w:t>1、前言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Garamond" w:eastAsia="Garamond"/>
              <w:w w:val="105"/>
            </w:rPr>
            <w:t>3</w:t>
          </w:r>
          <w:r>
            <w:fldChar w:fldCharType="end"/>
          </w:r>
        </w:p>
        <w:p>
          <w:pPr>
            <w:pStyle w:val="TOC1"/>
            <w:tabs>
              <w:tab w:val="right" w:leader="dot" w:pos="16103"/>
            </w:tabs>
            <w:spacing w:before="71"/>
            <w:rPr>
              <w:rFonts w:ascii="Garamond" w:eastAsia="Garamond"/>
            </w:rPr>
          </w:pPr>
          <w:r>
            <w:rPr>
              <w:w w:val="105"/>
            </w:rPr>
            <w:t>2、企业概况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Garamond" w:eastAsia="Garamond"/>
              <w:w w:val="105"/>
            </w:rPr>
            <w:t>3</w:t>
          </w:r>
        </w:p>
        <w:p>
          <w:pPr>
            <w:pStyle w:val="TOC2"/>
            <w:numPr>
              <w:ilvl w:val="1"/>
              <w:numId w:val="10"/>
            </w:numPr>
            <w:tabs>
              <w:tab w:val="left" w:pos="3302"/>
              <w:tab w:val="right" w:leader="dot" w:pos="14365"/>
            </w:tabs>
            <w:spacing w:before="141" w:after="0" w:line="240" w:lineRule="auto"/>
            <w:ind w:left="3301" w:right="0" w:hanging="1052"/>
            <w:jc w:val="left"/>
          </w:pPr>
          <w:r>
            <w:fldChar w:fldCharType="begin"/>
          </w:r>
          <w:r>
            <w:instrText xml:space="preserve">  \l “_TOC_250019“ </w:instrText>
          </w:r>
          <w:r>
            <w:fldChar w:fldCharType="separate"/>
          </w:r>
          <w:r>
            <w:t>行业特性说明</w:t>
          </w:r>
          <w:r>
            <w:rPr>
              <w:rFonts w:ascii="Times New Roman" w:eastAsia="Times New Roman"/>
            </w:rPr>
            <w:tab/>
          </w:r>
          <w:r>
            <w:t>3</w:t>
          </w:r>
          <w:r>
            <w:fldChar w:fldCharType="end"/>
          </w:r>
        </w:p>
        <w:p>
          <w:pPr>
            <w:pStyle w:val="TOC2"/>
            <w:numPr>
              <w:ilvl w:val="1"/>
              <w:numId w:val="10"/>
            </w:numPr>
            <w:tabs>
              <w:tab w:val="left" w:pos="3198"/>
              <w:tab w:val="right" w:leader="dot" w:pos="14365"/>
            </w:tabs>
            <w:spacing w:before="398" w:after="0" w:line="240" w:lineRule="auto"/>
            <w:ind w:left="3197" w:right="0" w:hanging="948"/>
            <w:jc w:val="left"/>
          </w:pPr>
          <w:r>
            <w:t>现行信息系统存在的问题</w:t>
          </w:r>
          <w:r>
            <w:rPr>
              <w:rFonts w:ascii="Times New Roman" w:eastAsia="Times New Roman"/>
            </w:rPr>
            <w:tab/>
          </w:r>
          <w:r>
            <w:t>3</w:t>
          </w:r>
        </w:p>
        <w:p>
          <w:pPr>
            <w:pStyle w:val="TOC1"/>
            <w:numPr>
              <w:ilvl w:val="0"/>
              <w:numId w:val="9"/>
            </w:numPr>
            <w:tabs>
              <w:tab w:val="left" w:pos="1858"/>
              <w:tab w:val="right" w:leader="dot" w:pos="16078"/>
            </w:tabs>
            <w:spacing w:before="328" w:after="0" w:line="240" w:lineRule="auto"/>
            <w:ind w:left="1857" w:right="0" w:hanging="238"/>
            <w:jc w:val="left"/>
            <w:rPr>
              <w:rFonts w:ascii="Garamond" w:eastAsia="Garamond"/>
            </w:rPr>
          </w:pPr>
          <w:r>
            <w:fldChar w:fldCharType="begin"/>
          </w:r>
          <w:r>
            <w:instrText xml:space="preserve">  \l “_TOC_250018“ </w:instrText>
          </w:r>
          <w:r>
            <w:fldChar w:fldCharType="separate"/>
          </w:r>
          <w:r>
            <w:t>鼎捷软件易</w:t>
          </w:r>
          <w:r>
            <w:rPr>
              <w:spacing w:val="69"/>
            </w:rPr>
            <w:t>助</w:t>
          </w:r>
          <w:r>
            <w:rPr>
              <w:rFonts w:ascii="Garamond" w:eastAsia="Garamond"/>
            </w:rPr>
            <w:t>ERP</w:t>
          </w:r>
          <w:r>
            <w:rPr>
              <w:rFonts w:ascii="Garamond" w:eastAsia="Garamond"/>
              <w:spacing w:val="-4"/>
            </w:rPr>
            <w:t xml:space="preserve"> </w:t>
          </w:r>
          <w:r>
            <w:t>解决方案</w:t>
          </w:r>
          <w:r>
            <w:rPr>
              <w:rFonts w:ascii="Times New Roman" w:eastAsia="Times New Roman"/>
            </w:rPr>
            <w:tab/>
          </w:r>
          <w:r>
            <w:rPr>
              <w:rFonts w:ascii="Garamond" w:eastAsia="Garamond"/>
            </w:rP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9"/>
            </w:numPr>
            <w:tabs>
              <w:tab w:val="left" w:pos="3198"/>
              <w:tab w:val="right" w:leader="dot" w:pos="14365"/>
            </w:tabs>
            <w:spacing w:before="141" w:after="0" w:line="240" w:lineRule="auto"/>
            <w:ind w:left="3197" w:right="0" w:hanging="948"/>
            <w:jc w:val="left"/>
          </w:pPr>
          <w:r>
            <w:fldChar w:fldCharType="begin"/>
          </w:r>
          <w:r>
            <w:instrText xml:space="preserve">  \l “_TOC_250017“ </w:instrText>
          </w:r>
          <w:r>
            <w:fldChar w:fldCharType="separate"/>
          </w:r>
          <w:r>
            <w:t>易</w:t>
          </w:r>
          <w:r>
            <w:rPr>
              <w:spacing w:val="100"/>
            </w:rPr>
            <w:t>助</w:t>
          </w:r>
          <w:r>
            <w:t>ERP</w:t>
          </w:r>
          <w:r>
            <w:rPr>
              <w:spacing w:val="-104"/>
            </w:rPr>
            <w:t xml:space="preserve"> </w:t>
          </w:r>
          <w:r>
            <w:t>解决方案说明</w:t>
          </w:r>
          <w:r>
            <w:rPr>
              <w:rFonts w:ascii="Times New Roman" w:eastAsia="Times New Roman"/>
            </w:rPr>
            <w:tab/>
          </w:r>
          <w:r>
            <w:t>5</w:t>
          </w:r>
          <w:r>
            <w:fldChar w:fldCharType="end"/>
          </w:r>
        </w:p>
        <w:p>
          <w:pPr>
            <w:pStyle w:val="TOC2"/>
            <w:numPr>
              <w:ilvl w:val="1"/>
              <w:numId w:val="9"/>
            </w:numPr>
            <w:tabs>
              <w:tab w:val="left" w:pos="3198"/>
              <w:tab w:val="right" w:leader="dot" w:pos="14365"/>
            </w:tabs>
            <w:spacing w:before="398" w:after="0" w:line="240" w:lineRule="auto"/>
            <w:ind w:left="3197" w:right="0" w:hanging="948"/>
            <w:jc w:val="left"/>
          </w:pPr>
          <w:r>
            <w:fldChar w:fldCharType="begin"/>
          </w:r>
          <w:r>
            <w:instrText xml:space="preserve">  \l “_TOC_250016“ </w:instrText>
          </w:r>
          <w:r>
            <w:fldChar w:fldCharType="separate"/>
          </w:r>
          <w:r>
            <w:t>易助系统主流程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63"/>
            </w:tabs>
            <w:spacing w:before="255" w:after="0" w:line="240" w:lineRule="auto"/>
            <w:ind w:left="4867" w:right="0" w:hanging="1358"/>
            <w:jc w:val="left"/>
          </w:pPr>
          <w:r>
            <w:fldChar w:fldCharType="begin"/>
          </w:r>
          <w:r>
            <w:instrText xml:space="preserve">  \l “_TOC_250015“ </w:instrText>
          </w:r>
          <w:r>
            <w:fldChar w:fldCharType="separate"/>
          </w:r>
          <w:r>
            <w:t>销售治理主流程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63"/>
            </w:tabs>
            <w:spacing w:before="169" w:after="0" w:line="240" w:lineRule="auto"/>
            <w:ind w:left="4867" w:right="0" w:hanging="1358"/>
            <w:jc w:val="left"/>
          </w:pPr>
          <w:r>
            <w:t>选购治理主流程</w:t>
          </w:r>
          <w:r>
            <w:rPr>
              <w:rFonts w:ascii="Times New Roman" w:eastAsia="Times New Roman"/>
            </w:rPr>
            <w:tab/>
          </w:r>
          <w:r>
            <w:t>8</w:t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63"/>
            </w:tabs>
            <w:spacing w:before="169" w:after="0" w:line="240" w:lineRule="auto"/>
            <w:ind w:left="4867" w:right="0" w:hanging="1358"/>
            <w:jc w:val="left"/>
          </w:pPr>
          <w:r>
            <w:fldChar w:fldCharType="begin"/>
          </w:r>
          <w:r>
            <w:instrText xml:space="preserve">  \l “_TOC_250014“ </w:instrText>
          </w:r>
          <w:r>
            <w:fldChar w:fldCharType="separate"/>
          </w:r>
          <w:r>
            <w:t>存货治理主流程</w:t>
          </w:r>
          <w:r>
            <w:rPr>
              <w:rFonts w:ascii="Times New Roman" w:eastAsia="Times New Roman"/>
            </w:rPr>
            <w:tab/>
          </w:r>
          <w:r>
            <w:t>9</w:t>
          </w:r>
          <w:r>
            <w:fldChar w:fldCharType="end"/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59"/>
            </w:tabs>
            <w:spacing w:before="169" w:after="0" w:line="240" w:lineRule="auto"/>
            <w:ind w:left="4867" w:right="0" w:hanging="1358"/>
            <w:jc w:val="left"/>
          </w:pPr>
          <w:r>
            <w:fldChar w:fldCharType="begin"/>
          </w:r>
          <w:r>
            <w:instrText xml:space="preserve">  \l “_TOC_250013“ </w:instrText>
          </w:r>
          <w:r>
            <w:fldChar w:fldCharType="separate"/>
          </w:r>
          <w:r>
            <w:t>产品构造</w:t>
          </w:r>
          <w:r>
            <w:rPr>
              <w:rFonts w:ascii="Times New Roman" w:eastAsia="Times New Roman"/>
            </w:rPr>
            <w:tab/>
          </w:r>
          <w:r>
            <w:t>10</w:t>
          </w:r>
          <w:r>
            <w:fldChar w:fldCharType="end"/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59"/>
            </w:tabs>
            <w:spacing w:before="168" w:after="0" w:line="240" w:lineRule="auto"/>
            <w:ind w:left="4867" w:right="0" w:hanging="1358"/>
            <w:jc w:val="left"/>
          </w:pPr>
          <w:r>
            <w:t>物料需求计算主流程</w:t>
          </w:r>
          <w:r>
            <w:rPr>
              <w:rFonts w:ascii="Times New Roman" w:eastAsia="Times New Roman"/>
            </w:rPr>
            <w:tab/>
          </w:r>
          <w:r>
            <w:t>11</w:t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868"/>
              <w:tab w:val="right" w:leader="dot" w:pos="14359"/>
            </w:tabs>
            <w:spacing w:before="169" w:after="0" w:line="240" w:lineRule="auto"/>
            <w:ind w:left="4867" w:right="0" w:hanging="1358"/>
            <w:jc w:val="left"/>
          </w:pPr>
          <w:r>
            <w:fldChar w:fldCharType="begin"/>
          </w:r>
          <w:r>
            <w:instrText xml:space="preserve">  \l “_TOC_250012“ </w:instrText>
          </w:r>
          <w:r>
            <w:fldChar w:fldCharType="separate"/>
          </w:r>
          <w:r>
            <w:t>生产治理主流程</w:t>
          </w:r>
          <w:r>
            <w:rPr>
              <w:rFonts w:ascii="Times New Roman" w:eastAsia="Times New Roman"/>
            </w:rPr>
            <w:tab/>
          </w:r>
          <w:r>
            <w:t>11</w:t>
          </w:r>
          <w:r>
            <w:fldChar w:fldCharType="end"/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962"/>
              <w:tab w:val="right" w:leader="dot" w:pos="14363"/>
            </w:tabs>
            <w:spacing w:before="169" w:after="0" w:line="240" w:lineRule="auto"/>
            <w:ind w:left="4961" w:right="0" w:hanging="1452"/>
            <w:jc w:val="left"/>
          </w:pPr>
          <w:r>
            <w:t>工艺治理主流程</w:t>
          </w:r>
          <w:r>
            <w:rPr>
              <w:rFonts w:ascii="Times New Roman" w:eastAsia="Times New Roman"/>
            </w:rPr>
            <w:tab/>
          </w:r>
          <w:r>
            <w:t>9</w:t>
          </w:r>
        </w:p>
        <w:p>
          <w:pPr>
            <w:pStyle w:val="TOC3"/>
            <w:numPr>
              <w:ilvl w:val="2"/>
              <w:numId w:val="9"/>
            </w:numPr>
            <w:tabs>
              <w:tab w:val="left" w:pos="4962"/>
              <w:tab w:val="right" w:leader="dot" w:pos="14363"/>
            </w:tabs>
            <w:spacing w:before="169" w:after="0" w:line="240" w:lineRule="auto"/>
            <w:ind w:left="4961" w:right="0" w:hanging="1452"/>
            <w:jc w:val="left"/>
          </w:pPr>
          <w:r>
            <w:fldChar w:fldCharType="begin"/>
          </w:r>
          <w:r>
            <w:instrText xml:space="preserve">  \l “_TOC_250011“ </w:instrText>
          </w:r>
          <w:r>
            <w:fldChar w:fldCharType="separate"/>
          </w:r>
          <w:r>
            <w:t>财务治理主流程</w:t>
          </w:r>
          <w:r>
            <w:rPr>
              <w:rFonts w:ascii="Times New Roman" w:eastAsia="Times New Roman"/>
            </w:rPr>
            <w:tab/>
          </w:r>
          <w:r>
            <w:t>9</w:t>
          </w:r>
          <w:r>
            <w:fldChar w:fldCharType="end"/>
          </w:r>
        </w:p>
        <w:p>
          <w:pPr>
            <w:pStyle w:val="TOC1"/>
            <w:tabs>
              <w:tab w:val="right" w:leader="dot" w:pos="16096"/>
            </w:tabs>
            <w:rPr>
              <w:rFonts w:ascii="Garamond" w:eastAsia="Garamond"/>
            </w:rPr>
          </w:pPr>
          <w:r>
            <w:fldChar w:fldCharType="begin"/>
          </w:r>
          <w:r>
            <w:instrText xml:space="preserve">  \l “_TOC_250010“ </w:instrText>
          </w:r>
          <w:r>
            <w:fldChar w:fldCharType="separate"/>
          </w:r>
          <w:r>
            <w:rPr>
              <w:w w:val="105"/>
            </w:rPr>
            <w:t>4、易</w:t>
          </w:r>
          <w:r>
            <w:rPr>
              <w:spacing w:val="76"/>
              <w:w w:val="105"/>
            </w:rPr>
            <w:t>助</w:t>
          </w:r>
          <w:r>
            <w:rPr>
              <w:w w:val="105"/>
            </w:rPr>
            <w:t>ERP</w:t>
          </w:r>
          <w:r>
            <w:rPr>
              <w:spacing w:val="-89"/>
              <w:w w:val="105"/>
            </w:rPr>
            <w:t xml:space="preserve"> </w:t>
          </w:r>
          <w:r>
            <w:rPr>
              <w:w w:val="105"/>
            </w:rPr>
            <w:t>实施方法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Garamond" w:eastAsia="Garamond"/>
              <w:w w:val="105"/>
            </w:rPr>
            <w:t>21</w:t>
          </w:r>
          <w:r>
            <w:fldChar w:fldCharType="end"/>
          </w:r>
        </w:p>
        <w:p>
          <w:pPr>
            <w:pStyle w:val="TOC2"/>
            <w:numPr>
              <w:ilvl w:val="1"/>
              <w:numId w:val="8"/>
            </w:numPr>
            <w:tabs>
              <w:tab w:val="left" w:pos="2989"/>
              <w:tab w:val="right" w:leader="dot" w:pos="14363"/>
            </w:tabs>
            <w:spacing w:before="141" w:after="0" w:line="240" w:lineRule="auto"/>
            <w:ind w:left="2988" w:right="0" w:hanging="739"/>
            <w:jc w:val="left"/>
          </w:pPr>
          <w:r>
            <w:fldChar w:fldCharType="begin"/>
          </w:r>
          <w:r>
            <w:instrText xml:space="preserve">  \l “_TOC_250009“ </w:instrText>
          </w:r>
          <w:r>
            <w:fldChar w:fldCharType="separate"/>
          </w:r>
          <w:r>
            <w:t>实施方法策略</w:t>
          </w:r>
          <w:r>
            <w:rPr>
              <w:rFonts w:ascii="Times New Roman" w:eastAsia="Times New Roman"/>
            </w:rPr>
            <w:tab/>
          </w:r>
          <w:r>
            <w:t>21</w:t>
          </w:r>
          <w:r>
            <w:fldChar w:fldCharType="end"/>
          </w:r>
        </w:p>
        <w:p>
          <w:pPr>
            <w:pStyle w:val="TOC2"/>
            <w:numPr>
              <w:ilvl w:val="1"/>
              <w:numId w:val="8"/>
            </w:numPr>
            <w:tabs>
              <w:tab w:val="left" w:pos="2989"/>
              <w:tab w:val="right" w:leader="dot" w:pos="14363"/>
            </w:tabs>
            <w:spacing w:before="398" w:after="0" w:line="240" w:lineRule="auto"/>
            <w:ind w:left="2988" w:right="0" w:hanging="739"/>
            <w:jc w:val="left"/>
          </w:pPr>
          <w:r>
            <w:fldChar w:fldCharType="begin"/>
          </w:r>
          <w:r>
            <w:instrText xml:space="preserve">  \l “_TOC_250008“ </w:instrText>
          </w:r>
          <w:r>
            <w:fldChar w:fldCharType="separate"/>
          </w:r>
          <w:r>
            <w:t>实施特色</w:t>
          </w:r>
          <w:r>
            <w:rPr>
              <w:rFonts w:ascii="Times New Roman" w:eastAsia="Times New Roman"/>
            </w:rPr>
            <w:tab/>
          </w:r>
          <w:r>
            <w:t>21</w:t>
          </w:r>
          <w:r>
            <w:fldChar w:fldCharType="end"/>
          </w:r>
        </w:p>
        <w:p>
          <w:pPr>
            <w:pStyle w:val="TOC2"/>
            <w:numPr>
              <w:ilvl w:val="1"/>
              <w:numId w:val="8"/>
            </w:numPr>
            <w:tabs>
              <w:tab w:val="left" w:pos="2989"/>
              <w:tab w:val="right" w:leader="dot" w:pos="14363"/>
            </w:tabs>
            <w:spacing w:before="398" w:after="0" w:line="240" w:lineRule="auto"/>
            <w:ind w:left="2988" w:right="0" w:hanging="739"/>
            <w:jc w:val="left"/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实施过程</w:t>
          </w:r>
          <w:r>
            <w:rPr>
              <w:rFonts w:ascii="Times New Roman" w:eastAsia="Times New Roman"/>
            </w:rPr>
            <w:tab/>
          </w:r>
          <w:r>
            <w:t>21</w:t>
          </w:r>
          <w:r>
            <w:fldChar w:fldCharType="end"/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254" w:after="0" w:line="240" w:lineRule="auto"/>
            <w:ind w:left="4507" w:right="0" w:hanging="998"/>
            <w:jc w:val="left"/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工程组织预备阶段</w:t>
          </w:r>
          <w:r>
            <w:rPr>
              <w:rFonts w:ascii="Times New Roman" w:eastAsia="Times New Roman"/>
            </w:rPr>
            <w:tab/>
          </w:r>
          <w:r>
            <w:t>22</w:t>
          </w:r>
          <w:r>
            <w:fldChar w:fldCharType="end"/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69" w:after="0" w:line="240" w:lineRule="auto"/>
            <w:ind w:left="4507" w:right="0" w:hanging="998"/>
            <w:jc w:val="left"/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系统安装培训阶段</w:t>
          </w:r>
          <w:r>
            <w:rPr>
              <w:rFonts w:ascii="Times New Roman" w:eastAsia="Times New Roman"/>
            </w:rPr>
            <w:tab/>
          </w:r>
          <w:r>
            <w:t>22</w:t>
          </w:r>
          <w:r>
            <w:fldChar w:fldCharType="end"/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70" w:after="0" w:line="240" w:lineRule="auto"/>
            <w:ind w:left="4507" w:right="0" w:hanging="998"/>
            <w:jc w:val="left"/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业务流程拟定阶段</w:t>
          </w:r>
          <w:r>
            <w:rPr>
              <w:rFonts w:ascii="Times New Roman" w:eastAsia="Times New Roman"/>
            </w:rPr>
            <w:tab/>
          </w:r>
          <w:r>
            <w:t>23</w:t>
          </w:r>
          <w:r>
            <w:fldChar w:fldCharType="end"/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69" w:after="0" w:line="240" w:lineRule="auto"/>
            <w:ind w:left="4507" w:right="0" w:hanging="998"/>
            <w:jc w:val="left"/>
          </w:pPr>
          <w:r>
            <w:t>根底数据预备阶段</w:t>
          </w:r>
          <w:r>
            <w:rPr>
              <w:rFonts w:ascii="Times New Roman" w:eastAsia="Times New Roman"/>
            </w:rPr>
            <w:tab/>
          </w:r>
          <w:r>
            <w:t>23</w:t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72" w:after="0" w:line="240" w:lineRule="auto"/>
            <w:ind w:left="4507" w:right="0" w:hanging="998"/>
            <w:jc w:val="left"/>
          </w:pPr>
          <w:r>
            <w:t>系统试运行阶段</w:t>
          </w:r>
          <w:r>
            <w:rPr>
              <w:rFonts w:ascii="Times New Roman" w:eastAsia="Times New Roman"/>
            </w:rPr>
            <w:tab/>
          </w:r>
          <w:r>
            <w:t>23</w:t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69" w:after="0" w:line="240" w:lineRule="auto"/>
            <w:ind w:left="4507" w:right="0" w:hanging="998"/>
            <w:jc w:val="left"/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结案评价运行阶段</w:t>
          </w:r>
          <w:r>
            <w:rPr>
              <w:rFonts w:ascii="Times New Roman" w:eastAsia="Times New Roman"/>
            </w:rPr>
            <w:tab/>
          </w:r>
          <w:r>
            <w:t>23</w:t>
          </w:r>
          <w:r>
            <w:fldChar w:fldCharType="end"/>
          </w:r>
        </w:p>
        <w:p>
          <w:pPr>
            <w:pStyle w:val="TOC3"/>
            <w:numPr>
              <w:ilvl w:val="2"/>
              <w:numId w:val="8"/>
            </w:numPr>
            <w:tabs>
              <w:tab w:val="left" w:pos="4508"/>
              <w:tab w:val="right" w:leader="dot" w:pos="14359"/>
            </w:tabs>
            <w:spacing w:before="168" w:after="0" w:line="240" w:lineRule="auto"/>
            <w:ind w:left="4507" w:right="0" w:hanging="998"/>
            <w:jc w:val="left"/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t>实施打算表</w:t>
          </w:r>
          <w:r>
            <w:rPr>
              <w:rFonts w:ascii="Times New Roman" w:eastAsia="Times New Roman"/>
            </w:rPr>
            <w:tab/>
          </w:r>
          <w:r>
            <w:t>24</w:t>
          </w:r>
          <w:r>
            <w:fldChar w:fldCharType="end"/>
          </w:r>
        </w:p>
        <w:p>
          <w:pPr>
            <w:pStyle w:val="TOC1"/>
            <w:tabs>
              <w:tab w:val="right" w:leader="dot" w:pos="16107"/>
            </w:tabs>
            <w:rPr>
              <w:rFonts w:ascii="Garamond" w:eastAsia="Garamond"/>
            </w:rPr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rPr>
              <w:w w:val="105"/>
            </w:rPr>
            <w:t>5、培训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Garamond" w:eastAsia="Garamond"/>
              <w:w w:val="105"/>
            </w:rPr>
            <w:t>24</w:t>
          </w:r>
          <w:r>
            <w:fldChar w:fldCharType="end"/>
          </w:r>
        </w:p>
        <w:p>
          <w:pPr>
            <w:pStyle w:val="TOC2"/>
            <w:numPr>
              <w:ilvl w:val="1"/>
              <w:numId w:val="7"/>
            </w:numPr>
            <w:tabs>
              <w:tab w:val="left" w:pos="2989"/>
              <w:tab w:val="right" w:leader="dot" w:pos="14363"/>
            </w:tabs>
            <w:spacing w:before="141" w:after="0" w:line="240" w:lineRule="auto"/>
            <w:ind w:left="2988" w:right="0" w:hanging="739"/>
            <w:jc w:val="left"/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培训方式</w:t>
          </w:r>
          <w:r>
            <w:rPr>
              <w:rFonts w:ascii="Times New Roman" w:eastAsia="Times New Roman"/>
            </w:rPr>
            <w:tab/>
          </w:r>
          <w:r>
            <w:t>25</w:t>
          </w:r>
          <w:r>
            <w:fldChar w:fldCharType="end"/>
          </w:r>
        </w:p>
      </w:sdtContent>
    </w:sdt>
    <w:p>
      <w:pPr>
        <w:spacing w:after="0" w:line="240" w:lineRule="auto"/>
        <w:jc w:val="left"/>
        <w:sectPr>
          <w:headerReference w:type="default" r:id="rId4"/>
          <w:footerReference w:type="default" r:id="rId5"/>
          <w:type w:val="continuous"/>
          <w:pgSz w:w="17860" w:h="25260"/>
          <w:pgMar w:top="1400" w:right="0" w:bottom="1820" w:left="0" w:header="1088" w:footer="1625"/>
          <w:pgNumType w:start="1"/>
          <w:cols w:space="708"/>
        </w:sectPr>
      </w:pPr>
    </w:p>
    <w:p>
      <w:pPr>
        <w:pStyle w:val="ListParagraph"/>
        <w:numPr>
          <w:ilvl w:val="1"/>
          <w:numId w:val="7"/>
        </w:numPr>
        <w:tabs>
          <w:tab w:val="left" w:pos="2989"/>
          <w:tab w:val="right" w:leader="dot" w:pos="14363"/>
        </w:tabs>
        <w:spacing w:before="223" w:after="0" w:line="240" w:lineRule="auto"/>
        <w:ind w:left="2988" w:right="0" w:hanging="739"/>
        <w:jc w:val="both"/>
        <w:rPr>
          <w:sz w:val="42"/>
        </w:rPr>
      </w:pPr>
      <w:r>
        <w:rPr>
          <w:sz w:val="42"/>
        </w:rPr>
        <w:t>培训内容</w:t>
      </w:r>
      <w:r>
        <w:rPr>
          <w:rFonts w:ascii="Times New Roman" w:eastAsia="Times New Roman"/>
          <w:sz w:val="42"/>
        </w:rPr>
        <w:tab/>
      </w:r>
      <w:r>
        <w:rPr>
          <w:sz w:val="42"/>
        </w:rPr>
        <w:t>25</w:t>
      </w:r>
    </w:p>
    <w:p>
      <w:pPr>
        <w:pStyle w:val="BodyText"/>
        <w:spacing w:before="10"/>
        <w:rPr>
          <w:sz w:val="53"/>
        </w:rPr>
      </w:pPr>
    </w:p>
    <w:p>
      <w:pPr>
        <w:pStyle w:val="Heading1"/>
        <w:ind w:left="1620" w:firstLine="0"/>
      </w:pPr>
      <w:bookmarkStart w:id="0" w:name="_TOC_250020"/>
      <w:bookmarkEnd w:id="0"/>
      <w:r>
        <w:t>1、前言</w:t>
      </w:r>
    </w:p>
    <w:p>
      <w:pPr>
        <w:pStyle w:val="BodyText"/>
        <w:spacing w:before="7"/>
        <w:rPr>
          <w:b/>
          <w:sz w:val="56"/>
        </w:rPr>
      </w:pPr>
    </w:p>
    <w:p>
      <w:pPr>
        <w:pStyle w:val="BodyText"/>
        <w:spacing w:line="302" w:lineRule="auto"/>
        <w:ind w:left="1620" w:right="2333" w:firstLine="720"/>
        <w:jc w:val="both"/>
      </w:pPr>
      <w:r>
        <w:rPr>
          <w:spacing w:val="-9"/>
        </w:rPr>
        <w:t>致力于制造业企业的信息化建设工作。经过对制造业企业进展了格外认真和细致地分</w:t>
      </w:r>
      <w:r>
        <w:rPr>
          <w:spacing w:val="-12"/>
        </w:rPr>
        <w:t>析，鼎捷软件愿以多年自身企业信息化的阅历，以及为众多企业供给专业信息化解决方案</w:t>
      </w:r>
      <w:r>
        <w:t>的阅历，帮助企业构建信息化网络系统。</w:t>
      </w:r>
    </w:p>
    <w:p>
      <w:pPr>
        <w:pStyle w:val="BodyText"/>
        <w:spacing w:before="6" w:line="304" w:lineRule="auto"/>
        <w:ind w:left="1620" w:right="2196" w:firstLine="720"/>
      </w:pPr>
      <w:r>
        <w:rPr>
          <w:spacing w:val="-1"/>
        </w:rPr>
        <w:t>信息化是一个过程，与工业化、现代化一样，是一个动态变化的过程。企业信息化是</w:t>
      </w:r>
      <w:r>
        <w:rPr>
          <w:spacing w:val="-2"/>
        </w:rPr>
        <w:t>企业通过长远的规划，用信息化的手段带开工业化生产，从而使企业在生产效率、治理效</w:t>
      </w:r>
      <w:r>
        <w:t>率、人员效率等方面持续保持竞争力。</w:t>
      </w:r>
    </w:p>
    <w:p>
      <w:pPr>
        <w:pStyle w:val="BodyText"/>
        <w:spacing w:line="302" w:lineRule="auto"/>
        <w:ind w:left="1620" w:right="2369" w:firstLine="720"/>
        <w:jc w:val="both"/>
      </w:pPr>
      <w:r>
        <w:rPr>
          <w:spacing w:val="-11"/>
        </w:rPr>
        <w:t>信息系统是治理的手段，是企业治理目标和治理思想的载体。他对企业的影响是：一</w:t>
      </w:r>
      <w:r>
        <w:rPr>
          <w:spacing w:val="-12"/>
        </w:rPr>
        <w:t>个企业进展信息化建设渐入佳境后，整个企业的治理和运作都每时每刻和信息系统进展关</w:t>
      </w:r>
      <w:r>
        <w:rPr>
          <w:spacing w:val="-13"/>
        </w:rPr>
        <w:t>联，员工的思维和工作方式也每时每刻和信息系统进展着交互，这种数字神经网络系统的</w:t>
      </w:r>
      <w:r>
        <w:t>实现，已将企业和员工严密的联系在一起。</w:t>
      </w:r>
    </w:p>
    <w:p>
      <w:pPr>
        <w:pStyle w:val="BodyText"/>
        <w:spacing w:before="5"/>
        <w:ind w:left="2250"/>
        <w:jc w:val="both"/>
      </w:pPr>
      <w:r>
        <w:rPr>
          <w:w w:val="95"/>
        </w:rPr>
        <w:t>本解决方案以鼎捷软件易助</w:t>
      </w:r>
      <w:r>
        <w:rPr>
          <w:spacing w:val="193"/>
        </w:rPr>
        <w:t xml:space="preserve"> </w:t>
      </w:r>
      <w:r>
        <w:rPr>
          <w:w w:val="95"/>
        </w:rPr>
        <w:t>ERP</w:t>
      </w:r>
      <w:r>
        <w:rPr>
          <w:spacing w:val="193"/>
        </w:rPr>
        <w:t xml:space="preserve"> </w:t>
      </w:r>
      <w:r>
        <w:rPr>
          <w:w w:val="95"/>
        </w:rPr>
        <w:t>系统全面构造中小型制造业信息化系统。</w:t>
      </w:r>
    </w:p>
    <w:p>
      <w:pPr>
        <w:pStyle w:val="BodyText"/>
        <w:spacing w:before="122" w:line="302" w:lineRule="auto"/>
        <w:ind w:left="1620" w:right="2287" w:firstLine="630"/>
        <w:jc w:val="both"/>
      </w:pPr>
      <w:r>
        <w:rPr>
          <w:spacing w:val="-31"/>
        </w:rPr>
        <w:t xml:space="preserve">易助 </w:t>
      </w:r>
      <w:r>
        <w:rPr>
          <w:spacing w:val="-1"/>
        </w:rPr>
        <w:t>ERP</w:t>
      </w:r>
      <w:r>
        <w:rPr>
          <w:spacing w:val="-19"/>
        </w:rPr>
        <w:t xml:space="preserve"> 系统作为国内领先的 </w:t>
      </w:r>
      <w:r>
        <w:rPr>
          <w:spacing w:val="-1"/>
        </w:rPr>
        <w:t>ERP</w:t>
      </w:r>
      <w:r>
        <w:rPr>
          <w:spacing w:val="-11"/>
        </w:rPr>
        <w:t xml:space="preserve"> 产品，为中小型制造业提出了包括生产、选购、销</w:t>
      </w:r>
      <w:r>
        <w:rPr>
          <w:spacing w:val="-16"/>
        </w:rPr>
        <w:t xml:space="preserve">售、财务等专业化解决方案。国内成功的案例成为系统实施的有利保障，易助 </w:t>
      </w:r>
      <w:r>
        <w:t>ERP</w:t>
      </w:r>
      <w:r>
        <w:rPr>
          <w:spacing w:val="-23"/>
        </w:rPr>
        <w:t xml:space="preserve"> 系统能</w:t>
      </w:r>
      <w:r>
        <w:t>够解决企业核心业务的需求。</w:t>
      </w:r>
    </w:p>
    <w:p>
      <w:pPr>
        <w:pStyle w:val="BodyText"/>
        <w:spacing w:before="10" w:line="304" w:lineRule="auto"/>
        <w:ind w:left="1620" w:right="2369" w:firstLine="720"/>
        <w:jc w:val="both"/>
      </w:pPr>
      <w:r>
        <w:rPr>
          <w:spacing w:val="-16"/>
        </w:rPr>
        <w:t xml:space="preserve">一个优秀的 </w:t>
      </w:r>
      <w:r>
        <w:rPr>
          <w:spacing w:val="-1"/>
        </w:rPr>
        <w:t>IT</w:t>
      </w:r>
      <w:r>
        <w:rPr>
          <w:spacing w:val="-10"/>
        </w:rPr>
        <w:t xml:space="preserve"> 效劳商，不仅为企业供给软件产品，还要从企业长远考虑，帮助企业</w:t>
      </w:r>
      <w:r>
        <w:t>规划持续进展的信息系统，在企业信息系统的建设过程中，供给完善的效劳体系保障。</w:t>
      </w:r>
    </w:p>
    <w:p>
      <w:pPr>
        <w:pStyle w:val="BodyText"/>
        <w:spacing w:line="302" w:lineRule="auto"/>
        <w:ind w:left="1620" w:right="2197" w:firstLine="630"/>
      </w:pPr>
      <w:r>
        <w:rPr>
          <w:spacing w:val="-3"/>
        </w:rPr>
        <w:t>信息系统的建立不同于一般的消费类软件，</w:t>
      </w:r>
      <w:r>
        <w:rPr>
          <w:spacing w:val="-46"/>
        </w:rPr>
        <w:t>IT</w:t>
      </w:r>
      <w:r>
        <w:rPr>
          <w:spacing w:val="-10"/>
        </w:rPr>
        <w:t xml:space="preserve"> 效劳商能够供给应用户的不仅仅是产品</w:t>
      </w:r>
      <w:r>
        <w:rPr>
          <w:spacing w:val="1"/>
        </w:rPr>
        <w:t>本身，还包括先进的治理思想和优质的专业效劳。</w:t>
      </w:r>
      <w:r>
        <w:t>IT 效劳商供给的效劳对于企业用户来</w:t>
      </w:r>
      <w:r>
        <w:rPr>
          <w:spacing w:val="-1"/>
        </w:rPr>
        <w:t>说是相当重要的。好的效劳能够帮助企业提升竞争力，所以企业在选择治理软件的时候，</w:t>
      </w:r>
      <w:r>
        <w:rPr>
          <w:spacing w:val="-177"/>
        </w:rPr>
        <w:t xml:space="preserve"> </w:t>
      </w:r>
      <w:r>
        <w:rPr>
          <w:spacing w:val="-9"/>
        </w:rPr>
        <w:t>不仅要考虑治理软件的功能、更多的要考虑专业效劳等多方面的因素。专业效劳综合表达</w:t>
      </w:r>
      <w:r>
        <w:t>在：</w:t>
      </w:r>
    </w:p>
    <w:p>
      <w:pPr>
        <w:pStyle w:val="BodyText"/>
        <w:spacing w:before="5"/>
        <w:ind w:left="2160"/>
      </w:pPr>
      <w:r>
        <w:t>1、专业效劳贯穿系统建设的全过程</w:t>
      </w:r>
    </w:p>
    <w:p>
      <w:pPr>
        <w:pStyle w:val="BodyText"/>
        <w:spacing w:before="122" w:line="304" w:lineRule="auto"/>
        <w:ind w:left="1620" w:right="2376" w:firstLine="900"/>
      </w:pPr>
      <w:r>
        <w:rPr>
          <w:spacing w:val="-1"/>
        </w:rPr>
        <w:t>专业效劳已经不是我们狭义理解的售后效劳，应当包括系统的规划、设计、实施、</w:t>
      </w:r>
      <w:r>
        <w:t>培训、跟踪、维护等各个阶段。</w:t>
      </w:r>
    </w:p>
    <w:p>
      <w:pPr>
        <w:pStyle w:val="BodyText"/>
        <w:spacing w:line="461" w:lineRule="exact"/>
        <w:ind w:left="2160"/>
      </w:pPr>
      <w:r>
        <w:t>2、效劳商的经营理念</w:t>
      </w:r>
    </w:p>
    <w:p>
      <w:pPr>
        <w:pStyle w:val="BodyText"/>
        <w:spacing w:before="122" w:line="302" w:lineRule="auto"/>
        <w:ind w:left="1620" w:right="2197" w:firstLine="720"/>
      </w:pPr>
      <w:r>
        <w:rPr>
          <w:spacing w:val="-9"/>
        </w:rPr>
        <w:t>效劳商的短期行为终将走向自我消灭，一个具有长期经营理念的效劳商是企业信息化</w:t>
      </w:r>
      <w:r>
        <w:rPr>
          <w:spacing w:val="-1"/>
        </w:rPr>
        <w:t>建设的首选合作伙伴。这样的效劳商会不断完善应用系统，为用户提出持续改进的意见，</w:t>
      </w:r>
      <w:r>
        <w:rPr>
          <w:spacing w:val="-177"/>
        </w:rPr>
        <w:t xml:space="preserve"> </w:t>
      </w:r>
      <w:r>
        <w:t>真正成为企业信息化长期的合作伙伴。</w:t>
      </w:r>
    </w:p>
    <w:p>
      <w:pPr>
        <w:pStyle w:val="BodyText"/>
        <w:spacing w:before="6"/>
        <w:ind w:left="2160"/>
      </w:pPr>
      <w:r>
        <w:t>3、标准化、制度化的效劳体系</w:t>
      </w:r>
    </w:p>
    <w:p>
      <w:pPr>
        <w:pStyle w:val="BodyText"/>
        <w:spacing w:before="122" w:line="302" w:lineRule="auto"/>
        <w:ind w:left="1620" w:right="2376" w:firstLine="540"/>
      </w:pPr>
      <w:r>
        <w:rPr>
          <w:spacing w:val="-1"/>
        </w:rPr>
        <w:t>效劳不仅是承诺的问题，而是承诺后怎样执行的问题，一套标准化、制度化的效劳体</w:t>
      </w:r>
      <w:r>
        <w:t>系能够真正实现效劳的量化考核与跟踪，从而到达用户满足度的不断提升。</w:t>
      </w:r>
    </w:p>
    <w:p>
      <w:pPr>
        <w:pStyle w:val="BodyText"/>
        <w:spacing w:before="4"/>
        <w:ind w:left="2340"/>
      </w:pPr>
      <w:r>
        <w:rPr>
          <w:spacing w:val="-11"/>
        </w:rPr>
        <w:t>我们将秉承鼎捷软件“负责任和持续创”的精神，为中小型生产企业信息化建设提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https://d.book118.com/407020102123006025</w:t>
        </w:r>
      </w:hyperlink>
    </w:p>
    <w:p>
      <w:pPr>
        <w:spacing w:after="0"/>
      </w:pPr>
    </w:p>
    <w:sectPr>
      <w:headerReference w:type="default" r:id="rId7"/>
      <w:footerReference w:type="default" r:id="rId8"/>
      <w:pgSz w:w="17860" w:h="25260"/>
      <w:pgMar w:top="1400" w:right="0" w:bottom="1840" w:left="0" w:header="1088" w:footer="1625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37pt;height:15.5pt;margin-top:1170.97pt;margin-left:318.3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鼎捷软件股份</w:t>
                </w:r>
              </w:p>
            </w:txbxContent>
          </v:textbox>
        </v:shape>
      </w:pict>
    </w:r>
    <w:r>
      <w:pict>
        <v:shape id="_x0000_s2051" type="#_x0000_t202" style="width:34.35pt;height:17.9pt;margin-top:1169.07pt;margin-left:507.6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8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-</w:t>
                </w:r>
                <w:r>
                  <w:rPr>
                    <w:rFonts w:ascii="Times New Roman"/>
                    <w:spacing w:val="65"/>
                    <w:sz w:val="2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pacing w:val="4"/>
                    <w:sz w:val="27"/>
                  </w:rPr>
                  <w:t xml:space="preserve"> </w:t>
                </w:r>
                <w:r>
                  <w:rPr>
                    <w:rFonts w:ascii="Times New Roman"/>
                    <w:sz w:val="27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37pt;height:15.5pt;margin-top:1170.97pt;margin-left:318.3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鼎捷软件股份</w:t>
                </w:r>
              </w:p>
            </w:txbxContent>
          </v:textbox>
        </v:shape>
      </w:pict>
    </w:r>
    <w:r>
      <w:pict>
        <v:shape id="_x0000_s2054" type="#_x0000_t202" style="width:34.35pt;height:17.9pt;margin-top:1169.07pt;margin-left:507.6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8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-</w:t>
                </w:r>
                <w:r>
                  <w:rPr>
                    <w:rFonts w:ascii="Times New Roman"/>
                    <w:spacing w:val="65"/>
                    <w:sz w:val="2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pacing w:val="4"/>
                    <w:sz w:val="27"/>
                  </w:rPr>
                  <w:t xml:space="preserve"> </w:t>
                </w:r>
                <w:r>
                  <w:rPr>
                    <w:rFonts w:ascii="Times New Roman"/>
                    <w:sz w:val="27"/>
                  </w:rPr>
                  <w:t>-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1270000</wp:posOffset>
          </wp:positionH>
          <wp:positionV relativeFrom="page">
            <wp:posOffset>850900</wp:posOffset>
          </wp:positionV>
          <wp:extent cx="86741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74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10pt;height:15.5pt;margin-top:53.38pt;margin-left:670.5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易助机械行业方案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1270000</wp:posOffset>
          </wp:positionH>
          <wp:positionV relativeFrom="page">
            <wp:posOffset>850900</wp:posOffset>
          </wp:positionV>
          <wp:extent cx="8674100" cy="38100"/>
          <wp:effectExtent l="0" t="0" r="0" b="0"/>
          <wp:wrapNone/>
          <wp:docPr id="12584541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4541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74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10pt;height:15.5pt;margin-top:53.38pt;margin-left:670.5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易助机械行业方案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E700"/>
    <w:multiLevelType w:val="hybridMultilevel"/>
    <w:tmpl w:val="00000000"/>
    <w:lvl w:ilvl="0">
      <w:start w:val="5"/>
      <w:numFmt w:val="decimal"/>
      <w:lvlText w:val="%1"/>
      <w:lvlJc w:val="left"/>
      <w:pPr>
        <w:ind w:left="2416" w:hanging="7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6" w:hanging="797"/>
        <w:jc w:val="left"/>
      </w:pPr>
      <w:rPr>
        <w:rFonts w:ascii="宋体" w:eastAsia="宋体" w:hAnsi="宋体" w:cs="宋体" w:hint="default"/>
        <w:b/>
        <w:bCs/>
        <w:w w:val="99"/>
        <w:sz w:val="45"/>
        <w:szCs w:val="45"/>
      </w:rPr>
    </w:lvl>
    <w:lvl w:ilvl="2">
      <w:start w:val="1"/>
      <w:numFmt w:val="decimal"/>
      <w:lvlText w:val="%3."/>
      <w:lvlJc w:val="left"/>
      <w:pPr>
        <w:ind w:left="2880" w:hanging="720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620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7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7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02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6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30" w:hanging="720"/>
      </w:pPr>
      <w:rPr>
        <w:rFonts w:hint="default"/>
      </w:rPr>
    </w:lvl>
  </w:abstractNum>
  <w:abstractNum w:abstractNumId="1">
    <w:nsid w:val="177E20D2"/>
    <w:multiLevelType w:val="hybridMultilevel"/>
    <w:tmpl w:val="00000000"/>
    <w:lvl w:ilvl="0">
      <w:start w:val="2"/>
      <w:numFmt w:val="decimal"/>
      <w:lvlText w:val="%1"/>
      <w:lvlJc w:val="left"/>
      <w:pPr>
        <w:ind w:left="2754" w:hanging="11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54" w:hanging="1135"/>
        <w:jc w:val="left"/>
      </w:pPr>
      <w:rPr>
        <w:rFonts w:ascii="宋体" w:eastAsia="宋体" w:hAnsi="宋体" w:cs="宋体" w:hint="default"/>
        <w:b/>
        <w:bCs/>
        <w:spacing w:val="0"/>
        <w:w w:val="99"/>
        <w:sz w:val="45"/>
        <w:szCs w:val="45"/>
      </w:rPr>
    </w:lvl>
    <w:lvl w:ilvl="2">
      <w:start w:val="1"/>
      <w:numFmt w:val="decimal"/>
      <w:lvlText w:val="（%3）"/>
      <w:lvlJc w:val="left"/>
      <w:pPr>
        <w:ind w:left="2250" w:hanging="909"/>
        <w:jc w:val="left"/>
      </w:pPr>
      <w:rPr>
        <w:rFonts w:ascii="宋体" w:eastAsia="宋体" w:hAnsi="宋体" w:cs="宋体" w:hint="default"/>
        <w:spacing w:val="0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6115" w:hanging="9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93" w:hanging="9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70" w:hanging="9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48" w:hanging="9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26" w:hanging="9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04" w:hanging="909"/>
      </w:pPr>
      <w:rPr>
        <w:rFonts w:hint="default"/>
      </w:rPr>
    </w:lvl>
  </w:abstractNum>
  <w:abstractNum w:abstractNumId="2">
    <w:nsid w:val="1B0E3FFB"/>
    <w:multiLevelType w:val="hybridMultilevel"/>
    <w:tmpl w:val="00000000"/>
    <w:lvl w:ilvl="0">
      <w:start w:val="5"/>
      <w:numFmt w:val="decimal"/>
      <w:lvlText w:val="%1"/>
      <w:lvlJc w:val="left"/>
      <w:pPr>
        <w:ind w:left="298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88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955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43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31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07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95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3" w:hanging="738"/>
      </w:pPr>
      <w:rPr>
        <w:rFonts w:hint="default"/>
      </w:rPr>
    </w:lvl>
  </w:abstractNum>
  <w:abstractNum w:abstractNumId="3">
    <w:nsid w:val="2B111B22"/>
    <w:multiLevelType w:val="hybridMultilevel"/>
    <w:tmpl w:val="00000000"/>
    <w:lvl w:ilvl="0">
      <w:start w:val="4"/>
      <w:numFmt w:val="decimal"/>
      <w:lvlText w:val="%1"/>
      <w:lvlJc w:val="left"/>
      <w:pPr>
        <w:ind w:left="2416" w:hanging="7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6" w:hanging="797"/>
        <w:jc w:val="left"/>
      </w:pPr>
      <w:rPr>
        <w:rFonts w:ascii="宋体" w:eastAsia="宋体" w:hAnsi="宋体" w:cs="宋体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2596" w:hanging="977"/>
        <w:jc w:val="left"/>
      </w:pPr>
      <w:rPr>
        <w:rFonts w:hint="default"/>
        <w:b/>
        <w:bCs/>
        <w:w w:val="99"/>
      </w:rPr>
    </w:lvl>
    <w:lvl w:ilvl="3">
      <w:start w:val="0"/>
      <w:numFmt w:val="bullet"/>
      <w:lvlText w:val=""/>
      <w:lvlJc w:val="left"/>
      <w:pPr>
        <w:ind w:left="2888" w:hanging="638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4">
      <w:start w:val="0"/>
      <w:numFmt w:val="bullet"/>
      <w:lvlText w:val="•"/>
      <w:lvlJc w:val="left"/>
      <w:pPr>
        <w:ind w:left="2880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7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3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66" w:hanging="638"/>
      </w:pPr>
      <w:rPr>
        <w:rFonts w:hint="default"/>
      </w:rPr>
    </w:lvl>
  </w:abstractNum>
  <w:abstractNum w:abstractNumId="4">
    <w:nsid w:val="4C29C12B"/>
    <w:multiLevelType w:val="hybridMultilevel"/>
    <w:tmpl w:val="00000000"/>
    <w:lvl w:ilvl="0">
      <w:start w:val="0"/>
      <w:numFmt w:val="bullet"/>
      <w:lvlText w:val=""/>
      <w:lvlJc w:val="left"/>
      <w:pPr>
        <w:ind w:left="2250" w:hanging="631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3819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9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9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5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1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39" w:hanging="631"/>
      </w:pPr>
      <w:rPr>
        <w:rFonts w:hint="default"/>
      </w:rPr>
    </w:lvl>
  </w:abstractNum>
  <w:abstractNum w:abstractNumId="5">
    <w:nsid w:val="4EF6F12F"/>
    <w:multiLevelType w:val="hybridMultilevel"/>
    <w:tmpl w:val="00000000"/>
    <w:lvl w:ilvl="0">
      <w:start w:val="3"/>
      <w:numFmt w:val="decimal"/>
      <w:lvlText w:val="%1"/>
      <w:lvlJc w:val="left"/>
      <w:pPr>
        <w:ind w:left="2978" w:hanging="135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78" w:hanging="135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1358"/>
        <w:jc w:val="left"/>
      </w:pPr>
      <w:rPr>
        <w:rFonts w:hint="default"/>
        <w:b/>
        <w:bCs/>
        <w:spacing w:val="0"/>
        <w:w w:val="99"/>
      </w:rPr>
    </w:lvl>
    <w:lvl w:ilvl="3">
      <w:start w:val="0"/>
      <w:numFmt w:val="bullet"/>
      <w:lvlText w:val=""/>
      <w:lvlJc w:val="left"/>
      <w:pPr>
        <w:ind w:left="2873" w:hanging="630"/>
      </w:pPr>
      <w:rPr>
        <w:rFonts w:hint="default"/>
        <w:w w:val="102"/>
      </w:rPr>
    </w:lvl>
    <w:lvl w:ilvl="4">
      <w:start w:val="0"/>
      <w:numFmt w:val="bullet"/>
      <w:lvlText w:val="•"/>
      <w:lvlJc w:val="left"/>
      <w:pPr>
        <w:ind w:left="669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7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39" w:hanging="630"/>
      </w:pPr>
      <w:rPr>
        <w:rFonts w:hint="default"/>
      </w:rPr>
    </w:lvl>
  </w:abstractNum>
  <w:abstractNum w:abstractNumId="6">
    <w:nsid w:val="504E66D4"/>
    <w:multiLevelType w:val="hybridMultilevel"/>
    <w:tmpl w:val="00000000"/>
    <w:lvl w:ilvl="0">
      <w:start w:val="3"/>
      <w:numFmt w:val="decimal"/>
      <w:lvlText w:val="%1"/>
      <w:lvlJc w:val="left"/>
      <w:pPr>
        <w:ind w:left="2639" w:hanging="10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39" w:hanging="1020"/>
        <w:jc w:val="left"/>
      </w:pPr>
      <w:rPr>
        <w:rFonts w:ascii="宋体" w:eastAsia="宋体" w:hAnsi="宋体" w:cs="宋体" w:hint="default"/>
        <w:b/>
        <w:bCs/>
        <w:spacing w:val="0"/>
        <w:w w:val="99"/>
        <w:sz w:val="45"/>
        <w:szCs w:val="45"/>
      </w:rPr>
    </w:lvl>
    <w:lvl w:ilvl="2">
      <w:start w:val="1"/>
      <w:numFmt w:val="decimal"/>
      <w:lvlText w:val="%3."/>
      <w:lvlJc w:val="left"/>
      <w:pPr>
        <w:ind w:left="2880" w:hanging="612"/>
        <w:jc w:val="left"/>
      </w:pPr>
      <w:rPr>
        <w:rFonts w:ascii="宋体" w:eastAsia="宋体" w:hAnsi="宋体" w:cs="宋体" w:hint="default"/>
        <w:b/>
        <w:bCs/>
        <w:spacing w:val="0"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6208" w:hanging="6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73" w:hanging="6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7" w:hanging="6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02" w:hanging="6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66" w:hanging="6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30" w:hanging="612"/>
      </w:pPr>
      <w:rPr>
        <w:rFonts w:hint="default"/>
      </w:rPr>
    </w:lvl>
  </w:abstractNum>
  <w:abstractNum w:abstractNumId="7">
    <w:nsid w:val="653067C4"/>
    <w:multiLevelType w:val="hybridMultilevel"/>
    <w:tmpl w:val="00000000"/>
    <w:lvl w:ilvl="0">
      <w:start w:val="4"/>
      <w:numFmt w:val="decimal"/>
      <w:lvlText w:val="%1"/>
      <w:lvlJc w:val="left"/>
      <w:pPr>
        <w:ind w:left="298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88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4507" w:hanging="998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7468" w:hanging="9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53" w:hanging="9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37" w:hanging="9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22" w:hanging="9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6" w:hanging="9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90" w:hanging="998"/>
      </w:pPr>
      <w:rPr>
        <w:rFonts w:hint="default"/>
      </w:rPr>
    </w:lvl>
  </w:abstractNum>
  <w:abstractNum w:abstractNumId="8">
    <w:nsid w:val="66FBCC62"/>
    <w:multiLevelType w:val="hybridMultilevel"/>
    <w:tmpl w:val="00000000"/>
    <w:lvl w:ilvl="0">
      <w:start w:val="3"/>
      <w:numFmt w:val="decimal"/>
      <w:lvlText w:val="%1"/>
      <w:lvlJc w:val="left"/>
      <w:pPr>
        <w:ind w:left="1857" w:hanging="238"/>
        <w:jc w:val="left"/>
      </w:pPr>
      <w:rPr>
        <w:rFonts w:ascii="Garamond" w:eastAsia="Garamond" w:hAnsi="Garamond" w:cs="Garamond" w:hint="default"/>
        <w:w w:val="109"/>
        <w:sz w:val="31"/>
        <w:szCs w:val="31"/>
      </w:rPr>
    </w:lvl>
    <w:lvl w:ilvl="1">
      <w:start w:val="1"/>
      <w:numFmt w:val="decimal"/>
      <w:lvlText w:val="%1.%2"/>
      <w:lvlJc w:val="left"/>
      <w:pPr>
        <w:ind w:left="3197" w:hanging="947"/>
        <w:jc w:val="left"/>
      </w:pPr>
      <w:rPr>
        <w:rFonts w:ascii="宋体" w:eastAsia="宋体" w:hAnsi="宋体" w:cs="宋体" w:hint="default"/>
        <w:spacing w:val="0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4867" w:hanging="1358"/>
        <w:jc w:val="left"/>
      </w:pPr>
      <w:rPr>
        <w:rFonts w:ascii="宋体" w:eastAsia="宋体" w:hAnsi="宋体" w:cs="宋体" w:hint="default"/>
        <w:b/>
        <w:bCs/>
        <w:spacing w:val="0"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6484" w:hanging="1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9" w:hanging="1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4" w:hanging="1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59" w:hanging="1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4" w:hanging="1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09" w:hanging="1358"/>
      </w:pPr>
      <w:rPr>
        <w:rFonts w:hint="default"/>
      </w:rPr>
    </w:lvl>
  </w:abstractNum>
  <w:abstractNum w:abstractNumId="9">
    <w:nsid w:val="6A896D26"/>
    <w:multiLevelType w:val="hybridMultilevel"/>
    <w:tmpl w:val="00000000"/>
    <w:lvl w:ilvl="0">
      <w:start w:val="2"/>
      <w:numFmt w:val="decimal"/>
      <w:lvlText w:val="%1"/>
      <w:lvlJc w:val="left"/>
      <w:pPr>
        <w:ind w:left="3301" w:hanging="10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01" w:hanging="1051"/>
        <w:jc w:val="left"/>
      </w:pPr>
      <w:rPr>
        <w:rFonts w:ascii="宋体" w:eastAsia="宋体" w:hAnsi="宋体" w:cs="宋体" w:hint="default"/>
        <w:spacing w:val="-4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6211" w:hanging="10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67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23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79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35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91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47" w:hanging="1051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242"/>
      <w:ind w:left="1620"/>
    </w:pPr>
    <w:rPr>
      <w:rFonts w:ascii="宋体" w:eastAsia="宋体" w:hAnsi="宋体" w:cs="宋体"/>
      <w:sz w:val="31"/>
      <w:szCs w:val="31"/>
    </w:rPr>
  </w:style>
  <w:style w:type="paragraph" w:customStyle="1" w:styleId="TOC2">
    <w:name w:val="TOC 2"/>
    <w:basedOn w:val="Normal"/>
    <w:uiPriority w:val="1"/>
    <w:qFormat/>
    <w:pPr>
      <w:spacing w:before="141"/>
      <w:ind w:left="2988" w:hanging="739"/>
    </w:pPr>
    <w:rPr>
      <w:rFonts w:ascii="宋体" w:eastAsia="宋体" w:hAnsi="宋体" w:cs="宋体"/>
      <w:sz w:val="42"/>
      <w:szCs w:val="42"/>
    </w:rPr>
  </w:style>
  <w:style w:type="paragraph" w:customStyle="1" w:styleId="TOC3">
    <w:name w:val="TOC 3"/>
    <w:basedOn w:val="Normal"/>
    <w:uiPriority w:val="1"/>
    <w:qFormat/>
    <w:pPr>
      <w:spacing w:before="169"/>
      <w:ind w:left="4507" w:hanging="998"/>
    </w:pPr>
    <w:rPr>
      <w:rFonts w:ascii="宋体" w:eastAsia="宋体" w:hAnsi="宋体" w:cs="宋体"/>
      <w:b/>
      <w:bCs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2416" w:hanging="797"/>
      <w:outlineLvl w:val="1"/>
    </w:pPr>
    <w:rPr>
      <w:rFonts w:ascii="宋体" w:eastAsia="宋体" w:hAnsi="宋体" w:cs="宋体"/>
      <w:b/>
      <w:bCs/>
      <w:sz w:val="45"/>
      <w:szCs w:val="45"/>
    </w:rPr>
  </w:style>
  <w:style w:type="paragraph" w:customStyle="1" w:styleId="Heading2">
    <w:name w:val="Heading 2"/>
    <w:basedOn w:val="Normal"/>
    <w:uiPriority w:val="1"/>
    <w:qFormat/>
    <w:pPr>
      <w:ind w:left="1620" w:hanging="1895"/>
      <w:outlineLvl w:val="2"/>
    </w:pPr>
    <w:rPr>
      <w:rFonts w:ascii="宋体" w:eastAsia="宋体" w:hAnsi="宋体" w:cs="宋体"/>
      <w:b/>
      <w:bCs/>
      <w:sz w:val="42"/>
      <w:szCs w:val="42"/>
    </w:rPr>
  </w:style>
  <w:style w:type="paragraph" w:customStyle="1" w:styleId="Heading3">
    <w:name w:val="Heading 3"/>
    <w:basedOn w:val="Normal"/>
    <w:uiPriority w:val="1"/>
    <w:qFormat/>
    <w:pPr>
      <w:ind w:left="1620"/>
      <w:outlineLvl w:val="3"/>
    </w:pPr>
    <w:rPr>
      <w:rFonts w:ascii="宋体" w:eastAsia="宋体" w:hAnsi="宋体" w:cs="宋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before="32"/>
      <w:ind w:right="715"/>
      <w:jc w:val="center"/>
    </w:pPr>
    <w:rPr>
      <w:rFonts w:ascii="宋体" w:eastAsia="宋体" w:hAnsi="宋体" w:cs="宋体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880" w:hanging="63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56"/>
      <w:ind w:left="50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40702010212300602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2023-10-13T09:51:04Z</dcterms:created>
  <dcterms:modified xsi:type="dcterms:W3CDTF">2023-10-13T09:51:04Z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2023-05-14T00:00:00Z</vt:filetime>
  </property>
  <property fmtid="{D5CDD505-2E9C-101B-9397-08002B2CF9AE}" pid="3" name="LastSaved">
    <vt:filetime>2023-10-13T00:00:00Z</vt:filetime>
  </property>
</Properties>
</file>