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光纤和特种光缆项目规划设计纲要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4" w:history="1">
        <w:r>
          <w:rPr>
            <w:rFonts w:ascii="仿宋" w:eastAsia="仿宋" w:hAnsi="仿宋" w:cs="仿宋" w:hint="eastAsia"/>
            <w:lang w:eastAsia="zh-CN"/>
          </w:rPr>
          <w:t>序言</w:t>
        </w:r>
        <w:r>
          <w:tab/>
        </w:r>
        <w:r>
          <w:fldChar w:fldCharType="begin"/>
        </w:r>
        <w:r>
          <w:instrText xml:space="preserve"> PAGEREF _Toc19304 \h </w:instrText>
        </w:r>
        <w:r>
          <w:fldChar w:fldCharType="separate"/>
        </w:r>
        <w:r>
          <w:t>3</w:t>
        </w:r>
        <w:r>
          <w:fldChar w:fldCharType="end"/>
        </w:r>
      </w:hyperlink>
    </w:p>
    <w:p>
      <w:pPr>
        <w:pStyle w:val="TOC1"/>
        <w:tabs>
          <w:tab w:val="right" w:leader="dot" w:pos="8306"/>
        </w:tabs>
      </w:pPr>
      <w:hyperlink w:anchor="_Toc11306" w:history="1">
        <w:r>
          <w:rPr>
            <w:rFonts w:ascii="仿宋" w:eastAsia="仿宋" w:hAnsi="仿宋" w:cs="仿宋" w:hint="eastAsia"/>
            <w:lang w:eastAsia="zh-CN"/>
          </w:rPr>
          <w:t>一、光纤和特种光缆项目绩效评估</w:t>
        </w:r>
        <w:r>
          <w:tab/>
        </w:r>
        <w:r>
          <w:fldChar w:fldCharType="begin"/>
        </w:r>
        <w:r>
          <w:instrText xml:space="preserve"> PAGEREF _Toc11306 \h </w:instrText>
        </w:r>
        <w:r>
          <w:fldChar w:fldCharType="separate"/>
        </w:r>
        <w:r>
          <w:t>3</w:t>
        </w:r>
        <w:r>
          <w:fldChar w:fldCharType="end"/>
        </w:r>
      </w:hyperlink>
    </w:p>
    <w:p>
      <w:pPr>
        <w:pStyle w:val="TOC2"/>
        <w:tabs>
          <w:tab w:val="right" w:leader="dot" w:pos="8306"/>
        </w:tabs>
      </w:pPr>
      <w:hyperlink w:anchor="_Toc9746" w:history="1">
        <w:r>
          <w:rPr>
            <w:rFonts w:ascii="仿宋" w:eastAsia="仿宋" w:hAnsi="仿宋" w:cs="仿宋" w:hint="eastAsia"/>
            <w:lang w:eastAsia="zh-CN"/>
          </w:rPr>
          <w:t>(一)、绩效评估指标</w:t>
        </w:r>
        <w:r>
          <w:tab/>
        </w:r>
        <w:r>
          <w:fldChar w:fldCharType="begin"/>
        </w:r>
        <w:r>
          <w:instrText xml:space="preserve"> PAGEREF _Toc9746 \h </w:instrText>
        </w:r>
        <w:r>
          <w:fldChar w:fldCharType="separate"/>
        </w:r>
        <w:r>
          <w:t>3</w:t>
        </w:r>
        <w:r>
          <w:fldChar w:fldCharType="end"/>
        </w:r>
      </w:hyperlink>
    </w:p>
    <w:p>
      <w:pPr>
        <w:pStyle w:val="TOC2"/>
        <w:tabs>
          <w:tab w:val="right" w:leader="dot" w:pos="8306"/>
        </w:tabs>
      </w:pPr>
      <w:hyperlink w:anchor="_Toc13122" w:history="1">
        <w:r>
          <w:rPr>
            <w:rFonts w:ascii="仿宋" w:eastAsia="仿宋" w:hAnsi="仿宋" w:cs="仿宋" w:hint="eastAsia"/>
            <w:lang w:eastAsia="zh-CN"/>
          </w:rPr>
          <w:t>(二)、绩效评估方法</w:t>
        </w:r>
        <w:r>
          <w:tab/>
        </w:r>
        <w:r>
          <w:fldChar w:fldCharType="begin"/>
        </w:r>
        <w:r>
          <w:instrText xml:space="preserve"> PAGEREF _Toc13122 \h </w:instrText>
        </w:r>
        <w:r>
          <w:fldChar w:fldCharType="separate"/>
        </w:r>
        <w:r>
          <w:t>4</w:t>
        </w:r>
        <w:r>
          <w:fldChar w:fldCharType="end"/>
        </w:r>
      </w:hyperlink>
    </w:p>
    <w:p>
      <w:pPr>
        <w:pStyle w:val="TOC2"/>
        <w:tabs>
          <w:tab w:val="right" w:leader="dot" w:pos="8306"/>
        </w:tabs>
      </w:pPr>
      <w:hyperlink w:anchor="_Toc27817" w:history="1">
        <w:r>
          <w:rPr>
            <w:rFonts w:ascii="仿宋" w:eastAsia="仿宋" w:hAnsi="仿宋" w:cs="仿宋" w:hint="eastAsia"/>
            <w:lang w:eastAsia="zh-CN"/>
          </w:rPr>
          <w:t>(三)、绩效评估周期</w:t>
        </w:r>
        <w:r>
          <w:tab/>
        </w:r>
        <w:r>
          <w:fldChar w:fldCharType="begin"/>
        </w:r>
        <w:r>
          <w:instrText xml:space="preserve"> PAGEREF _Toc27817 \h </w:instrText>
        </w:r>
        <w:r>
          <w:fldChar w:fldCharType="separate"/>
        </w:r>
        <w:r>
          <w:t>5</w:t>
        </w:r>
        <w:r>
          <w:fldChar w:fldCharType="end"/>
        </w:r>
      </w:hyperlink>
    </w:p>
    <w:p>
      <w:pPr>
        <w:pStyle w:val="TOC1"/>
        <w:tabs>
          <w:tab w:val="right" w:leader="dot" w:pos="8306"/>
        </w:tabs>
      </w:pPr>
      <w:hyperlink w:anchor="_Toc26752" w:history="1">
        <w:r>
          <w:rPr>
            <w:rFonts w:ascii="仿宋" w:eastAsia="仿宋" w:hAnsi="仿宋" w:cs="仿宋" w:hint="eastAsia"/>
            <w:lang w:eastAsia="zh-CN"/>
          </w:rPr>
          <w:t>二、工艺说明</w:t>
        </w:r>
        <w:r>
          <w:tab/>
        </w:r>
        <w:r>
          <w:fldChar w:fldCharType="begin"/>
        </w:r>
        <w:r>
          <w:instrText xml:space="preserve"> PAGEREF _Toc26752 \h </w:instrText>
        </w:r>
        <w:r>
          <w:fldChar w:fldCharType="separate"/>
        </w:r>
        <w:r>
          <w:t>6</w:t>
        </w:r>
        <w:r>
          <w:fldChar w:fldCharType="end"/>
        </w:r>
      </w:hyperlink>
    </w:p>
    <w:p>
      <w:pPr>
        <w:pStyle w:val="TOC2"/>
        <w:tabs>
          <w:tab w:val="right" w:leader="dot" w:pos="8306"/>
        </w:tabs>
      </w:pPr>
      <w:hyperlink w:anchor="_Toc23553" w:history="1">
        <w:r>
          <w:rPr>
            <w:rFonts w:ascii="仿宋" w:eastAsia="仿宋" w:hAnsi="仿宋" w:cs="仿宋" w:hint="eastAsia"/>
            <w:lang w:eastAsia="zh-CN"/>
          </w:rPr>
          <w:t>(一)、技术管理特点</w:t>
        </w:r>
        <w:r>
          <w:tab/>
        </w:r>
        <w:r>
          <w:fldChar w:fldCharType="begin"/>
        </w:r>
        <w:r>
          <w:instrText xml:space="preserve"> PAGEREF _Toc23553 \h </w:instrText>
        </w:r>
        <w:r>
          <w:fldChar w:fldCharType="separate"/>
        </w:r>
        <w:r>
          <w:t>6</w:t>
        </w:r>
        <w:r>
          <w:fldChar w:fldCharType="end"/>
        </w:r>
      </w:hyperlink>
    </w:p>
    <w:p>
      <w:pPr>
        <w:pStyle w:val="TOC2"/>
        <w:tabs>
          <w:tab w:val="right" w:leader="dot" w:pos="8306"/>
        </w:tabs>
      </w:pPr>
      <w:hyperlink w:anchor="_Toc28381" w:history="1">
        <w:r>
          <w:rPr>
            <w:rFonts w:ascii="仿宋" w:eastAsia="仿宋" w:hAnsi="仿宋" w:cs="仿宋" w:hint="eastAsia"/>
            <w:lang w:eastAsia="zh-CN"/>
          </w:rPr>
          <w:t>(二)、光纤和特种光缆项目工艺技术设计方案</w:t>
        </w:r>
        <w:r>
          <w:tab/>
        </w:r>
        <w:r>
          <w:fldChar w:fldCharType="begin"/>
        </w:r>
        <w:r>
          <w:instrText xml:space="preserve"> PAGEREF _Toc28381 \h </w:instrText>
        </w:r>
        <w:r>
          <w:fldChar w:fldCharType="separate"/>
        </w:r>
        <w:r>
          <w:t>7</w:t>
        </w:r>
        <w:r>
          <w:fldChar w:fldCharType="end"/>
        </w:r>
      </w:hyperlink>
    </w:p>
    <w:p>
      <w:pPr>
        <w:pStyle w:val="TOC2"/>
        <w:tabs>
          <w:tab w:val="right" w:leader="dot" w:pos="8306"/>
        </w:tabs>
      </w:pPr>
      <w:hyperlink w:anchor="_Toc18144" w:history="1">
        <w:r>
          <w:rPr>
            <w:rFonts w:ascii="仿宋" w:eastAsia="仿宋" w:hAnsi="仿宋" w:cs="仿宋" w:hint="eastAsia"/>
            <w:lang w:eastAsia="zh-CN"/>
          </w:rPr>
          <w:t>(三)、设备选型方案</w:t>
        </w:r>
        <w:r>
          <w:tab/>
        </w:r>
        <w:r>
          <w:fldChar w:fldCharType="begin"/>
        </w:r>
        <w:r>
          <w:instrText xml:space="preserve"> PAGEREF _Toc18144 \h </w:instrText>
        </w:r>
        <w:r>
          <w:fldChar w:fldCharType="separate"/>
        </w:r>
        <w:r>
          <w:t>9</w:t>
        </w:r>
        <w:r>
          <w:fldChar w:fldCharType="end"/>
        </w:r>
      </w:hyperlink>
    </w:p>
    <w:p>
      <w:pPr>
        <w:pStyle w:val="TOC1"/>
        <w:tabs>
          <w:tab w:val="right" w:leader="dot" w:pos="8306"/>
        </w:tabs>
      </w:pPr>
      <w:hyperlink w:anchor="_Toc17161" w:history="1">
        <w:r>
          <w:rPr>
            <w:rFonts w:ascii="仿宋" w:eastAsia="仿宋" w:hAnsi="仿宋" w:cs="仿宋" w:hint="eastAsia"/>
            <w:lang w:eastAsia="zh-CN"/>
          </w:rPr>
          <w:t>三、市场分析、调研</w:t>
        </w:r>
        <w:r>
          <w:tab/>
        </w:r>
        <w:r>
          <w:fldChar w:fldCharType="begin"/>
        </w:r>
        <w:r>
          <w:instrText xml:space="preserve"> PAGEREF _Toc17161 \h </w:instrText>
        </w:r>
        <w:r>
          <w:fldChar w:fldCharType="separate"/>
        </w:r>
        <w:r>
          <w:t>10</w:t>
        </w:r>
        <w:r>
          <w:fldChar w:fldCharType="end"/>
        </w:r>
      </w:hyperlink>
    </w:p>
    <w:p>
      <w:pPr>
        <w:pStyle w:val="TOC2"/>
        <w:tabs>
          <w:tab w:val="right" w:leader="dot" w:pos="8306"/>
        </w:tabs>
      </w:pPr>
      <w:hyperlink w:anchor="_Toc24616" w:history="1">
        <w:r>
          <w:rPr>
            <w:rFonts w:ascii="仿宋" w:eastAsia="仿宋" w:hAnsi="仿宋" w:cs="仿宋" w:hint="eastAsia"/>
            <w:lang w:eastAsia="zh-CN"/>
          </w:rPr>
          <w:t>(一)、光纤和特种光缆行业分析</w:t>
        </w:r>
        <w:r>
          <w:tab/>
        </w:r>
        <w:r>
          <w:fldChar w:fldCharType="begin"/>
        </w:r>
        <w:r>
          <w:instrText xml:space="preserve"> PAGEREF _Toc24616 \h </w:instrText>
        </w:r>
        <w:r>
          <w:fldChar w:fldCharType="separate"/>
        </w:r>
        <w:r>
          <w:t>10</w:t>
        </w:r>
        <w:r>
          <w:fldChar w:fldCharType="end"/>
        </w:r>
      </w:hyperlink>
    </w:p>
    <w:p>
      <w:pPr>
        <w:pStyle w:val="TOC2"/>
        <w:tabs>
          <w:tab w:val="right" w:leader="dot" w:pos="8306"/>
        </w:tabs>
      </w:pPr>
      <w:hyperlink w:anchor="_Toc14698" w:history="1">
        <w:r>
          <w:rPr>
            <w:rFonts w:ascii="仿宋" w:eastAsia="仿宋" w:hAnsi="仿宋" w:cs="仿宋" w:hint="eastAsia"/>
            <w:lang w:eastAsia="zh-CN"/>
          </w:rPr>
          <w:t>(二)、光纤和特种光缆市场分析预测</w:t>
        </w:r>
        <w:r>
          <w:tab/>
        </w:r>
        <w:r>
          <w:fldChar w:fldCharType="begin"/>
        </w:r>
        <w:r>
          <w:instrText xml:space="preserve"> PAGEREF _Toc14698 \h </w:instrText>
        </w:r>
        <w:r>
          <w:fldChar w:fldCharType="separate"/>
        </w:r>
        <w:r>
          <w:t>11</w:t>
        </w:r>
        <w:r>
          <w:fldChar w:fldCharType="end"/>
        </w:r>
      </w:hyperlink>
    </w:p>
    <w:p>
      <w:pPr>
        <w:pStyle w:val="TOC1"/>
        <w:tabs>
          <w:tab w:val="right" w:leader="dot" w:pos="8306"/>
        </w:tabs>
      </w:pPr>
      <w:hyperlink w:anchor="_Toc11124" w:history="1">
        <w:r>
          <w:rPr>
            <w:rFonts w:ascii="仿宋" w:eastAsia="仿宋" w:hAnsi="仿宋" w:cs="仿宋" w:hint="eastAsia"/>
            <w:lang w:eastAsia="zh-CN"/>
          </w:rPr>
          <w:t>四、光纤和特种光缆项目可持续发展</w:t>
        </w:r>
        <w:r>
          <w:tab/>
        </w:r>
        <w:r>
          <w:fldChar w:fldCharType="begin"/>
        </w:r>
        <w:r>
          <w:instrText xml:space="preserve"> PAGEREF _Toc11124 \h </w:instrText>
        </w:r>
        <w:r>
          <w:fldChar w:fldCharType="separate"/>
        </w:r>
        <w:r>
          <w:t>12</w:t>
        </w:r>
        <w:r>
          <w:fldChar w:fldCharType="end"/>
        </w:r>
      </w:hyperlink>
    </w:p>
    <w:p>
      <w:pPr>
        <w:pStyle w:val="TOC2"/>
        <w:tabs>
          <w:tab w:val="right" w:leader="dot" w:pos="8306"/>
        </w:tabs>
      </w:pPr>
      <w:hyperlink w:anchor="_Toc27863" w:history="1">
        <w:r>
          <w:rPr>
            <w:rFonts w:ascii="仿宋" w:eastAsia="仿宋" w:hAnsi="仿宋" w:cs="仿宋" w:hint="eastAsia"/>
            <w:lang w:eastAsia="zh-CN"/>
          </w:rPr>
          <w:t>(一)、可持续战略与实践</w:t>
        </w:r>
        <w:r>
          <w:tab/>
        </w:r>
        <w:r>
          <w:fldChar w:fldCharType="begin"/>
        </w:r>
        <w:r>
          <w:instrText xml:space="preserve"> PAGEREF _Toc27863 \h </w:instrText>
        </w:r>
        <w:r>
          <w:fldChar w:fldCharType="separate"/>
        </w:r>
        <w:r>
          <w:t>12</w:t>
        </w:r>
        <w:r>
          <w:fldChar w:fldCharType="end"/>
        </w:r>
      </w:hyperlink>
    </w:p>
    <w:p>
      <w:pPr>
        <w:pStyle w:val="TOC2"/>
        <w:tabs>
          <w:tab w:val="right" w:leader="dot" w:pos="8306"/>
        </w:tabs>
      </w:pPr>
      <w:hyperlink w:anchor="_Toc28504" w:history="1">
        <w:r>
          <w:rPr>
            <w:rFonts w:ascii="仿宋" w:eastAsia="仿宋" w:hAnsi="仿宋" w:cs="仿宋" w:hint="eastAsia"/>
            <w:lang w:eastAsia="zh-CN"/>
          </w:rPr>
          <w:t>(二)、环保与社会责任</w:t>
        </w:r>
        <w:r>
          <w:tab/>
        </w:r>
        <w:r>
          <w:fldChar w:fldCharType="begin"/>
        </w:r>
        <w:r>
          <w:instrText xml:space="preserve"> PAGEREF _Toc28504 \h </w:instrText>
        </w:r>
        <w:r>
          <w:fldChar w:fldCharType="separate"/>
        </w:r>
        <w:r>
          <w:t>12</w:t>
        </w:r>
        <w:r>
          <w:fldChar w:fldCharType="end"/>
        </w:r>
      </w:hyperlink>
    </w:p>
    <w:p>
      <w:pPr>
        <w:pStyle w:val="TOC1"/>
        <w:tabs>
          <w:tab w:val="right" w:leader="dot" w:pos="8306"/>
        </w:tabs>
      </w:pPr>
      <w:hyperlink w:anchor="_Toc11332" w:history="1">
        <w:r>
          <w:rPr>
            <w:rFonts w:ascii="仿宋" w:eastAsia="仿宋" w:hAnsi="仿宋" w:cs="仿宋" w:hint="eastAsia"/>
            <w:lang w:eastAsia="zh-CN"/>
          </w:rPr>
          <w:t>五、光纤和特种光缆项目土建工程</w:t>
        </w:r>
        <w:r>
          <w:tab/>
        </w:r>
        <w:r>
          <w:fldChar w:fldCharType="begin"/>
        </w:r>
        <w:r>
          <w:instrText xml:space="preserve"> PAGEREF _Toc11332 \h </w:instrText>
        </w:r>
        <w:r>
          <w:fldChar w:fldCharType="separate"/>
        </w:r>
        <w:r>
          <w:t>13</w:t>
        </w:r>
        <w:r>
          <w:fldChar w:fldCharType="end"/>
        </w:r>
      </w:hyperlink>
    </w:p>
    <w:p>
      <w:pPr>
        <w:pStyle w:val="TOC2"/>
        <w:tabs>
          <w:tab w:val="right" w:leader="dot" w:pos="8306"/>
        </w:tabs>
      </w:pPr>
      <w:hyperlink w:anchor="_Toc7910" w:history="1">
        <w:r>
          <w:rPr>
            <w:rFonts w:ascii="仿宋" w:eastAsia="仿宋" w:hAnsi="仿宋" w:cs="仿宋" w:hint="eastAsia"/>
            <w:lang w:eastAsia="zh-CN"/>
          </w:rPr>
          <w:t>(一)、建筑工程设计原则</w:t>
        </w:r>
        <w:r>
          <w:tab/>
        </w:r>
        <w:r>
          <w:fldChar w:fldCharType="begin"/>
        </w:r>
        <w:r>
          <w:instrText xml:space="preserve"> PAGEREF _Toc7910 \h </w:instrText>
        </w:r>
        <w:r>
          <w:fldChar w:fldCharType="separate"/>
        </w:r>
        <w:r>
          <w:t>13</w:t>
        </w:r>
        <w:r>
          <w:fldChar w:fldCharType="end"/>
        </w:r>
      </w:hyperlink>
    </w:p>
    <w:p>
      <w:pPr>
        <w:pStyle w:val="TOC2"/>
        <w:tabs>
          <w:tab w:val="right" w:leader="dot" w:pos="8306"/>
        </w:tabs>
      </w:pPr>
      <w:hyperlink w:anchor="_Toc9919" w:history="1">
        <w:r>
          <w:rPr>
            <w:rFonts w:ascii="仿宋" w:eastAsia="仿宋" w:hAnsi="仿宋" w:cs="仿宋" w:hint="eastAsia"/>
            <w:lang w:eastAsia="zh-CN"/>
          </w:rPr>
          <w:t>(二)、土建工程设计年限及安全等级</w:t>
        </w:r>
        <w:r>
          <w:tab/>
        </w:r>
        <w:r>
          <w:fldChar w:fldCharType="begin"/>
        </w:r>
        <w:r>
          <w:instrText xml:space="preserve"> PAGEREF _Toc9919 \h </w:instrText>
        </w:r>
        <w:r>
          <w:fldChar w:fldCharType="separate"/>
        </w:r>
        <w:r>
          <w:t>15</w:t>
        </w:r>
        <w:r>
          <w:fldChar w:fldCharType="end"/>
        </w:r>
      </w:hyperlink>
    </w:p>
    <w:p>
      <w:pPr>
        <w:pStyle w:val="TOC2"/>
        <w:tabs>
          <w:tab w:val="right" w:leader="dot" w:pos="8306"/>
        </w:tabs>
      </w:pPr>
      <w:hyperlink w:anchor="_Toc7211" w:history="1">
        <w:r>
          <w:rPr>
            <w:rFonts w:ascii="仿宋" w:eastAsia="仿宋" w:hAnsi="仿宋" w:cs="仿宋" w:hint="eastAsia"/>
            <w:lang w:eastAsia="zh-CN"/>
          </w:rPr>
          <w:t>(三)、建筑工程设计总体要求</w:t>
        </w:r>
        <w:r>
          <w:tab/>
        </w:r>
        <w:r>
          <w:fldChar w:fldCharType="begin"/>
        </w:r>
        <w:r>
          <w:instrText xml:space="preserve"> PAGEREF _Toc7211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(四)、土建工程建设指标</w:t>
        </w:r>
        <w:r>
          <w:tab/>
        </w:r>
        <w:r>
          <w:fldChar w:fldCharType="begin"/>
        </w:r>
        <w:r>
          <w:instrText xml:space="preserve"> PAGEREF _Toc20590 \h </w:instrText>
        </w:r>
        <w:r>
          <w:fldChar w:fldCharType="separate"/>
        </w:r>
        <w:r>
          <w:t>16</w:t>
        </w:r>
        <w:r>
          <w:fldChar w:fldCharType="end"/>
        </w:r>
      </w:hyperlink>
    </w:p>
    <w:p>
      <w:pPr>
        <w:pStyle w:val="TOC1"/>
        <w:tabs>
          <w:tab w:val="right" w:leader="dot" w:pos="8306"/>
        </w:tabs>
      </w:pPr>
      <w:hyperlink w:anchor="_Toc958" w:history="1">
        <w:r>
          <w:rPr>
            <w:rFonts w:ascii="仿宋" w:eastAsia="仿宋" w:hAnsi="仿宋" w:cs="仿宋" w:hint="eastAsia"/>
            <w:lang w:eastAsia="zh-CN"/>
          </w:rPr>
          <w:t>六、光纤和特种光缆项目选址可行性分析</w:t>
        </w:r>
        <w:r>
          <w:tab/>
        </w:r>
        <w:r>
          <w:fldChar w:fldCharType="begin"/>
        </w:r>
        <w:r>
          <w:instrText xml:space="preserve"> PAGEREF _Toc958 \h </w:instrText>
        </w:r>
        <w:r>
          <w:fldChar w:fldCharType="separate"/>
        </w:r>
        <w:r>
          <w:t>17</w:t>
        </w:r>
        <w:r>
          <w:fldChar w:fldCharType="end"/>
        </w:r>
      </w:hyperlink>
    </w:p>
    <w:p>
      <w:pPr>
        <w:pStyle w:val="TOC2"/>
        <w:tabs>
          <w:tab w:val="right" w:leader="dot" w:pos="8306"/>
        </w:tabs>
      </w:pPr>
      <w:hyperlink w:anchor="_Toc4210" w:history="1">
        <w:r>
          <w:rPr>
            <w:rFonts w:ascii="仿宋" w:eastAsia="仿宋" w:hAnsi="仿宋" w:cs="仿宋" w:hint="eastAsia"/>
            <w:lang w:eastAsia="zh-CN"/>
          </w:rPr>
          <w:t>(一)、光纤和特种光缆项目选址</w:t>
        </w:r>
        <w:r>
          <w:tab/>
        </w:r>
        <w:r>
          <w:fldChar w:fldCharType="begin"/>
        </w:r>
        <w:r>
          <w:instrText xml:space="preserve"> PAGEREF _Toc4210 \h </w:instrText>
        </w:r>
        <w:r>
          <w:fldChar w:fldCharType="separate"/>
        </w:r>
        <w:r>
          <w:t>17</w:t>
        </w:r>
        <w:r>
          <w:fldChar w:fldCharType="end"/>
        </w:r>
      </w:hyperlink>
    </w:p>
    <w:p>
      <w:pPr>
        <w:pStyle w:val="TOC2"/>
        <w:tabs>
          <w:tab w:val="right" w:leader="dot" w:pos="8306"/>
        </w:tabs>
      </w:pPr>
      <w:hyperlink w:anchor="_Toc29080" w:history="1">
        <w:r>
          <w:rPr>
            <w:rFonts w:ascii="仿宋" w:eastAsia="仿宋" w:hAnsi="仿宋" w:cs="仿宋" w:hint="eastAsia"/>
            <w:lang w:eastAsia="zh-CN"/>
          </w:rPr>
          <w:t>(二)、用地控制指标</w:t>
        </w:r>
        <w:r>
          <w:tab/>
        </w:r>
        <w:r>
          <w:fldChar w:fldCharType="begin"/>
        </w:r>
        <w:r>
          <w:instrText xml:space="preserve"> PAGEREF _Toc29080 \h </w:instrText>
        </w:r>
        <w:r>
          <w:fldChar w:fldCharType="separate"/>
        </w:r>
        <w:r>
          <w:t>17</w:t>
        </w:r>
        <w:r>
          <w:fldChar w:fldCharType="end"/>
        </w:r>
      </w:hyperlink>
    </w:p>
    <w:p>
      <w:pPr>
        <w:pStyle w:val="TOC2"/>
        <w:tabs>
          <w:tab w:val="right" w:leader="dot" w:pos="8306"/>
        </w:tabs>
      </w:pPr>
      <w:hyperlink w:anchor="_Toc1748" w:history="1">
        <w:r>
          <w:rPr>
            <w:rFonts w:ascii="仿宋" w:eastAsia="仿宋" w:hAnsi="仿宋" w:cs="仿宋" w:hint="eastAsia"/>
            <w:lang w:eastAsia="zh-CN"/>
          </w:rPr>
          <w:t>(三)、节约用地措施</w:t>
        </w:r>
        <w:r>
          <w:tab/>
        </w:r>
        <w:r>
          <w:fldChar w:fldCharType="begin"/>
        </w:r>
        <w:r>
          <w:instrText xml:space="preserve"> PAGEREF _Toc1748 \h </w:instrText>
        </w:r>
        <w:r>
          <w:fldChar w:fldCharType="separate"/>
        </w:r>
        <w:r>
          <w:t>19</w:t>
        </w:r>
        <w:r>
          <w:fldChar w:fldCharType="end"/>
        </w:r>
      </w:hyperlink>
    </w:p>
    <w:p>
      <w:pPr>
        <w:pStyle w:val="TOC2"/>
        <w:tabs>
          <w:tab w:val="right" w:leader="dot" w:pos="8306"/>
        </w:tabs>
      </w:pPr>
      <w:hyperlink w:anchor="_Toc29126" w:history="1">
        <w:r>
          <w:rPr>
            <w:rFonts w:ascii="仿宋" w:eastAsia="仿宋" w:hAnsi="仿宋" w:cs="仿宋" w:hint="eastAsia"/>
            <w:lang w:eastAsia="zh-CN"/>
          </w:rPr>
          <w:t>(四)、总图布置方案</w:t>
        </w:r>
        <w:r>
          <w:tab/>
        </w:r>
        <w:r>
          <w:fldChar w:fldCharType="begin"/>
        </w:r>
        <w:r>
          <w:instrText xml:space="preserve"> PAGEREF _Toc29126 \h </w:instrText>
        </w:r>
        <w:r>
          <w:fldChar w:fldCharType="separate"/>
        </w:r>
        <w:r>
          <w:t>20</w:t>
        </w:r>
        <w:r>
          <w:fldChar w:fldCharType="end"/>
        </w:r>
      </w:hyperlink>
    </w:p>
    <w:p>
      <w:pPr>
        <w:pStyle w:val="TOC2"/>
        <w:tabs>
          <w:tab w:val="right" w:leader="dot" w:pos="8306"/>
        </w:tabs>
      </w:pPr>
      <w:hyperlink w:anchor="_Toc29418" w:history="1">
        <w:r>
          <w:rPr>
            <w:rFonts w:ascii="仿宋" w:eastAsia="仿宋" w:hAnsi="仿宋" w:cs="仿宋" w:hint="eastAsia"/>
            <w:lang w:eastAsia="zh-CN"/>
          </w:rPr>
          <w:t>(五)、选址综合评价</w:t>
        </w:r>
        <w:r>
          <w:tab/>
        </w:r>
        <w:r>
          <w:fldChar w:fldCharType="begin"/>
        </w:r>
        <w:r>
          <w:instrText xml:space="preserve"> PAGEREF _Toc29418 \h </w:instrText>
        </w:r>
        <w:r>
          <w:fldChar w:fldCharType="separate"/>
        </w:r>
        <w:r>
          <w:t>21</w:t>
        </w:r>
        <w:r>
          <w:fldChar w:fldCharType="end"/>
        </w:r>
      </w:hyperlink>
    </w:p>
    <w:p>
      <w:pPr>
        <w:pStyle w:val="TOC1"/>
        <w:tabs>
          <w:tab w:val="right" w:leader="dot" w:pos="8306"/>
        </w:tabs>
      </w:pPr>
      <w:hyperlink w:anchor="_Toc9156" w:history="1">
        <w:r>
          <w:rPr>
            <w:rFonts w:ascii="仿宋" w:eastAsia="仿宋" w:hAnsi="仿宋" w:cs="仿宋" w:hint="eastAsia"/>
            <w:lang w:eastAsia="zh-CN"/>
          </w:rPr>
          <w:t>七、光纤和特种光缆项目风险管理</w:t>
        </w:r>
        <w:r>
          <w:tab/>
        </w:r>
        <w:r>
          <w:fldChar w:fldCharType="begin"/>
        </w:r>
        <w:r>
          <w:instrText xml:space="preserve"> PAGEREF _Toc9156 \h </w:instrText>
        </w:r>
        <w:r>
          <w:fldChar w:fldCharType="separate"/>
        </w:r>
        <w:r>
          <w:t>22</w:t>
        </w:r>
        <w:r>
          <w:fldChar w:fldCharType="end"/>
        </w:r>
      </w:hyperlink>
    </w:p>
    <w:p>
      <w:pPr>
        <w:pStyle w:val="TOC2"/>
        <w:tabs>
          <w:tab w:val="right" w:leader="dot" w:pos="8306"/>
        </w:tabs>
      </w:pPr>
      <w:hyperlink w:anchor="_Toc17876" w:history="1">
        <w:r>
          <w:rPr>
            <w:rFonts w:ascii="仿宋" w:eastAsia="仿宋" w:hAnsi="仿宋" w:cs="仿宋" w:hint="eastAsia"/>
            <w:lang w:eastAsia="zh-CN"/>
          </w:rPr>
          <w:t>(一)、风险识别与评估</w:t>
        </w:r>
        <w:r>
          <w:tab/>
        </w:r>
        <w:r>
          <w:fldChar w:fldCharType="begin"/>
        </w:r>
        <w:r>
          <w:instrText xml:space="preserve"> PAGEREF _Toc17876 \h </w:instrText>
        </w:r>
        <w:r>
          <w:fldChar w:fldCharType="separate"/>
        </w:r>
        <w:r>
          <w:t>22</w:t>
        </w:r>
        <w:r>
          <w:fldChar w:fldCharType="end"/>
        </w:r>
      </w:hyperlink>
    </w:p>
    <w:p>
      <w:pPr>
        <w:pStyle w:val="TOC2"/>
        <w:tabs>
          <w:tab w:val="right" w:leader="dot" w:pos="8306"/>
        </w:tabs>
      </w:pPr>
      <w:hyperlink w:anchor="_Toc3447" w:history="1">
        <w:r>
          <w:rPr>
            <w:rFonts w:ascii="仿宋" w:eastAsia="仿宋" w:hAnsi="仿宋" w:cs="仿宋" w:hint="eastAsia"/>
            <w:lang w:eastAsia="zh-CN"/>
          </w:rPr>
          <w:t>(二)、风险应对策略</w:t>
        </w:r>
        <w:r>
          <w:tab/>
        </w:r>
        <w:r>
          <w:fldChar w:fldCharType="begin"/>
        </w:r>
        <w:r>
          <w:instrText xml:space="preserve"> PAGEREF _Toc3447 \h </w:instrText>
        </w:r>
        <w:r>
          <w:fldChar w:fldCharType="separate"/>
        </w:r>
        <w:r>
          <w:t>23</w:t>
        </w:r>
        <w:r>
          <w:fldChar w:fldCharType="end"/>
        </w:r>
      </w:hyperlink>
    </w:p>
    <w:p>
      <w:pPr>
        <w:pStyle w:val="TOC2"/>
        <w:tabs>
          <w:tab w:val="right" w:leader="dot" w:pos="8306"/>
        </w:tabs>
      </w:pPr>
      <w:hyperlink w:anchor="_Toc2568" w:history="1">
        <w:r>
          <w:rPr>
            <w:rFonts w:ascii="仿宋" w:eastAsia="仿宋" w:hAnsi="仿宋" w:cs="仿宋" w:hint="eastAsia"/>
            <w:lang w:eastAsia="zh-CN"/>
          </w:rPr>
          <w:t>(三)、风险监控与控制</w:t>
        </w:r>
        <w:r>
          <w:tab/>
        </w:r>
        <w:r>
          <w:fldChar w:fldCharType="begin"/>
        </w:r>
        <w:r>
          <w:instrText xml:space="preserve"> PAGEREF _Toc2568 \h </w:instrText>
        </w:r>
        <w:r>
          <w:fldChar w:fldCharType="separate"/>
        </w:r>
        <w:r>
          <w:t>25</w:t>
        </w:r>
        <w:r>
          <w:fldChar w:fldCharType="end"/>
        </w:r>
      </w:hyperlink>
    </w:p>
    <w:p>
      <w:pPr>
        <w:pStyle w:val="TOC1"/>
        <w:tabs>
          <w:tab w:val="right" w:leader="dot" w:pos="8306"/>
        </w:tabs>
      </w:pPr>
      <w:hyperlink w:anchor="_Toc17179" w:history="1">
        <w:r>
          <w:rPr>
            <w:rFonts w:ascii="仿宋" w:eastAsia="仿宋" w:hAnsi="仿宋" w:cs="仿宋" w:hint="eastAsia"/>
            <w:lang w:eastAsia="zh-CN"/>
          </w:rPr>
          <w:t>八、光纤和特种光缆项目财务管理</w:t>
        </w:r>
        <w:r>
          <w:tab/>
        </w:r>
        <w:r>
          <w:fldChar w:fldCharType="begin"/>
        </w:r>
        <w:r>
          <w:instrText xml:space="preserve"> PAGEREF _Toc17179 \h </w:instrText>
        </w:r>
        <w:r>
          <w:fldChar w:fldCharType="separate"/>
        </w:r>
        <w:r>
          <w:t>26</w:t>
        </w:r>
        <w:r>
          <w:fldChar w:fldCharType="end"/>
        </w:r>
      </w:hyperlink>
    </w:p>
    <w:p>
      <w:pPr>
        <w:pStyle w:val="TOC2"/>
        <w:tabs>
          <w:tab w:val="right" w:leader="dot" w:pos="8306"/>
        </w:tabs>
      </w:pPr>
      <w:hyperlink w:anchor="_Toc20477" w:history="1">
        <w:r>
          <w:rPr>
            <w:rFonts w:ascii="仿宋" w:eastAsia="仿宋" w:hAnsi="仿宋" w:cs="仿宋" w:hint="eastAsia"/>
            <w:lang w:eastAsia="zh-CN"/>
          </w:rPr>
          <w:t>(一)、资金需求大</w:t>
        </w:r>
        <w:r>
          <w:tab/>
        </w:r>
        <w:r>
          <w:fldChar w:fldCharType="begin"/>
        </w:r>
        <w:r>
          <w:instrText xml:space="preserve"> PAGEREF _Toc20477 \h </w:instrText>
        </w:r>
        <w:r>
          <w:fldChar w:fldCharType="separate"/>
        </w:r>
        <w:r>
          <w:t>26</w:t>
        </w:r>
        <w:r>
          <w:fldChar w:fldCharType="end"/>
        </w:r>
      </w:hyperlink>
    </w:p>
    <w:p>
      <w:pPr>
        <w:pStyle w:val="TOC2"/>
        <w:tabs>
          <w:tab w:val="right" w:leader="dot" w:pos="8306"/>
        </w:tabs>
      </w:pPr>
      <w:hyperlink w:anchor="_Toc29617" w:history="1">
        <w:r>
          <w:rPr>
            <w:rFonts w:ascii="仿宋" w:eastAsia="仿宋" w:hAnsi="仿宋" w:cs="仿宋" w:hint="eastAsia"/>
            <w:lang w:eastAsia="zh-CN"/>
          </w:rPr>
          <w:t>(二)、研发周期长</w:t>
        </w:r>
        <w:r>
          <w:tab/>
        </w:r>
        <w:r>
          <w:fldChar w:fldCharType="begin"/>
        </w:r>
        <w:r>
          <w:instrText xml:space="preserve"> PAGEREF _Toc29617 \h </w:instrText>
        </w:r>
        <w:r>
          <w:fldChar w:fldCharType="separate"/>
        </w:r>
        <w:r>
          <w:t>27</w:t>
        </w:r>
        <w:r>
          <w:fldChar w:fldCharType="end"/>
        </w:r>
      </w:hyperlink>
    </w:p>
    <w:p>
      <w:pPr>
        <w:pStyle w:val="TOC2"/>
        <w:tabs>
          <w:tab w:val="right" w:leader="dot" w:pos="8306"/>
        </w:tabs>
      </w:pPr>
      <w:hyperlink w:anchor="_Toc4475" w:history="1">
        <w:r>
          <w:rPr>
            <w:rFonts w:ascii="仿宋" w:eastAsia="仿宋" w:hAnsi="仿宋" w:cs="仿宋" w:hint="eastAsia"/>
            <w:lang w:eastAsia="zh-CN"/>
          </w:rPr>
          <w:t>(三)、市场风险大</w:t>
        </w:r>
        <w:r>
          <w:tab/>
        </w:r>
        <w:r>
          <w:fldChar w:fldCharType="begin"/>
        </w:r>
        <w:r>
          <w:instrText xml:space="preserve"> PAGEREF _Toc4475 \h </w:instrText>
        </w:r>
        <w:r>
          <w:fldChar w:fldCharType="separate"/>
        </w:r>
        <w:r>
          <w:t>29</w:t>
        </w:r>
        <w:r>
          <w:fldChar w:fldCharType="end"/>
        </w:r>
      </w:hyperlink>
    </w:p>
    <w:p>
      <w:pPr>
        <w:pStyle w:val="TOC2"/>
        <w:tabs>
          <w:tab w:val="right" w:leader="dot" w:pos="8306"/>
        </w:tabs>
      </w:pPr>
      <w:hyperlink w:anchor="_Toc9632" w:history="1">
        <w:r>
          <w:rPr>
            <w:rFonts w:ascii="仿宋" w:eastAsia="仿宋" w:hAnsi="仿宋" w:cs="仿宋" w:hint="eastAsia"/>
            <w:lang w:eastAsia="zh-CN"/>
          </w:rPr>
          <w:t>(四)、利润率高</w:t>
        </w:r>
        <w:r>
          <w:tab/>
        </w:r>
        <w:r>
          <w:fldChar w:fldCharType="begin"/>
        </w:r>
        <w:r>
          <w:instrText xml:space="preserve"> PAGEREF _Toc9632 \h </w:instrText>
        </w:r>
        <w:r>
          <w:fldChar w:fldCharType="separate"/>
        </w:r>
        <w:r>
          <w:t>31</w:t>
        </w:r>
        <w:r>
          <w:fldChar w:fldCharType="end"/>
        </w:r>
      </w:hyperlink>
    </w:p>
    <w:p>
      <w:pPr>
        <w:pStyle w:val="TOC1"/>
        <w:tabs>
          <w:tab w:val="right" w:leader="dot" w:pos="8306"/>
        </w:tabs>
      </w:pPr>
      <w:hyperlink w:anchor="_Toc18455" w:history="1">
        <w:r>
          <w:rPr>
            <w:rFonts w:ascii="仿宋" w:eastAsia="仿宋" w:hAnsi="仿宋" w:cs="仿宋" w:hint="eastAsia"/>
            <w:lang w:eastAsia="zh-CN"/>
          </w:rPr>
          <w:t>九、光纤和特种光缆项目社会影响</w:t>
        </w:r>
        <w:r>
          <w:tab/>
        </w:r>
        <w:r>
          <w:fldChar w:fldCharType="begin"/>
        </w:r>
        <w:r>
          <w:instrText xml:space="preserve"> PAGEREF _Toc18455 \h </w:instrText>
        </w:r>
        <w:r>
          <w:fldChar w:fldCharType="separate"/>
        </w:r>
        <w:r>
          <w:t>33</w:t>
        </w:r>
        <w:r>
          <w:fldChar w:fldCharType="end"/>
        </w:r>
      </w:hyperlink>
    </w:p>
    <w:p>
      <w:pPr>
        <w:pStyle w:val="TOC2"/>
        <w:tabs>
          <w:tab w:val="right" w:leader="dot" w:pos="8306"/>
        </w:tabs>
      </w:pPr>
      <w:hyperlink w:anchor="_Toc3503" w:history="1">
        <w:r>
          <w:rPr>
            <w:rFonts w:ascii="仿宋" w:eastAsia="仿宋" w:hAnsi="仿宋" w:cs="仿宋" w:hint="eastAsia"/>
            <w:lang w:eastAsia="zh-CN"/>
          </w:rPr>
          <w:t>(一)、社会责任与义务</w:t>
        </w:r>
        <w:r>
          <w:tab/>
        </w:r>
        <w:r>
          <w:fldChar w:fldCharType="begin"/>
        </w:r>
        <w:r>
          <w:instrText xml:space="preserve"> PAGEREF _Toc3503 \h </w:instrText>
        </w:r>
        <w:r>
          <w:fldChar w:fldCharType="separate"/>
        </w:r>
        <w:r>
          <w:t>33</w:t>
        </w:r>
        <w:r>
          <w:fldChar w:fldCharType="end"/>
        </w:r>
      </w:hyperlink>
    </w:p>
    <w:p>
      <w:pPr>
        <w:pStyle w:val="TOC2"/>
        <w:tabs>
          <w:tab w:val="right" w:leader="dot" w:pos="8306"/>
        </w:tabs>
      </w:pPr>
      <w:hyperlink w:anchor="_Toc6371" w:history="1">
        <w:r>
          <w:rPr>
            <w:rFonts w:ascii="仿宋" w:eastAsia="仿宋" w:hAnsi="仿宋" w:cs="仿宋" w:hint="eastAsia"/>
            <w:lang w:eastAsia="zh-CN"/>
          </w:rPr>
          <w:t>(二)、社会参与与沟通</w:t>
        </w:r>
        <w:r>
          <w:tab/>
        </w:r>
        <w:r>
          <w:fldChar w:fldCharType="begin"/>
        </w:r>
        <w:r>
          <w:instrText xml:space="preserve"> PAGEREF _Toc6371 \h </w:instrText>
        </w:r>
        <w:r>
          <w:fldChar w:fldCharType="separate"/>
        </w:r>
        <w:r>
          <w:t>34</w:t>
        </w:r>
        <w:r>
          <w:fldChar w:fldCharType="end"/>
        </w:r>
      </w:hyperlink>
    </w:p>
    <w:p>
      <w:pPr>
        <w:pStyle w:val="TOC1"/>
        <w:tabs>
          <w:tab w:val="right" w:leader="dot" w:pos="8306"/>
        </w:tabs>
      </w:pPr>
      <w:hyperlink w:anchor="_Toc31361" w:history="1">
        <w:r>
          <w:rPr>
            <w:rFonts w:ascii="仿宋" w:eastAsia="仿宋" w:hAnsi="仿宋" w:cs="仿宋" w:hint="eastAsia"/>
            <w:lang w:eastAsia="zh-CN"/>
          </w:rPr>
          <w:t>十、光纤和特种光缆项目创新与研发</w:t>
        </w:r>
        <w:r>
          <w:tab/>
        </w:r>
        <w:r>
          <w:fldChar w:fldCharType="begin"/>
        </w:r>
        <w:r>
          <w:instrText xml:space="preserve"> PAGEREF _Toc31361 \h </w:instrText>
        </w:r>
        <w:r>
          <w:fldChar w:fldCharType="separate"/>
        </w:r>
        <w:r>
          <w:t>35</w:t>
        </w:r>
        <w:r>
          <w:fldChar w:fldCharType="end"/>
        </w:r>
      </w:hyperlink>
    </w:p>
    <w:p>
      <w:pPr>
        <w:pStyle w:val="TOC2"/>
        <w:tabs>
          <w:tab w:val="right" w:leader="dot" w:pos="8306"/>
        </w:tabs>
      </w:pPr>
      <w:hyperlink w:anchor="_Toc18019" w:history="1">
        <w:r>
          <w:rPr>
            <w:rFonts w:ascii="仿宋" w:eastAsia="仿宋" w:hAnsi="仿宋" w:cs="仿宋" w:hint="eastAsia"/>
            <w:lang w:eastAsia="zh-CN"/>
          </w:rPr>
          <w:t>(一)、创新策略与方向</w:t>
        </w:r>
        <w:r>
          <w:tab/>
        </w:r>
        <w:r>
          <w:fldChar w:fldCharType="begin"/>
        </w:r>
        <w:r>
          <w:instrText xml:space="preserve"> PAGEREF _Toc18019 \h </w:instrText>
        </w:r>
        <w:r>
          <w:fldChar w:fldCharType="separate"/>
        </w:r>
        <w:r>
          <w:t>35</w:t>
        </w:r>
        <w:r>
          <w:fldChar w:fldCharType="end"/>
        </w:r>
      </w:hyperlink>
    </w:p>
    <w:p>
      <w:pPr>
        <w:pStyle w:val="TOC2"/>
        <w:tabs>
          <w:tab w:val="right" w:leader="dot" w:pos="8306"/>
        </w:tabs>
      </w:pPr>
      <w:hyperlink w:anchor="_Toc24889" w:history="1">
        <w:r>
          <w:rPr>
            <w:rFonts w:ascii="仿宋" w:eastAsia="仿宋" w:hAnsi="仿宋" w:cs="仿宋" w:hint="eastAsia"/>
            <w:lang w:eastAsia="zh-CN"/>
          </w:rPr>
          <w:t>(二)、研发规划与投入</w:t>
        </w:r>
        <w:r>
          <w:tab/>
        </w:r>
        <w:r>
          <w:fldChar w:fldCharType="begin"/>
        </w:r>
        <w:r>
          <w:instrText xml:space="preserve"> PAGEREF _Toc24889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8" w:history="1">
        <w:r>
          <w:rPr>
            <w:rFonts w:ascii="仿宋" w:eastAsia="仿宋" w:hAnsi="仿宋" w:cs="仿宋" w:hint="eastAsia"/>
            <w:lang w:eastAsia="zh-CN"/>
          </w:rPr>
          <w:t>十一、光纤和特种光缆项目投资规划</w:t>
        </w:r>
        <w:r>
          <w:tab/>
        </w:r>
        <w:r>
          <w:fldChar w:fldCharType="begin"/>
        </w:r>
        <w:r>
          <w:instrText xml:space="preserve"> PAGEREF _Toc25398 \h </w:instrText>
        </w:r>
        <w:r>
          <w:fldChar w:fldCharType="separate"/>
        </w:r>
        <w:r>
          <w:t>38</w:t>
        </w:r>
        <w:r>
          <w:fldChar w:fldCharType="end"/>
        </w:r>
      </w:hyperlink>
    </w:p>
    <w:p>
      <w:pPr>
        <w:pStyle w:val="TOC2"/>
        <w:tabs>
          <w:tab w:val="right" w:leader="dot" w:pos="8306"/>
        </w:tabs>
      </w:pPr>
      <w:hyperlink w:anchor="_Toc15343" w:history="1">
        <w:r>
          <w:rPr>
            <w:rFonts w:ascii="仿宋" w:eastAsia="仿宋" w:hAnsi="仿宋" w:cs="仿宋" w:hint="eastAsia"/>
            <w:lang w:eastAsia="zh-CN"/>
          </w:rPr>
          <w:t>(一)、光纤和特种光缆项目总投资估算</w:t>
        </w:r>
        <w:r>
          <w:tab/>
        </w:r>
        <w:r>
          <w:fldChar w:fldCharType="begin"/>
        </w:r>
        <w:r>
          <w:instrText xml:space="preserve"> PAGEREF _Toc15343 \h </w:instrText>
        </w:r>
        <w:r>
          <w:fldChar w:fldCharType="separate"/>
        </w:r>
        <w:r>
          <w:t>38</w:t>
        </w:r>
        <w:r>
          <w:fldChar w:fldCharType="end"/>
        </w:r>
      </w:hyperlink>
    </w:p>
    <w:p>
      <w:pPr>
        <w:pStyle w:val="TOC2"/>
        <w:tabs>
          <w:tab w:val="right" w:leader="dot" w:pos="8306"/>
        </w:tabs>
      </w:pPr>
      <w:hyperlink w:anchor="_Toc21284" w:history="1">
        <w:r>
          <w:rPr>
            <w:rFonts w:ascii="仿宋" w:eastAsia="仿宋" w:hAnsi="仿宋" w:cs="仿宋" w:hint="eastAsia"/>
            <w:lang w:eastAsia="zh-CN"/>
          </w:rPr>
          <w:t>(二)、资金筹措</w:t>
        </w:r>
        <w:r>
          <w:tab/>
        </w:r>
        <w:r>
          <w:fldChar w:fldCharType="begin"/>
        </w:r>
        <w:r>
          <w:instrText xml:space="preserve"> PAGEREF _Toc21284 \h </w:instrText>
        </w:r>
        <w:r>
          <w:fldChar w:fldCharType="separate"/>
        </w:r>
        <w:r>
          <w:t>40</w:t>
        </w:r>
        <w:r>
          <w:fldChar w:fldCharType="end"/>
        </w:r>
      </w:hyperlink>
    </w:p>
    <w:p>
      <w:pPr>
        <w:pStyle w:val="TOC1"/>
        <w:tabs>
          <w:tab w:val="right" w:leader="dot" w:pos="8306"/>
        </w:tabs>
      </w:pPr>
      <w:hyperlink w:anchor="_Toc12571" w:history="1">
        <w:r>
          <w:rPr>
            <w:rFonts w:ascii="仿宋" w:eastAsia="仿宋" w:hAnsi="仿宋" w:cs="仿宋" w:hint="eastAsia"/>
            <w:lang w:eastAsia="zh-CN"/>
          </w:rPr>
          <w:t>十二、生产安全保护</w:t>
        </w:r>
        <w:r>
          <w:tab/>
        </w:r>
        <w:r>
          <w:fldChar w:fldCharType="begin"/>
        </w:r>
        <w:r>
          <w:instrText xml:space="preserve"> PAGEREF _Toc12571 \h </w:instrText>
        </w:r>
        <w:r>
          <w:fldChar w:fldCharType="separate"/>
        </w:r>
        <w:r>
          <w:t>40</w:t>
        </w:r>
        <w:r>
          <w:fldChar w:fldCharType="end"/>
        </w:r>
      </w:hyperlink>
    </w:p>
    <w:p>
      <w:pPr>
        <w:pStyle w:val="TOC2"/>
        <w:tabs>
          <w:tab w:val="right" w:leader="dot" w:pos="8306"/>
        </w:tabs>
      </w:pPr>
      <w:hyperlink w:anchor="_Toc21859" w:history="1">
        <w:r>
          <w:rPr>
            <w:rFonts w:ascii="仿宋" w:eastAsia="仿宋" w:hAnsi="仿宋" w:cs="仿宋" w:hint="eastAsia"/>
            <w:lang w:eastAsia="zh-CN"/>
          </w:rPr>
          <w:t>(一)、消防安全</w:t>
        </w:r>
        <w:r>
          <w:tab/>
        </w:r>
        <w:r>
          <w:fldChar w:fldCharType="begin"/>
        </w:r>
        <w:r>
          <w:instrText xml:space="preserve"> PAGEREF _Toc21859 \h </w:instrText>
        </w:r>
        <w:r>
          <w:fldChar w:fldCharType="separate"/>
        </w:r>
        <w:r>
          <w:t>40</w:t>
        </w:r>
        <w:r>
          <w:fldChar w:fldCharType="end"/>
        </w:r>
      </w:hyperlink>
    </w:p>
    <w:p>
      <w:pPr>
        <w:pStyle w:val="TOC2"/>
        <w:tabs>
          <w:tab w:val="right" w:leader="dot" w:pos="8306"/>
        </w:tabs>
      </w:pPr>
      <w:hyperlink w:anchor="_Toc29484" w:history="1">
        <w:r>
          <w:rPr>
            <w:rFonts w:ascii="仿宋" w:eastAsia="仿宋" w:hAnsi="仿宋" w:cs="仿宋" w:hint="eastAsia"/>
            <w:lang w:eastAsia="zh-CN"/>
          </w:rPr>
          <w:t>(二)、防火防爆总图布置措施</w:t>
        </w:r>
        <w:r>
          <w:tab/>
        </w:r>
        <w:r>
          <w:fldChar w:fldCharType="begin"/>
        </w:r>
        <w:r>
          <w:instrText xml:space="preserve"> PAGEREF _Toc29484 \h </w:instrText>
        </w:r>
        <w:r>
          <w:fldChar w:fldCharType="separate"/>
        </w:r>
        <w:r>
          <w:t>42</w:t>
        </w:r>
        <w:r>
          <w:fldChar w:fldCharType="end"/>
        </w:r>
      </w:hyperlink>
    </w:p>
    <w:p>
      <w:pPr>
        <w:pStyle w:val="TOC2"/>
        <w:tabs>
          <w:tab w:val="right" w:leader="dot" w:pos="8306"/>
        </w:tabs>
      </w:pPr>
      <w:hyperlink w:anchor="_Toc27229" w:history="1">
        <w:r>
          <w:rPr>
            <w:rFonts w:ascii="仿宋" w:eastAsia="仿宋" w:hAnsi="仿宋" w:cs="仿宋" w:hint="eastAsia"/>
            <w:lang w:eastAsia="zh-CN"/>
          </w:rPr>
          <w:t>(三)、自然灾害防范措施</w:t>
        </w:r>
        <w:r>
          <w:tab/>
        </w:r>
        <w:r>
          <w:fldChar w:fldCharType="begin"/>
        </w:r>
        <w:r>
          <w:instrText xml:space="preserve"> PAGEREF _Toc27229 \h </w:instrText>
        </w:r>
        <w:r>
          <w:fldChar w:fldCharType="separate"/>
        </w:r>
        <w:r>
          <w:t>43</w:t>
        </w:r>
        <w:r>
          <w:fldChar w:fldCharType="end"/>
        </w:r>
      </w:hyperlink>
    </w:p>
    <w:p>
      <w:pPr>
        <w:pStyle w:val="TOC2"/>
        <w:tabs>
          <w:tab w:val="right" w:leader="dot" w:pos="8306"/>
        </w:tabs>
      </w:pPr>
      <w:hyperlink w:anchor="_Toc471" w:history="1">
        <w:r>
          <w:rPr>
            <w:rFonts w:ascii="仿宋" w:eastAsia="仿宋" w:hAnsi="仿宋" w:cs="仿宋" w:hint="eastAsia"/>
            <w:lang w:eastAsia="zh-CN"/>
          </w:rPr>
          <w:t>(四)、安全色及安全标志使用要求</w:t>
        </w:r>
        <w:r>
          <w:tab/>
        </w:r>
        <w:r>
          <w:fldChar w:fldCharType="begin"/>
        </w:r>
        <w:r>
          <w:instrText xml:space="preserve"> PAGEREF _Toc471 \h </w:instrText>
        </w:r>
        <w:r>
          <w:fldChar w:fldCharType="separate"/>
        </w:r>
        <w:r>
          <w:t>44</w:t>
        </w:r>
        <w:r>
          <w:fldChar w:fldCharType="end"/>
        </w:r>
      </w:hyperlink>
    </w:p>
    <w:p>
      <w:pPr>
        <w:pStyle w:val="TOC2"/>
        <w:tabs>
          <w:tab w:val="right" w:leader="dot" w:pos="8306"/>
        </w:tabs>
      </w:pPr>
      <w:hyperlink w:anchor="_Toc14390" w:history="1">
        <w:r>
          <w:rPr>
            <w:rFonts w:ascii="仿宋" w:eastAsia="仿宋" w:hAnsi="仿宋" w:cs="仿宋" w:hint="eastAsia"/>
            <w:lang w:eastAsia="zh-CN"/>
          </w:rPr>
          <w:t>(五)、防尘防毒措施</w:t>
        </w:r>
        <w:r>
          <w:tab/>
        </w:r>
        <w:r>
          <w:fldChar w:fldCharType="begin"/>
        </w:r>
        <w:r>
          <w:instrText xml:space="preserve"> PAGEREF _Toc14390 \h </w:instrText>
        </w:r>
        <w:r>
          <w:fldChar w:fldCharType="separate"/>
        </w:r>
        <w:r>
          <w:t>45</w:t>
        </w:r>
        <w:r>
          <w:fldChar w:fldCharType="end"/>
        </w:r>
      </w:hyperlink>
    </w:p>
    <w:p>
      <w:pPr>
        <w:pStyle w:val="TOC2"/>
        <w:tabs>
          <w:tab w:val="right" w:leader="dot" w:pos="8306"/>
        </w:tabs>
      </w:pPr>
      <w:hyperlink w:anchor="_Toc742" w:history="1">
        <w:r>
          <w:rPr>
            <w:rFonts w:ascii="仿宋" w:eastAsia="仿宋" w:hAnsi="仿宋" w:cs="仿宋" w:hint="eastAsia"/>
            <w:lang w:eastAsia="zh-CN"/>
          </w:rPr>
          <w:t>(六)、防静电、触电防护及防雷措施</w:t>
        </w:r>
        <w:r>
          <w:tab/>
        </w:r>
        <w:r>
          <w:fldChar w:fldCharType="begin"/>
        </w:r>
        <w:r>
          <w:instrText xml:space="preserve"> PAGEREF _Toc742 \h </w:instrText>
        </w:r>
        <w:r>
          <w:fldChar w:fldCharType="separate"/>
        </w:r>
        <w:r>
          <w:t>46</w:t>
        </w:r>
        <w:r>
          <w:fldChar w:fldCharType="end"/>
        </w:r>
      </w:hyperlink>
    </w:p>
    <w:p>
      <w:pPr>
        <w:pStyle w:val="TOC2"/>
        <w:tabs>
          <w:tab w:val="right" w:leader="dot" w:pos="8306"/>
        </w:tabs>
      </w:pPr>
      <w:hyperlink w:anchor="_Toc27869" w:history="1">
        <w:r>
          <w:rPr>
            <w:rFonts w:ascii="仿宋" w:eastAsia="仿宋" w:hAnsi="仿宋" w:cs="仿宋" w:hint="eastAsia"/>
            <w:lang w:eastAsia="zh-CN"/>
          </w:rPr>
          <w:t>(七)、机械设备安全保障措施</w:t>
        </w:r>
        <w:r>
          <w:tab/>
        </w:r>
        <w:r>
          <w:fldChar w:fldCharType="begin"/>
        </w:r>
        <w:r>
          <w:instrText xml:space="preserve"> PAGEREF _Toc27869 \h </w:instrText>
        </w:r>
        <w:r>
          <w:fldChar w:fldCharType="separate"/>
        </w:r>
        <w:r>
          <w:t>47</w:t>
        </w:r>
        <w:r>
          <w:fldChar w:fldCharType="end"/>
        </w:r>
      </w:hyperlink>
    </w:p>
    <w:p>
      <w:pPr>
        <w:pStyle w:val="TOC1"/>
        <w:tabs>
          <w:tab w:val="right" w:leader="dot" w:pos="8306"/>
        </w:tabs>
      </w:pPr>
      <w:hyperlink w:anchor="_Toc22167" w:history="1">
        <w:r>
          <w:rPr>
            <w:rFonts w:ascii="仿宋" w:eastAsia="仿宋" w:hAnsi="仿宋" w:cs="仿宋" w:hint="eastAsia"/>
            <w:lang w:eastAsia="zh-CN"/>
          </w:rPr>
          <w:t>十三、供应链管理</w:t>
        </w:r>
        <w:r>
          <w:tab/>
        </w:r>
        <w:r>
          <w:fldChar w:fldCharType="begin"/>
        </w:r>
        <w:r>
          <w:instrText xml:space="preserve"> PAGEREF _Toc22167 \h </w:instrText>
        </w:r>
        <w:r>
          <w:fldChar w:fldCharType="separate"/>
        </w:r>
        <w:r>
          <w:t>49</w:t>
        </w:r>
        <w:r>
          <w:fldChar w:fldCharType="end"/>
        </w:r>
      </w:hyperlink>
    </w:p>
    <w:p>
      <w:pPr>
        <w:pStyle w:val="TOC2"/>
        <w:tabs>
          <w:tab w:val="right" w:leader="dot" w:pos="8306"/>
        </w:tabs>
      </w:pPr>
      <w:hyperlink w:anchor="_Toc20860" w:history="1">
        <w:r>
          <w:rPr>
            <w:rFonts w:ascii="仿宋" w:eastAsia="仿宋" w:hAnsi="仿宋" w:cs="仿宋" w:hint="eastAsia"/>
            <w:lang w:eastAsia="zh-CN"/>
          </w:rPr>
          <w:t>(一)、供应链战略规划</w:t>
        </w:r>
        <w:r>
          <w:tab/>
        </w:r>
        <w:r>
          <w:fldChar w:fldCharType="begin"/>
        </w:r>
        <w:r>
          <w:instrText xml:space="preserve"> PAGEREF _Toc20860 \h </w:instrText>
        </w:r>
        <w:r>
          <w:fldChar w:fldCharType="separate"/>
        </w:r>
        <w:r>
          <w:t>49</w:t>
        </w:r>
        <w:r>
          <w:fldChar w:fldCharType="end"/>
        </w:r>
      </w:hyperlink>
    </w:p>
    <w:p>
      <w:pPr>
        <w:pStyle w:val="TOC2"/>
        <w:tabs>
          <w:tab w:val="right" w:leader="dot" w:pos="8306"/>
        </w:tabs>
      </w:pPr>
      <w:hyperlink w:anchor="_Toc27587" w:history="1">
        <w:r>
          <w:rPr>
            <w:rFonts w:ascii="仿宋" w:eastAsia="仿宋" w:hAnsi="仿宋" w:cs="仿宋" w:hint="eastAsia"/>
            <w:lang w:eastAsia="zh-CN"/>
          </w:rPr>
          <w:t>(二)、供应商选择与合作</w:t>
        </w:r>
        <w:r>
          <w:tab/>
        </w:r>
        <w:r>
          <w:fldChar w:fldCharType="begin"/>
        </w:r>
        <w:r>
          <w:instrText xml:space="preserve"> PAGEREF _Toc27587 \h </w:instrText>
        </w:r>
        <w:r>
          <w:fldChar w:fldCharType="separate"/>
        </w:r>
        <w:r>
          <w:t>50</w:t>
        </w:r>
        <w:r>
          <w:fldChar w:fldCharType="end"/>
        </w:r>
      </w:hyperlink>
    </w:p>
    <w:p>
      <w:pPr>
        <w:pStyle w:val="TOC2"/>
        <w:tabs>
          <w:tab w:val="right" w:leader="dot" w:pos="8306"/>
        </w:tabs>
      </w:pPr>
      <w:hyperlink w:anchor="_Toc8825" w:history="1">
        <w:r>
          <w:rPr>
            <w:rFonts w:ascii="仿宋" w:eastAsia="仿宋" w:hAnsi="仿宋" w:cs="仿宋" w:hint="eastAsia"/>
            <w:lang w:eastAsia="zh-CN"/>
          </w:rPr>
          <w:t>(三)、物流与库存管理</w:t>
        </w:r>
        <w:r>
          <w:tab/>
        </w:r>
        <w:r>
          <w:fldChar w:fldCharType="begin"/>
        </w:r>
        <w:r>
          <w:instrText xml:space="preserve"> PAGEREF _Toc8825 \h </w:instrText>
        </w:r>
        <w:r>
          <w:fldChar w:fldCharType="separate"/>
        </w:r>
        <w:r>
          <w:t>51</w:t>
        </w:r>
        <w:r>
          <w:fldChar w:fldCharType="end"/>
        </w:r>
      </w:hyperlink>
    </w:p>
    <w:p>
      <w:pPr>
        <w:pStyle w:val="TOC1"/>
        <w:tabs>
          <w:tab w:val="right" w:leader="dot" w:pos="8306"/>
        </w:tabs>
      </w:pPr>
      <w:hyperlink w:anchor="_Toc14949" w:history="1">
        <w:r>
          <w:rPr>
            <w:rFonts w:ascii="仿宋" w:eastAsia="仿宋" w:hAnsi="仿宋" w:cs="仿宋" w:hint="eastAsia"/>
            <w:lang w:eastAsia="zh-CN"/>
          </w:rPr>
          <w:t>十四、质量管理体系</w:t>
        </w:r>
        <w:r>
          <w:tab/>
        </w:r>
        <w:r>
          <w:fldChar w:fldCharType="begin"/>
        </w:r>
        <w:r>
          <w:instrText xml:space="preserve"> PAGEREF _Toc14949 \h </w:instrText>
        </w:r>
        <w:r>
          <w:fldChar w:fldCharType="separate"/>
        </w:r>
        <w:r>
          <w:t>53</w:t>
        </w:r>
        <w:r>
          <w:fldChar w:fldCharType="end"/>
        </w:r>
      </w:hyperlink>
    </w:p>
    <w:p>
      <w:pPr>
        <w:pStyle w:val="TOC2"/>
        <w:tabs>
          <w:tab w:val="right" w:leader="dot" w:pos="8306"/>
        </w:tabs>
      </w:pPr>
      <w:hyperlink w:anchor="_Toc6247" w:history="1">
        <w:r>
          <w:rPr>
            <w:rFonts w:ascii="仿宋" w:eastAsia="仿宋" w:hAnsi="仿宋" w:cs="仿宋" w:hint="eastAsia"/>
            <w:lang w:eastAsia="zh-CN"/>
          </w:rPr>
          <w:t>(一)、质量目标与方针</w:t>
        </w:r>
        <w:r>
          <w:tab/>
        </w:r>
        <w:r>
          <w:fldChar w:fldCharType="begin"/>
        </w:r>
        <w:r>
          <w:instrText xml:space="preserve"> PAGEREF _Toc6247 \h </w:instrText>
        </w:r>
        <w:r>
          <w:fldChar w:fldCharType="separate"/>
        </w:r>
        <w:r>
          <w:t>53</w:t>
        </w:r>
        <w:r>
          <w:fldChar w:fldCharType="end"/>
        </w:r>
      </w:hyperlink>
    </w:p>
    <w:p>
      <w:pPr>
        <w:pStyle w:val="TOC2"/>
        <w:tabs>
          <w:tab w:val="right" w:leader="dot" w:pos="8306"/>
        </w:tabs>
      </w:pPr>
      <w:hyperlink w:anchor="_Toc16189" w:history="1">
        <w:r>
          <w:rPr>
            <w:rFonts w:ascii="仿宋" w:eastAsia="仿宋" w:hAnsi="仿宋" w:cs="仿宋" w:hint="eastAsia"/>
            <w:lang w:eastAsia="zh-CN"/>
          </w:rPr>
          <w:t>(二)、质量管理责任</w:t>
        </w:r>
        <w:r>
          <w:tab/>
        </w:r>
        <w:r>
          <w:fldChar w:fldCharType="begin"/>
        </w:r>
        <w:r>
          <w:instrText xml:space="preserve"> PAGEREF _Toc16189 \h </w:instrText>
        </w:r>
        <w:r>
          <w:fldChar w:fldCharType="separate"/>
        </w:r>
        <w:r>
          <w:t>54</w:t>
        </w:r>
        <w:r>
          <w:fldChar w:fldCharType="end"/>
        </w:r>
      </w:hyperlink>
    </w:p>
    <w:p>
      <w:pPr>
        <w:pStyle w:val="TOC2"/>
        <w:tabs>
          <w:tab w:val="right" w:leader="dot" w:pos="8306"/>
        </w:tabs>
      </w:pPr>
      <w:hyperlink w:anchor="_Toc12697" w:history="1">
        <w:r>
          <w:rPr>
            <w:rFonts w:ascii="仿宋" w:eastAsia="仿宋" w:hAnsi="仿宋" w:cs="仿宋" w:hint="eastAsia"/>
            <w:lang w:eastAsia="zh-CN"/>
          </w:rPr>
          <w:t>(三)、质量管理体系文件</w:t>
        </w:r>
        <w:r>
          <w:tab/>
        </w:r>
        <w:r>
          <w:fldChar w:fldCharType="begin"/>
        </w:r>
        <w:r>
          <w:instrText xml:space="preserve"> PAGEREF _Toc12697 \h </w:instrText>
        </w:r>
        <w:r>
          <w:fldChar w:fldCharType="separate"/>
        </w:r>
        <w:r>
          <w:t>55</w:t>
        </w:r>
        <w:r>
          <w:fldChar w:fldCharType="end"/>
        </w:r>
      </w:hyperlink>
    </w:p>
    <w:p>
      <w:pPr>
        <w:pStyle w:val="TOC2"/>
        <w:tabs>
          <w:tab w:val="right" w:leader="dot" w:pos="8306"/>
        </w:tabs>
      </w:pPr>
      <w:hyperlink w:anchor="_Toc27038" w:history="1">
        <w:r>
          <w:rPr>
            <w:rFonts w:ascii="仿宋" w:eastAsia="仿宋" w:hAnsi="仿宋" w:cs="仿宋" w:hint="eastAsia"/>
            <w:lang w:eastAsia="zh-CN"/>
          </w:rPr>
          <w:t>(四)、质量培训与教育</w:t>
        </w:r>
        <w:r>
          <w:tab/>
        </w:r>
        <w:r>
          <w:fldChar w:fldCharType="begin"/>
        </w:r>
        <w:r>
          <w:instrText xml:space="preserve"> PAGEREF _Toc27038 \h </w:instrText>
        </w:r>
        <w:r>
          <w:fldChar w:fldCharType="separate"/>
        </w:r>
        <w:r>
          <w:t>57</w:t>
        </w:r>
        <w:r>
          <w:fldChar w:fldCharType="end"/>
        </w:r>
      </w:hyperlink>
    </w:p>
    <w:p>
      <w:pPr>
        <w:pStyle w:val="TOC2"/>
        <w:tabs>
          <w:tab w:val="right" w:leader="dot" w:pos="8306"/>
        </w:tabs>
      </w:pPr>
      <w:hyperlink w:anchor="_Toc2356" w:history="1">
        <w:r>
          <w:rPr>
            <w:rFonts w:ascii="仿宋" w:eastAsia="仿宋" w:hAnsi="仿宋" w:cs="仿宋" w:hint="eastAsia"/>
            <w:lang w:eastAsia="zh-CN"/>
          </w:rPr>
          <w:t>(五)、质量审核与评价</w:t>
        </w:r>
        <w:r>
          <w:tab/>
        </w:r>
        <w:r>
          <w:fldChar w:fldCharType="begin"/>
        </w:r>
        <w:r>
          <w:instrText xml:space="preserve"> PAGEREF _Toc2356 \h </w:instrText>
        </w:r>
        <w:r>
          <w:fldChar w:fldCharType="separate"/>
        </w:r>
        <w:r>
          <w:t>58</w:t>
        </w:r>
        <w:r>
          <w:fldChar w:fldCharType="end"/>
        </w:r>
      </w:hyperlink>
    </w:p>
    <w:p>
      <w:pPr>
        <w:pStyle w:val="TOC2"/>
        <w:tabs>
          <w:tab w:val="right" w:leader="dot" w:pos="8306"/>
        </w:tabs>
      </w:pPr>
      <w:hyperlink w:anchor="_Toc13488" w:history="1">
        <w:r>
          <w:rPr>
            <w:rFonts w:ascii="仿宋" w:eastAsia="仿宋" w:hAnsi="仿宋" w:cs="仿宋" w:hint="eastAsia"/>
            <w:lang w:eastAsia="zh-CN"/>
          </w:rPr>
          <w:t>(六)、不符合与纠正措施</w:t>
        </w:r>
        <w:r>
          <w:tab/>
        </w:r>
        <w:r>
          <w:fldChar w:fldCharType="begin"/>
        </w:r>
        <w:r>
          <w:instrText xml:space="preserve"> PAGEREF _Toc13488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06"/>
      <w:r>
        <w:rPr>
          <w:rFonts w:ascii="仿宋" w:eastAsia="仿宋" w:hAnsi="仿宋" w:cs="仿宋" w:hint="eastAsia"/>
          <w:sz w:val="28"/>
          <w:lang w:eastAsia="zh-CN"/>
        </w:rPr>
        <w:t>一、光纤和特种光缆项目绩效评估</w:t>
      </w:r>
      <w:bookmarkEnd w:id="2"/>
    </w:p>
    <w:p>
      <w:pPr>
        <w:pStyle w:val="Heading2"/>
        <w:rPr>
          <w:rFonts w:ascii="仿宋" w:eastAsia="仿宋" w:hAnsi="仿宋" w:cs="仿宋" w:hint="eastAsia"/>
          <w:lang w:eastAsia="zh-CN"/>
        </w:rPr>
      </w:pPr>
      <w:bookmarkStart w:id="3" w:name="_Toc97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中，我们设计了一套全面的绩效评估指标，以确保光纤和特种光缆项目的可控和成功交付。这些指标跨足光纤和特种光缆项目目标、成本、进度和质量等多个维度，为我们提供了全面洞察光纤和特种光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目标达成率是我们关注的首要指标。我们设定了明确的目标，并通过定期监测和评估，迅速发现并应对潜在的目标偏差。这为光纤和特种光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成本绩效是另一个核心关注点。通过实际成本与预算成本的对比分析，我们深入了解成本差异的原因，及时调整资源分配，保持光纤和特种光缆项目在经济效益方面的合理水平。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进度作为关键的绩效指标之一，得到了精心的关注。我们制定了详细的光纤和特种光缆项目进度计划，并设立了进度符合度指标，确保实际进度与计划进度保持一致。这使我们能够快速发现和解决潜在的进度问题，保持光纤和特种光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纤和特种光缆项目绩效的不可或缺的一环。我们引入了一系列的质量标准和客户满意度指标，以确保光纤和特种光缆项目交付的成果在质量上达到或超越预期水平。通过持续监测这些指标，我们努力提升光纤和特种光缆项目整体质量水平，为光纤和特种光缆项目的成功交付提供有力保障。通过这些科学且全面的绩效评估，我们能够更好地引导光纤和特种光缆项目的持续改进，确保光纤和特种光缆项目目标的顺利达成。</w:t>
      </w:r>
    </w:p>
    <w:p>
      <w:pPr>
        <w:pStyle w:val="Heading2"/>
        <w:ind w:firstLine="560" w:firstLineChars="200"/>
        <w:rPr>
          <w:rFonts w:ascii="仿宋" w:eastAsia="仿宋" w:hAnsi="仿宋" w:cs="仿宋" w:hint="eastAsia"/>
          <w:sz w:val="28"/>
          <w:lang w:eastAsia="zh-CN"/>
        </w:rPr>
      </w:pPr>
      <w:bookmarkStart w:id="4" w:name="_Toc131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绩效评估是光纤和特种光缆项目中的关键环节，为确保光纤和特种光缆项目达到预期目标，我们采用了多层次、多维度的绩效评估方法。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纤和特种光缆项目的战略目标对齐，确保每个决策和行动都与光纤和特种光缆项目整体目标保持一致。团队会定期召开战略对齐会议，审视当前工作与光纤和特种光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纤和特种光缆项目进度、质量、成本和风险等方面。这些指标通过数据收集和分析，为光纤和特种光缆项目管理团队提供了客观的评估依据。例如，我们通过光纤和特种光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纤和特种光缆项目内部，还考虑了光纤和特种光缆项目对外部环境的影响。我们定期进行干系人满意度调查，以了解各利益相关方对光纤和特种光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这种多层次、多角度的绩效评估方法，使得我们能够全面了解光纤和特种光缆项目的运行状态，及时做出调整，确保光纤和特种光缆项目在不断变化的环境中保持稳健前行。</w:t>
      </w:r>
    </w:p>
    <w:p>
      <w:pPr>
        <w:pStyle w:val="Heading2"/>
        <w:ind w:firstLine="560" w:firstLineChars="200"/>
        <w:rPr>
          <w:rFonts w:ascii="仿宋" w:eastAsia="仿宋" w:hAnsi="仿宋" w:cs="仿宋" w:hint="eastAsia"/>
          <w:sz w:val="28"/>
          <w:lang w:eastAsia="zh-CN"/>
        </w:rPr>
      </w:pPr>
      <w:bookmarkStart w:id="5" w:name="_Toc278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为了确保光纤和特种光缆项目的有效管理和不断优化，我们采用了精心设计的绩效评估周期。这个周期旨在实现灵活、实时和全面的评估，以适应光纤和特种光缆项目执行中的各种挑战。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纤和特种光缆项目的不同需求，分为短期、中期和长期。短期评估关注每个迭代或工作周期，以及时发现和解决当前任务中的问题。中期评估涵盖几个迭代，深入了解整体光纤和特种光缆项目的趋势和性能。长期评估则着眼于整个光纤和特种光缆项目阶段，确保光纤和特种光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纤和特种光缆项目管理工具和协作平台，团队成员能够随时更新和分享光纤和特种光缆项目数据。这种实时性的反馈机制使我们能够及时察觉潜在问题，快速调整，保持光纤和特种光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纤和特种光缆项目的决策制定密不可分。每个周期的光纤和特种光缆项目回顾会议成为集体总结经验、识别问题深层次原因并找到创新解决方案的平台。这种定期的反思与调整机制使光纤和特种光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5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355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的技术管理特点体现在其创新导向。通过引入最先进的技术趋势和解决方案，光纤和特种光缆项目致力于提升科技含量、提高质量和效率水平。这意味着我们将采用最新的工具和方法，确保光纤和特种光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纤和特种光缆项目技术管理的显著特征。通过整合不同领域的技术资源，我们实现了跨学科的协同工作。这有助于优化技术架构，提高整体效能。此外，整合性策略还促进了不同技术团队之间的紧密沟通和高效合作，确保光纤和特种光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纤和特种光缆项目所采用的技术。通过不断优化技术方案，光纤和特种光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纤和特种光缆项目团队将在光纤和特种光缆项目初期识别可能的技术风险，并采取相应的预防和应对措施。通过建立健全的风险评估机制，光纤和特种光缆项目能够在实施过程中及时发现并解决潜在的技术问题，保障光纤和特种光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纤和特种光缆项目中，技术将成为光纤和特种光缆项目成功的有力支持。这一深度剖析揭示了技术管理在光纤和特种光缆项目实施中的关键作用，为光纤和特种光缆项目的技术基础奠定了坚实的基础。</w:t>
      </w:r>
    </w:p>
    <w:p>
      <w:pPr>
        <w:pStyle w:val="Heading2"/>
        <w:ind w:firstLine="560" w:firstLineChars="200"/>
        <w:rPr>
          <w:rFonts w:ascii="仿宋" w:eastAsia="仿宋" w:hAnsi="仿宋" w:cs="仿宋" w:hint="eastAsia"/>
          <w:sz w:val="28"/>
          <w:lang w:eastAsia="zh-CN"/>
        </w:rPr>
      </w:pPr>
      <w:bookmarkStart w:id="8" w:name="_Toc28381"/>
      <w:r>
        <w:rPr>
          <w:rFonts w:ascii="仿宋" w:eastAsia="仿宋" w:hAnsi="仿宋" w:cs="仿宋" w:hint="eastAsia"/>
          <w:sz w:val="28"/>
          <w:lang w:eastAsia="zh-CN"/>
        </w:rPr>
        <w:t>(二)、光纤和特种光缆项目工艺技术设计方案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纤和特种光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纤和特种光缆项目将严格按照相关行业规范要求进行组织。通过有效控制产品质量，光纤和特种光缆项目将致力于为顾客提供优质的光纤和特种光缆项目产品和良好的服务。这体现了光纤和特种光缆项目对于生产活动合规性和质量标准的高度重视，为光纤和特种光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纤和特种光缆项目注重生态效益和清洁生产原则。光纤和特种光缆项目建设将紧密结合地方特色经济发展，与社会经济发展规划和区域环境保护规划方案相协调一致。通过与当地区域自然生态系统的结合，光纤和特种光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纤和特种光缆项目产品具有多样化的客户需求和个性化的特点。因此，光纤和特种光缆项目产品规格品种多样，且单批生产数量较小。为满足这一特点，光纤和特种光缆项目承办单位将建设先进的柔性制造生产线。通过广泛应用柔性制造技术，光纤和特种光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光纤和特种光缆项目采用的技术具有较高的技术含量和自动化水平，处于国内先进水平。这一技术选用不仅体现了对生产效率、质量和环境友好性的高标准要求，同时为光纤和特种光缆项目的可持续发展奠定了坚实的基础。</w:t>
      </w:r>
    </w:p>
    <w:p>
      <w:pPr>
        <w:pStyle w:val="Heading2"/>
        <w:ind w:firstLine="560" w:firstLineChars="200"/>
        <w:rPr>
          <w:rFonts w:ascii="仿宋" w:eastAsia="仿宋" w:hAnsi="仿宋" w:cs="仿宋" w:hint="eastAsia"/>
          <w:sz w:val="28"/>
          <w:lang w:eastAsia="zh-CN"/>
        </w:rPr>
      </w:pPr>
      <w:bookmarkStart w:id="9" w:name="_Toc1814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为确保光纤和特种光缆项目的高效生产和技术实施，我们制定了一套精心设计的设备选型方案，以满足光纤和特种光缆项目生产、质量和环保的要求。该方案的主要特点如下：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纤和特种光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针对光纤和特种光缆项目产品的多样性和小批量生产的特点，我们将建设柔性制造生产线。通过在设备选型中考虑柔性制造技术，可以灵活应对不同产品规格和生产需求，实现生产线的高度灵活性和适应性。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16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616"/>
      <w:r>
        <w:rPr>
          <w:rFonts w:ascii="仿宋" w:eastAsia="仿宋" w:hAnsi="仿宋" w:cs="仿宋" w:hint="eastAsia"/>
          <w:lang w:eastAsia="zh-CN"/>
        </w:rPr>
        <w:t>(一)、光纤和特种光缆行业分析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行业一直以来都是市场的关注焦点。行业内的发展趋势、竞争态势以及潜在机会都对光纤和特种光缆项目的推进产生深远的影响。通过深入研究行业的整体概貌，我们将更好地理解行业的核心特征，为光纤和特种光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行业，技术一直是推动创新和发展的关键因素。我们将对当前技术趋势进行详尽分析，包括但不限于人工智能、大数据应用、先进制造技术等。这有助于光纤和特种光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纤和特种光缆项目成功的基础。我们将对主要竞争对手进行深入研究，包括其市场份额、产品特点、市场定位等。通过全面了解竞争对手的优势和劣势，光纤和特种光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4698"/>
      <w:r>
        <w:rPr>
          <w:rFonts w:ascii="仿宋" w:eastAsia="仿宋" w:hAnsi="仿宋" w:cs="仿宋" w:hint="eastAsia"/>
          <w:sz w:val="28"/>
          <w:lang w:eastAsia="zh-CN"/>
        </w:rPr>
        <w:t>(二)、光纤和特种光缆市场分析预测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纤和特种光缆市场未来的增长趋势。这包括市场的整体规模、各细分领域的发展趋势等。光纤和特种光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纤和特种光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光纤和特种光缆项目实施过程中需要充分考虑的因素。我们将对市场风险进行全面评估，包括但不限于政策法规风险、市场竞争风险、技术变革风险等。通过对潜在风险的深入分析，光纤和特种光缆项目可以制定相应的风险缓解策略，降低不确定性对光纤和特种光缆项目的影响。</w:t>
      </w:r>
    </w:p>
    <w:p>
      <w:pPr>
        <w:pStyle w:val="Heading1"/>
        <w:ind w:firstLine="560" w:firstLineChars="200"/>
        <w:rPr>
          <w:rFonts w:ascii="仿宋" w:eastAsia="仿宋" w:hAnsi="仿宋" w:cs="仿宋" w:hint="eastAsia"/>
          <w:sz w:val="28"/>
          <w:lang w:eastAsia="zh-CN"/>
        </w:rPr>
      </w:pPr>
      <w:bookmarkStart w:id="13" w:name="_Toc11124"/>
      <w:r>
        <w:rPr>
          <w:rFonts w:ascii="仿宋" w:eastAsia="仿宋" w:hAnsi="仿宋" w:cs="仿宋" w:hint="eastAsia"/>
          <w:sz w:val="28"/>
          <w:lang w:eastAsia="zh-CN"/>
        </w:rPr>
        <w:t>四、光纤和特种光缆项目可持续发展</w:t>
      </w:r>
      <w:bookmarkEnd w:id="13"/>
    </w:p>
    <w:p>
      <w:pPr>
        <w:pStyle w:val="Heading2"/>
        <w:rPr>
          <w:rFonts w:ascii="仿宋" w:eastAsia="仿宋" w:hAnsi="仿宋" w:cs="仿宋" w:hint="eastAsia"/>
          <w:lang w:eastAsia="zh-CN"/>
        </w:rPr>
      </w:pPr>
      <w:bookmarkStart w:id="14" w:name="_Toc2786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中，光纤和特种光缆项目团队着眼于未来，明确了可持续发展的战略方向。制定的具体可持续发展目标包括降低资源使用、采用环保技术、最大化社会效益等。这一步骤不仅有助于光纤和特种光缆项目在环保和社会责任方面达到最高标准，也为未来提供了明确的指引，确保光纤和特种光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可持续实践的融入光纤和特种光缆项目管理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纤和特种光缆项目管理周期。从光纤和特种光缆项目规划开始，光纤和特种光缆项目团队就考虑了环境和社会的因素。在执行阶段，光纤和特种光缆项目团队积极推动绿色技术的应用，优化资源利用。此外，关注员工的社会责任，通过培训和沟通活动提高员工对可持续发展的认知，使他们能够在日常工作中践行可持续实践。这些举措不仅为光纤和特种光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850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扎根于光纤和特种光缆项目的可持续发展理念，我们深信环保与社会责任是光纤和特种光缆项目成功的关键支柱。在光纤和特种光缆项目的每一步，我们都致力于通过创新和实践，履行对环境和社会的坚定责任。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团队通过引入先进的环保技术、建立高效的废物处理系统以及推动能源节约措施，积极履行环保责任。定期的环保监测和评估确保光纤和特种光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和特种光缆项目不仅致力于自身可持续发展，还注重对社会的回馈。通过支持社区光纤和特种光缆项目、参与慈善事业、提供培训机会等方式，光纤和特种光缆项目积极履行社会责任。与当地社区建立积极互动，关注员工的工作与生活平衡，以及员工的身心健康，是光纤和特种光缆项目在社会责任层面的关键举措。这样的实践不仅增强了光纤和特种光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332"/>
      <w:r>
        <w:rPr>
          <w:rFonts w:ascii="仿宋" w:eastAsia="仿宋" w:hAnsi="仿宋" w:cs="仿宋" w:hint="eastAsia"/>
          <w:sz w:val="28"/>
          <w:lang w:eastAsia="zh-CN"/>
        </w:rPr>
        <w:t>五、光纤和特种光缆项目土建工程</w:t>
      </w:r>
      <w:bookmarkEnd w:id="16"/>
    </w:p>
    <w:p>
      <w:pPr>
        <w:pStyle w:val="Heading2"/>
        <w:rPr>
          <w:rFonts w:ascii="仿宋" w:eastAsia="仿宋" w:hAnsi="仿宋" w:cs="仿宋" w:hint="eastAsia"/>
          <w:lang w:eastAsia="zh-CN"/>
        </w:rPr>
      </w:pPr>
      <w:bookmarkStart w:id="17" w:name="_Toc791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在光纤和特种光缆项目的建筑工程设计中，我们将秉承一系列重要的设计原则，以确保光纤和特种光缆项目建筑在功能、美观、可持续性等方面达到最佳效果。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首要原则是确保建筑的功能性得到最大化的发挥。我们将充分理解光纤和特种光缆项目的实际需求，合理布局各个功能区域，保证建筑在满足业务需求的同时，提供高效的工作环境。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在建筑设计中，我们将综合考虑建设和运营成本。通过精细的经济效益分析，确保设计方案在高效利用资源的同时，对光纤和特种光缆项目的长期盈利能力有积极的贡献。</w:t>
      </w:r>
    </w:p>
    <w:p>
      <w:pPr>
        <w:pStyle w:val="Heading2"/>
        <w:ind w:firstLine="560" w:firstLineChars="200"/>
        <w:rPr>
          <w:rFonts w:ascii="仿宋" w:eastAsia="仿宋" w:hAnsi="仿宋" w:cs="仿宋" w:hint="eastAsia"/>
          <w:sz w:val="28"/>
          <w:lang w:eastAsia="zh-CN"/>
        </w:rPr>
      </w:pPr>
      <w:bookmarkStart w:id="18" w:name="_Toc991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和特种光缆项目的土建工程设计中，我们将精准设定设计年限，结合光纤和特种光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纤和特种光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721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光纤和特种光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纤和特种光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纤和特种光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0590"/>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本期工程光纤和特种光缆项目预计总建筑面积XXX平方米，其中：计容建筑面积XXX平方米，计划建筑工程投资XX万元，占光纤和特种光缆项目总投资的XX%。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https://d.book118.com/407046005134006052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光纤和特种光缆项目规划设计纲要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551D5"/>
    <w:rsid w:val="60D551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4600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2024-03-01T13:17:00Z</dcterms:created>
  <dcterms:modified xsi:type="dcterms:W3CDTF">2024-03-01T13:17:41Z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2DED49CEA96248AAB8F697E4A3164307_11</vt:lpwstr>
  </property>
  <property fmtid="{D5CDD505-2E9C-101B-9397-08002B2CF9AE}" pid="3" name="KSOProductBuildVer">
    <vt:lpwstr>2052-12.1.0.16388</vt:lpwstr>
  </property>
</Properties>
</file>