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521" w:lineRule="exact"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5447664</wp:posOffset>
            </wp:positionH>
            <wp:positionV relativeFrom="page">
              <wp:posOffset>288290</wp:posOffset>
            </wp:positionV>
            <wp:extent cx="1549908" cy="34163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49908" cy="34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3.8pt;height:14.55pt;margin-top:204.03pt;margin-left:401.52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color w:val="17365D"/>
                      <w:spacing w:val="-1"/>
                      <w:sz w:val="21"/>
                      <w:szCs w:val="21"/>
                      <w14:textOutline w14:w="3831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股价走势</w:t>
                  </w:r>
                </w:p>
              </w:txbxContent>
            </v:textbox>
          </v:shape>
        </w:pict>
      </w:r>
      <w:r>
        <w:pict>
          <v:shape id="_x0000_s1026" type="#_x0000_t202" style="width:144.5pt;height:97.6pt;margin-top:216.08pt;margin-left:401.9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2834" w:type="dxa"/>
                    <w:tblInd w:w="27" w:type="dxa"/>
                    <w:tblBorders>
                      <w:top w:val="single" w:sz="6" w:space="0" w:color="FFFFFF"/>
                      <w:left w:val="single" w:sz="6" w:space="0" w:color="FFFFFF"/>
                      <w:bottom w:val="single" w:sz="6" w:space="0" w:color="FFFFFF"/>
                      <w:right w:val="single" w:sz="6" w:space="0" w:color="FFFFFF"/>
                      <w:insideH w:val="single" w:sz="6" w:space="0" w:color="FFFFFF"/>
                      <w:insideV w:val="single" w:sz="6" w:space="0" w:color="FFFFFF"/>
                    </w:tblBorders>
                    <w:tblLayout w:type="fixed"/>
                  </w:tblPr>
                  <w:tblGrid>
                    <w:gridCol w:w="366"/>
                    <w:gridCol w:w="2468"/>
                  </w:tblGrid>
                  <w:tr>
                    <w:tblPrEx>
                      <w:tblW w:w="2834" w:type="dxa"/>
                      <w:tblInd w:w="27" w:type="dxa"/>
                      <w:tblBorders>
                        <w:top w:val="single" w:sz="6" w:space="0" w:color="FFFFFF"/>
                        <w:left w:val="single" w:sz="6" w:space="0" w:color="FFFFFF"/>
                        <w:bottom w:val="single" w:sz="6" w:space="0" w:color="FFFFFF"/>
                        <w:right w:val="single" w:sz="6" w:space="0" w:color="FFFFFF"/>
                        <w:insideH w:val="single" w:sz="6" w:space="0" w:color="FFFFFF"/>
                        <w:insideV w:val="single" w:sz="6" w:space="0" w:color="FFFFFF"/>
                      </w:tblBorders>
                      <w:tblLayout w:type="fixed"/>
                    </w:tblPrEx>
                    <w:trPr>
                      <w:trHeight w:val="1677"/>
                    </w:trPr>
                    <w:tc>
                      <w:tcPr>
                        <w:tcW w:w="366" w:type="dxa"/>
                        <w:tcBorders>
                          <w:top w:val="single" w:sz="2" w:space="0" w:color="FFFFFF"/>
                          <w:bottom w:val="nil"/>
                          <w:right w:val="nil"/>
                        </w:tcBorders>
                        <w:vAlign w:val="top"/>
                      </w:tcPr>
                      <w:p>
                        <w:pPr>
                          <w:spacing w:line="40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tabs>
                            <w:tab w:val="left" w:pos="162"/>
                            <w:tab w:val="left" w:pos="196"/>
                          </w:tabs>
                          <w:spacing w:before="29" w:line="257" w:lineRule="auto"/>
                          <w:ind w:left="112" w:right="31" w:firstLine="40"/>
                          <w:jc w:val="right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color w:val="595959"/>
                            <w:spacing w:val="-4"/>
                            <w:sz w:val="10"/>
                            <w:szCs w:val="10"/>
                          </w:rPr>
                          <w:t>15%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10"/>
                            <w:sz w:val="10"/>
                            <w:szCs w:val="10"/>
                          </w:rPr>
                          <w:t>11%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pacing w:val="-2"/>
                            <w:sz w:val="10"/>
                            <w:szCs w:val="10"/>
                          </w:rPr>
                          <w:t>7%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pacing w:val="-2"/>
                            <w:sz w:val="10"/>
                            <w:szCs w:val="10"/>
                          </w:rPr>
                          <w:t>3%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-1%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-5%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-9%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-13%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-17%</w:t>
                        </w:r>
                        <w:r>
                          <w:rPr>
                            <w:color w:val="595959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-1"/>
                            <w:sz w:val="10"/>
                            <w:szCs w:val="10"/>
                          </w:rPr>
                          <w:t>-21%</w:t>
                        </w:r>
                      </w:p>
                    </w:tc>
                    <w:tc>
                      <w:tcPr>
                        <w:tcW w:w="2468" w:type="dxa"/>
                        <w:tcBorders>
                          <w:top w:val="single" w:sz="2" w:space="0" w:color="FFFFFF"/>
                          <w:left w:val="nil"/>
                          <w:bottom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177" w:line="218" w:lineRule="auto"/>
                          <w:ind w:left="189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rFonts w:ascii="KaiTi" w:eastAsia="KaiTi" w:hAnsi="KaiTi" w:cs="KaiTi"/>
                            <w:color w:val="595959"/>
                            <w:position w:val="2"/>
                            <w:sz w:val="10"/>
                            <w:szCs w:val="10"/>
                          </w:rPr>
                          <w:drawing>
                            <wp:inline distT="0" distB="0" distL="0" distR="0">
                              <wp:extent cx="259714" cy="15875"/>
                              <wp:effectExtent l="0" t="0" r="0" b="0"/>
                              <wp:docPr id="6" name="IM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 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9714" cy="1587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KaiTi" w:eastAsia="KaiTi" w:hAnsi="KaiTi" w:cs="KaiTi"/>
                            <w:color w:val="595959"/>
                            <w:spacing w:val="-8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595959"/>
                            <w:spacing w:val="-2"/>
                            <w:sz w:val="10"/>
                            <w:szCs w:val="10"/>
                          </w:rPr>
                          <w:t>昊华能源</w:t>
                        </w:r>
                        <w:r>
                          <w:rPr>
                            <w:rFonts w:ascii="KaiTi" w:eastAsia="KaiTi" w:hAnsi="KaiTi" w:cs="KaiTi"/>
                            <w:color w:val="595959"/>
                            <w:spacing w:val="-2"/>
                            <w:sz w:val="10"/>
                            <w:szCs w:val="10"/>
                          </w:rPr>
                          <w:t xml:space="preserve">   </w:t>
                        </w:r>
                        <w:r>
                          <w:rPr>
                            <w:rFonts w:ascii="KaiTi" w:eastAsia="KaiTi" w:hAnsi="KaiTi" w:cs="KaiTi"/>
                            <w:strike/>
                            <w:color w:val="595959"/>
                            <w:spacing w:val="1"/>
                            <w:sz w:val="10"/>
                            <w:szCs w:val="10"/>
                          </w:rPr>
                          <w:t xml:space="preserve">        </w:t>
                        </w:r>
                        <w:r>
                          <w:rPr>
                            <w:rFonts w:ascii="KaiTi" w:eastAsia="KaiTi" w:hAnsi="KaiTi" w:cs="KaiTi"/>
                            <w:color w:val="595959"/>
                            <w:spacing w:val="-2"/>
                            <w:sz w:val="10"/>
                            <w:szCs w:val="10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color w:val="595959"/>
                            <w:spacing w:val="-2"/>
                            <w:sz w:val="10"/>
                            <w:szCs w:val="10"/>
                          </w:rPr>
                          <w:t>沪深</w:t>
                        </w:r>
                        <w:r>
                          <w:rPr>
                            <w:color w:val="595959"/>
                            <w:spacing w:val="-2"/>
                            <w:sz w:val="10"/>
                            <w:szCs w:val="10"/>
                          </w:rPr>
                          <w:t>300</w:t>
                        </w:r>
                      </w:p>
                      <w:p>
                        <w:pPr>
                          <w:spacing w:before="155" w:line="1214" w:lineRule="exact"/>
                          <w:ind w:firstLine="20"/>
                        </w:pPr>
                        <w:r>
                          <w:rPr>
                            <w:position w:val="-24"/>
                          </w:rPr>
                          <w:drawing>
                            <wp:inline distT="0" distB="0" distL="0" distR="0">
                              <wp:extent cx="1363534" cy="770635"/>
                              <wp:effectExtent l="0" t="0" r="0" b="0"/>
                              <wp:docPr id="8" name="IM 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 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363534" cy="7706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>
                    <w:tblPrEx>
                      <w:tblW w:w="2834" w:type="dxa"/>
                      <w:tblInd w:w="27" w:type="dxa"/>
                      <w:tblLayout w:type="fixed"/>
                    </w:tblPrEx>
                    <w:trPr>
                      <w:trHeight w:val="214"/>
                    </w:trPr>
                    <w:tc>
                      <w:tcPr>
                        <w:tcW w:w="2834" w:type="dxa"/>
                        <w:gridSpan w:val="2"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29" w:line="209" w:lineRule="auto"/>
                          <w:ind w:left="249"/>
                          <w:rPr>
                            <w:sz w:val="7"/>
                            <w:szCs w:val="7"/>
                          </w:rPr>
                        </w:pPr>
                        <w:r>
                          <w:rPr>
                            <w:color w:val="595959"/>
                            <w:spacing w:val="4"/>
                            <w:sz w:val="7"/>
                            <w:szCs w:val="7"/>
                          </w:rPr>
                          <w:t>2023/2/27</w:t>
                        </w:r>
                        <w:r>
                          <w:rPr>
                            <w:color w:val="595959"/>
                            <w:sz w:val="7"/>
                            <w:szCs w:val="7"/>
                          </w:rPr>
                          <w:t xml:space="preserve">                     </w:t>
                        </w:r>
                        <w:r>
                          <w:rPr>
                            <w:color w:val="595959"/>
                            <w:spacing w:val="4"/>
                            <w:sz w:val="7"/>
                            <w:szCs w:val="7"/>
                          </w:rPr>
                          <w:t>2023/6/28</w:t>
                        </w:r>
                        <w:r>
                          <w:rPr>
                            <w:color w:val="595959"/>
                            <w:spacing w:val="1"/>
                            <w:sz w:val="7"/>
                            <w:szCs w:val="7"/>
                          </w:rPr>
                          <w:t xml:space="preserve">                    </w:t>
                        </w:r>
                        <w:r>
                          <w:rPr>
                            <w:color w:val="595959"/>
                            <w:spacing w:val="4"/>
                            <w:sz w:val="7"/>
                            <w:szCs w:val="7"/>
                          </w:rPr>
                          <w:t>2023/10/27</w:t>
                        </w:r>
                        <w:r>
                          <w:rPr>
                            <w:color w:val="595959"/>
                            <w:sz w:val="7"/>
                            <w:szCs w:val="7"/>
                          </w:rPr>
                          <w:t xml:space="preserve">                    </w:t>
                        </w:r>
                        <w:r>
                          <w:rPr>
                            <w:color w:val="595959"/>
                            <w:spacing w:val="4"/>
                            <w:sz w:val="7"/>
                            <w:szCs w:val="7"/>
                          </w:rPr>
                          <w:t>2024/2/25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7" type="#_x0000_t202" style="width:89.15pt;height:206.05pt;margin-top:327.78pt;margin-left:401.11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0" w:lineRule="auto"/>
                    <w:ind w:left="36"/>
                    <w:rPr>
                      <w:sz w:val="21"/>
                      <w:szCs w:val="21"/>
                    </w:rPr>
                  </w:pPr>
                  <w:r>
                    <w:rPr>
                      <w:color w:val="17365D"/>
                      <w:spacing w:val="-3"/>
                      <w:sz w:val="21"/>
                      <w:szCs w:val="21"/>
                      <w14:textOutline w14:w="3831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市场数据</w:t>
                  </w:r>
                </w:p>
                <w:p>
                  <w:pPr>
                    <w:pStyle w:val="BodyText"/>
                    <w:spacing w:before="95" w:line="212" w:lineRule="auto"/>
                    <w:ind w:left="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收盘价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(</w:t>
                  </w:r>
                  <w:r>
                    <w:rPr>
                      <w:spacing w:val="-3"/>
                      <w:sz w:val="18"/>
                      <w:szCs w:val="18"/>
                    </w:rPr>
                    <w:t>元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)</w:t>
                  </w:r>
                </w:p>
                <w:p>
                  <w:pPr>
                    <w:pStyle w:val="BodyText"/>
                    <w:spacing w:before="105" w:line="312" w:lineRule="exact"/>
                    <w:ind w:left="28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position w:val="9"/>
                      <w:sz w:val="18"/>
                      <w:szCs w:val="18"/>
                    </w:rPr>
                    <w:t>一年最低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9"/>
                      <w:sz w:val="18"/>
                      <w:szCs w:val="18"/>
                    </w:rPr>
                    <w:t>/</w:t>
                  </w:r>
                  <w:r>
                    <w:rPr>
                      <w:spacing w:val="-2"/>
                      <w:position w:val="9"/>
                      <w:sz w:val="18"/>
                      <w:szCs w:val="18"/>
                    </w:rPr>
                    <w:t>最高价</w:t>
                  </w:r>
                </w:p>
                <w:p>
                  <w:pPr>
                    <w:pStyle w:val="BodyText"/>
                    <w:spacing w:line="212" w:lineRule="auto"/>
                    <w:ind w:left="3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市净率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(</w:t>
                  </w:r>
                  <w:r>
                    <w:rPr>
                      <w:spacing w:val="-3"/>
                      <w:sz w:val="18"/>
                      <w:szCs w:val="18"/>
                    </w:rPr>
                    <w:t>倍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)</w:t>
                  </w:r>
                </w:p>
                <w:p>
                  <w:pPr>
                    <w:pStyle w:val="BodyText"/>
                    <w:spacing w:before="105" w:line="266" w:lineRule="auto"/>
                    <w:ind w:left="32" w:righ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流通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sz w:val="18"/>
                      <w:szCs w:val="18"/>
                    </w:rPr>
                    <w:t xml:space="preserve"> </w:t>
                  </w:r>
                  <w:r>
                    <w:rPr>
                      <w:sz w:val="18"/>
                      <w:szCs w:val="18"/>
                    </w:rPr>
                    <w:t>股市值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(</w:t>
                  </w:r>
                  <w:r>
                    <w:rPr>
                      <w:sz w:val="18"/>
                      <w:szCs w:val="18"/>
                    </w:rPr>
                    <w:t>百万元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) </w:t>
                  </w:r>
                  <w:r>
                    <w:rPr>
                      <w:spacing w:val="-2"/>
                      <w:sz w:val="18"/>
                      <w:szCs w:val="18"/>
                    </w:rPr>
                    <w:t>总市值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(</w:t>
                  </w:r>
                  <w:r>
                    <w:rPr>
                      <w:spacing w:val="-2"/>
                      <w:sz w:val="18"/>
                      <w:szCs w:val="18"/>
                    </w:rPr>
                    <w:t>百万元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)</w:t>
                  </w: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69" w:line="226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color w:val="17365D"/>
                      <w:sz w:val="21"/>
                      <w:szCs w:val="21"/>
                      <w14:textOutline w14:w="3831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基础数据</w:t>
                  </w:r>
                </w:p>
                <w:p>
                  <w:pPr>
                    <w:pStyle w:val="BodyText"/>
                    <w:spacing w:before="68" w:line="257" w:lineRule="auto"/>
                    <w:ind w:left="32" w:right="306" w:hanging="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每股净资产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(</w:t>
                  </w:r>
                  <w:r>
                    <w:rPr>
                      <w:sz w:val="18"/>
                      <w:szCs w:val="18"/>
                    </w:rPr>
                    <w:t>元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,LF) </w:t>
                  </w:r>
                  <w:r>
                    <w:rPr>
                      <w:spacing w:val="-2"/>
                      <w:sz w:val="18"/>
                      <w:szCs w:val="18"/>
                    </w:rPr>
                    <w:t>资产负债率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(%,LF)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2"/>
                      <w:sz w:val="18"/>
                      <w:szCs w:val="18"/>
                    </w:rPr>
                    <w:t>总股本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(</w:t>
                  </w:r>
                  <w:r>
                    <w:rPr>
                      <w:spacing w:val="-2"/>
                      <w:sz w:val="18"/>
                      <w:szCs w:val="18"/>
                    </w:rPr>
                    <w:t>百万股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)</w:t>
                  </w:r>
                </w:p>
                <w:p>
                  <w:pPr>
                    <w:pStyle w:val="BodyText"/>
                    <w:spacing w:before="65" w:line="212" w:lineRule="auto"/>
                    <w:ind w:left="3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spacing w:val="-2"/>
                      <w:sz w:val="18"/>
                      <w:szCs w:val="18"/>
                    </w:rPr>
                    <w:t>流通</w:t>
                  </w:r>
                  <w:r>
                    <w:rPr>
                      <w:spacing w:val="-3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A </w:t>
                  </w:r>
                  <w:r>
                    <w:rPr>
                      <w:spacing w:val="-2"/>
                      <w:sz w:val="18"/>
                      <w:szCs w:val="18"/>
                    </w:rPr>
                    <w:t>股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(</w:t>
                  </w:r>
                  <w:r>
                    <w:rPr>
                      <w:spacing w:val="-2"/>
                      <w:sz w:val="18"/>
                      <w:szCs w:val="18"/>
                    </w:rPr>
                    <w:t>百万股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)</w:t>
                  </w: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69" w:line="226" w:lineRule="auto"/>
                    <w:ind w:left="20"/>
                    <w:rPr>
                      <w:sz w:val="21"/>
                      <w:szCs w:val="21"/>
                    </w:rPr>
                  </w:pPr>
                  <w:r>
                    <w:rPr>
                      <w:color w:val="17365D"/>
                      <w:sz w:val="21"/>
                      <w:szCs w:val="21"/>
                      <w14:textOutline w14:w="3831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相关研究</w:t>
                  </w:r>
                </w:p>
              </w:txbxContent>
            </v:textbox>
          </v:shape>
        </w:pict>
      </w:r>
      <w:r>
        <w:pict>
          <v:shape id="_x0000_s1028" type="#_x0000_t202" style="width:37pt;height:157.4pt;margin-top:346.64pt;margin-left:511.23pt;mso-position-horizontal-relative:page;mso-position-vertical-relative:page;position:absolute;z-index:251662336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410"/>
                    </w:tabs>
                    <w:spacing w:before="19" w:line="362" w:lineRule="auto"/>
                    <w:ind w:left="20" w:right="20" w:firstLine="391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7.39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5.30/8.17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0.94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10,641.58</w:t>
                  </w:r>
                </w:p>
                <w:p>
                  <w:pPr>
                    <w:spacing w:line="188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10,641.58</w:t>
                  </w:r>
                </w:p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tabs>
                      <w:tab w:val="left" w:pos="320"/>
                    </w:tabs>
                    <w:spacing w:before="52" w:line="284" w:lineRule="auto"/>
                    <w:ind w:left="108" w:right="20" w:firstLine="302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7.82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52.26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1,440.00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1,440.00</w:t>
                  </w:r>
                </w:p>
              </w:txbxContent>
            </v:textbox>
          </v:shape>
        </w:pict>
      </w:r>
      <w:r>
        <w:pict>
          <v:shape id="_x0000_s1029" type="#_x0000_t202" style="width:147.3pt;height:58.5pt;margin-top:536.26pt;margin-left:401.07pt;mso-position-horizontal-relative:page;mso-position-vertical-relative:page;position:absolute;z-index:2516613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86" w:lineRule="auto"/>
                    <w:ind w:left="22" w:right="33" w:hanging="3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《昊华能源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>(601101)</w:t>
                  </w:r>
                  <w:r>
                    <w:rPr>
                      <w:spacing w:val="3"/>
                      <w:sz w:val="18"/>
                      <w:szCs w:val="18"/>
                    </w:rPr>
                    <w:t>：稀缺煤炭产能</w:t>
                  </w:r>
                  <w:r>
                    <w:rPr>
                      <w:spacing w:val="11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增量标的，</w:t>
                  </w:r>
                  <w:r>
                    <w:rPr>
                      <w:spacing w:val="-5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5"/>
                      <w:sz w:val="18"/>
                      <w:szCs w:val="18"/>
                    </w:rPr>
                    <w:t>市值管理提升分红预期，</w:t>
                  </w:r>
                  <w:r>
                    <w:rPr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spacing w:val="-1"/>
                      <w:sz w:val="18"/>
                      <w:szCs w:val="18"/>
                    </w:rPr>
                    <w:t>造就低估值高股息弹性标的》</w:t>
                  </w:r>
                </w:p>
                <w:p>
                  <w:pPr>
                    <w:spacing w:before="129" w:line="188" w:lineRule="auto"/>
                    <w:ind w:right="19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2024-02-20</w:t>
                  </w:r>
                </w:p>
              </w:txbxContent>
            </v:textbox>
          </v:shape>
        </w:pict>
      </w:r>
      <w:r>
        <w:rPr>
          <w:position w:val="-12"/>
        </w:rPr>
        <w:pict>
          <v:shape id="_x0000_i1030" type="#_x0000_t202" style="width:396.55pt;height:27.3pt;mso-position-horizontal-relative:char;mso-position-vertical-relative:line" filled="t" fillcolor="#d8d8d8" stroked="f">
            <o:lock v:ext="edit" aspectratio="f"/>
            <v:textbox inset="0,0,0,0">
              <w:txbxContent>
                <w:p>
                  <w:pPr>
                    <w:spacing w:before="158" w:line="218" w:lineRule="auto"/>
                    <w:ind w:left="993"/>
                    <w:rPr>
                      <w:rFonts w:ascii="KaiTi" w:eastAsia="KaiTi" w:hAnsi="KaiTi" w:cs="KaiTi"/>
                      <w:sz w:val="28"/>
                      <w:szCs w:val="2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8"/>
                      <w:sz w:val="28"/>
                      <w:szCs w:val="28"/>
                    </w:rPr>
                    <w:t>证券研究报告·公司深度研究</w:t>
                  </w:r>
                  <w:r>
                    <w:rPr>
                      <w:rFonts w:ascii="KaiTi" w:eastAsia="KaiTi" w:hAnsi="KaiTi" w:cs="KaiTi"/>
                      <w:color w:val="17365D"/>
                      <w:spacing w:val="-8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17365D"/>
                      <w:spacing w:val="-8"/>
                      <w:sz w:val="28"/>
                      <w:szCs w:val="28"/>
                    </w:rPr>
                    <w:t>·煤炭开采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496" w:lineRule="exact"/>
        <w:ind w:firstLine="851"/>
      </w:pPr>
      <w:r>
        <w:rPr>
          <w:position w:val="-9"/>
        </w:rPr>
        <w:pict>
          <v:shape id="_x0000_i1031" type="#_x0000_t202" style="width:354.1pt;height:24.85pt;mso-position-horizontal-relative:char;mso-position-vertical-relative:line" filled="t" fillcolor="#17365d" stroked="f">
            <o:lock v:ext="edit" aspectratio="f"/>
            <v:textbox inset="0,0,0,0">
              <w:txbxContent>
                <w:p>
                  <w:pPr>
                    <w:spacing w:before="47" w:line="217" w:lineRule="auto"/>
                    <w:ind w:left="30"/>
                    <w:rPr>
                      <w:rFonts w:ascii="KaiTi" w:eastAsia="KaiTi" w:hAnsi="KaiTi" w:cs="KaiTi"/>
                      <w:sz w:val="36"/>
                      <w:szCs w:val="36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4"/>
                      <w:sz w:val="36"/>
                      <w:szCs w:val="36"/>
                    </w:rPr>
                    <w:t>昊华能源（</w:t>
                  </w:r>
                  <w:r>
                    <w:rPr>
                      <w:rFonts w:ascii="Times New Roman" w:eastAsia="Times New Roman" w:hAnsi="Times New Roman" w:cs="Times New Roman"/>
                      <w:color w:val="FFFFFF"/>
                      <w:spacing w:val="-4"/>
                      <w:sz w:val="36"/>
                      <w:szCs w:val="36"/>
                    </w:rPr>
                    <w:t>601101</w:t>
                  </w:r>
                  <w:r>
                    <w:rPr>
                      <w:rFonts w:ascii="KaiTi" w:eastAsia="KaiTi" w:hAnsi="KaiTi" w:cs="KaiTi"/>
                      <w:color w:val="FFFFFF"/>
                      <w:spacing w:val="-4"/>
                      <w:sz w:val="36"/>
                      <w:szCs w:val="36"/>
                    </w:rPr>
                    <w:t>）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56" w:line="234" w:lineRule="auto"/>
        <w:ind w:left="860"/>
        <w:rPr>
          <w:sz w:val="36"/>
          <w:szCs w:val="36"/>
        </w:rPr>
      </w:pPr>
      <w:r>
        <w:pict>
          <v:shape id="_x0000_s1032" type="#_x0000_t202" style="width:101pt;height:16.15pt;margin-top:12.98pt;margin-left:447.32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7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7365D"/>
                      <w:spacing w:val="-9"/>
                      <w:sz w:val="24"/>
                      <w:szCs w:val="24"/>
                    </w:rPr>
                    <w:t xml:space="preserve">2024 </w:t>
                  </w:r>
                  <w:r>
                    <w:rPr>
                      <w:color w:val="17365D"/>
                      <w:spacing w:val="-9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color w:val="17365D"/>
                      <w:spacing w:val="-4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7365D"/>
                      <w:spacing w:val="-9"/>
                      <w:sz w:val="24"/>
                      <w:szCs w:val="24"/>
                    </w:rPr>
                    <w:t>02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7365D"/>
                      <w:spacing w:val="23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17365D"/>
                      <w:spacing w:val="-9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color w:val="17365D"/>
                      <w:spacing w:val="-5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7365D"/>
                      <w:spacing w:val="-9"/>
                      <w:sz w:val="24"/>
                      <w:szCs w:val="24"/>
                    </w:rPr>
                    <w:t>27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7365D"/>
                      <w:spacing w:val="58"/>
                      <w:w w:val="101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17365D"/>
                      <w:spacing w:val="-9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xbxContent>
            </v:textbox>
          </v:shape>
        </w:pict>
      </w:r>
      <w:r>
        <w:rPr>
          <w:color w:val="17365D"/>
          <w:spacing w:val="3"/>
          <w:sz w:val="36"/>
          <w:szCs w:val="36"/>
          <w14:textOutline w14:w="6531">
            <w14:solidFill>
              <w14:srgbClr w14:val="17365D"/>
            </w14:solidFill>
            <w14:prstDash w14:val="solid"/>
            <w14:miter w14:lim="10"/>
          </w14:textOutline>
        </w:rPr>
        <w:t>稀缺煤炭产能增量标的，市值管理提升分红</w:t>
      </w:r>
    </w:p>
    <w:p>
      <w:pPr>
        <w:pStyle w:val="BodyText"/>
        <w:spacing w:line="181" w:lineRule="auto"/>
        <w:ind w:left="856"/>
        <w:rPr>
          <w:sz w:val="36"/>
          <w:szCs w:val="36"/>
        </w:rPr>
      </w:pPr>
      <w:r>
        <w:rPr>
          <w:color w:val="17365D"/>
          <w:spacing w:val="-6"/>
          <w:sz w:val="36"/>
          <w:szCs w:val="36"/>
          <w14:textOutline w14:w="6531">
            <w14:solidFill>
              <w14:srgbClr w14:val="17365D"/>
            </w14:solidFill>
            <w14:prstDash w14:val="solid"/>
            <w14:miter w14:lim="10"/>
          </w14:textOutline>
        </w:rPr>
        <w:t>预期，造就低估值高股息弹性标的【勘误版】</w:t>
      </w:r>
    </w:p>
    <w:p>
      <w:pPr>
        <w:pStyle w:val="BodyText"/>
        <w:spacing w:line="171" w:lineRule="auto"/>
        <w:ind w:left="8777"/>
        <w:rPr>
          <w:sz w:val="24"/>
          <w:szCs w:val="24"/>
        </w:rPr>
      </w:pPr>
      <w:r>
        <w:rPr>
          <w:color w:val="17365D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证券分析师</w:t>
      </w:r>
      <w:r>
        <w:rPr>
          <w:color w:val="17365D"/>
          <w:sz w:val="24"/>
          <w:szCs w:val="24"/>
        </w:rPr>
        <w:t xml:space="preserve">  </w:t>
      </w:r>
      <w:r>
        <w:rPr>
          <w:color w:val="17365D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孟祥文</w:t>
      </w:r>
    </w:p>
    <w:p>
      <w:pPr>
        <w:pStyle w:val="BodyText"/>
        <w:spacing w:line="224" w:lineRule="auto"/>
        <w:ind w:left="884"/>
        <w:rPr>
          <w:sz w:val="31"/>
          <w:szCs w:val="31"/>
        </w:rPr>
      </w:pPr>
      <w:r>
        <w:pict>
          <v:shape id="_x0000_s1033" type="#_x0000_t202" style="width:128.6pt;height:69.8pt;margin-top:2.36pt;margin-left:419.8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3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执业证书：</w:t>
                  </w:r>
                  <w:r>
                    <w:rPr>
                      <w:spacing w:val="-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S0600523120001</w:t>
                  </w:r>
                </w:p>
                <w:p>
                  <w:pPr>
                    <w:spacing w:before="60" w:line="193" w:lineRule="auto"/>
                    <w:ind w:right="18"/>
                    <w:jc w:val="right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mengxw@dwzq.com.cn</w:t>
                  </w:r>
                </w:p>
                <w:p>
                  <w:pPr>
                    <w:pStyle w:val="BodyText"/>
                    <w:spacing w:before="35" w:line="217" w:lineRule="auto"/>
                    <w:ind w:right="22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color w:val="17365D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研究助理</w:t>
                  </w:r>
                  <w:r>
                    <w:rPr>
                      <w:color w:val="17365D"/>
                      <w:sz w:val="24"/>
                      <w:szCs w:val="24"/>
                    </w:rPr>
                    <w:t xml:space="preserve">  </w:t>
                  </w:r>
                  <w:r>
                    <w:rPr>
                      <w:color w:val="17365D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miter w14:lim="10"/>
                      </w14:textOutline>
                    </w:rPr>
                    <w:t>廖岚琪</w:t>
                  </w:r>
                </w:p>
                <w:p>
                  <w:pPr>
                    <w:pStyle w:val="BodyText"/>
                    <w:spacing w:before="23" w:line="236" w:lineRule="auto"/>
                    <w:ind w:left="765" w:right="20" w:hanging="7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spacing w:val="-6"/>
                      <w:sz w:val="21"/>
                      <w:szCs w:val="21"/>
                    </w:rPr>
                    <w:t>执业证书：</w:t>
                  </w:r>
                  <w:r>
                    <w:rPr>
                      <w:spacing w:val="-6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S0600123070008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liaolq@dwzq.com.cn</w:t>
                  </w:r>
                </w:p>
              </w:txbxContent>
            </v:textbox>
          </v:shape>
        </w:pict>
      </w:r>
      <w:r>
        <w:rPr>
          <w:color w:val="17365D"/>
          <w:spacing w:val="3"/>
          <w:sz w:val="31"/>
          <w:szCs w:val="31"/>
        </w:rPr>
        <w:t>买入（维持）</w:t>
      </w:r>
    </w:p>
    <w:p>
      <w:pPr>
        <w:spacing w:line="132" w:lineRule="exact"/>
      </w:pPr>
    </w:p>
    <w:tbl>
      <w:tblPr>
        <w:tblStyle w:val="TableNormal"/>
        <w:tblW w:w="6889" w:type="dxa"/>
        <w:tblInd w:w="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05"/>
        <w:gridCol w:w="998"/>
        <w:gridCol w:w="1037"/>
        <w:gridCol w:w="982"/>
        <w:gridCol w:w="999"/>
        <w:gridCol w:w="868"/>
      </w:tblGrid>
      <w:tr>
        <w:tblPrEx>
          <w:tblW w:w="6889" w:type="dxa"/>
          <w:tblInd w:w="8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88"/>
        </w:trPr>
        <w:tc>
          <w:tcPr>
            <w:tcW w:w="2005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before="101" w:line="220" w:lineRule="auto"/>
              <w:ind w:left="6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7365D"/>
                <w:spacing w:val="-1"/>
                <w:sz w:val="18"/>
                <w:szCs w:val="18"/>
                <w14:textOutline w14:w="3265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盈利预测与估值</w:t>
            </w:r>
          </w:p>
        </w:tc>
        <w:tc>
          <w:tcPr>
            <w:tcW w:w="998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2" w:line="188" w:lineRule="auto"/>
              <w:ind w:left="320"/>
            </w:pPr>
            <w:r>
              <w:rPr>
                <w:b/>
                <w:bCs/>
                <w:spacing w:val="-1"/>
              </w:rPr>
              <w:t>2021A</w:t>
            </w:r>
          </w:p>
        </w:tc>
        <w:tc>
          <w:tcPr>
            <w:tcW w:w="1037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2" w:line="188" w:lineRule="auto"/>
              <w:ind w:left="314"/>
            </w:pPr>
            <w:r>
              <w:rPr>
                <w:b/>
                <w:bCs/>
                <w:spacing w:val="-1"/>
              </w:rPr>
              <w:t>2022A</w:t>
            </w:r>
          </w:p>
        </w:tc>
        <w:tc>
          <w:tcPr>
            <w:tcW w:w="982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2" w:line="188" w:lineRule="auto"/>
              <w:ind w:left="280"/>
            </w:pPr>
            <w:r>
              <w:rPr>
                <w:b/>
                <w:bCs/>
                <w:spacing w:val="-1"/>
              </w:rPr>
              <w:t>2023E</w:t>
            </w:r>
          </w:p>
        </w:tc>
        <w:tc>
          <w:tcPr>
            <w:tcW w:w="999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2" w:line="188" w:lineRule="auto"/>
              <w:ind w:left="289"/>
            </w:pPr>
            <w:r>
              <w:rPr>
                <w:b/>
                <w:bCs/>
                <w:spacing w:val="-1"/>
              </w:rPr>
              <w:t>2024E</w:t>
            </w:r>
          </w:p>
        </w:tc>
        <w:tc>
          <w:tcPr>
            <w:tcW w:w="868" w:type="dxa"/>
            <w:tcBorders>
              <w:top w:val="single" w:sz="6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34" w:line="195" w:lineRule="auto"/>
              <w:ind w:left="236"/>
            </w:pPr>
            <w:r>
              <w:rPr>
                <w:b/>
                <w:bCs/>
                <w:spacing w:val="-1"/>
              </w:rPr>
              <w:t>2,025E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316"/>
        </w:trPr>
        <w:tc>
          <w:tcPr>
            <w:tcW w:w="2005" w:type="dxa"/>
            <w:tcBorders>
              <w:top w:val="single" w:sz="6" w:space="0" w:color="000000"/>
            </w:tcBorders>
            <w:vAlign w:val="top"/>
          </w:tcPr>
          <w:p>
            <w:pPr>
              <w:spacing w:before="62" w:line="225" w:lineRule="auto"/>
              <w:ind w:left="7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营业总收入（百万元）</w:t>
            </w:r>
          </w:p>
        </w:tc>
        <w:tc>
          <w:tcPr>
            <w:tcW w:w="99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411"/>
            </w:pPr>
            <w:r>
              <w:rPr>
                <w:spacing w:val="-2"/>
              </w:rPr>
              <w:t>8,369</w:t>
            </w:r>
          </w:p>
        </w:tc>
        <w:tc>
          <w:tcPr>
            <w:tcW w:w="103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401"/>
            </w:pPr>
            <w:r>
              <w:rPr>
                <w:spacing w:val="-2"/>
              </w:rPr>
              <w:t>9,287</w:t>
            </w:r>
          </w:p>
        </w:tc>
        <w:tc>
          <w:tcPr>
            <w:tcW w:w="98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361"/>
            </w:pPr>
            <w:r>
              <w:rPr>
                <w:spacing w:val="-2"/>
              </w:rPr>
              <w:t>8,387</w:t>
            </w:r>
          </w:p>
        </w:tc>
        <w:tc>
          <w:tcPr>
            <w:tcW w:w="99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366"/>
            </w:pPr>
            <w:r>
              <w:rPr>
                <w:spacing w:val="-2"/>
              </w:rPr>
              <w:t>9,509</w:t>
            </w:r>
          </w:p>
        </w:tc>
        <w:tc>
          <w:tcPr>
            <w:tcW w:w="86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4" w:line="188" w:lineRule="auto"/>
              <w:ind w:left="359"/>
            </w:pPr>
            <w:r>
              <w:rPr>
                <w:spacing w:val="-2"/>
              </w:rPr>
              <w:t>9,722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294"/>
        </w:trPr>
        <w:tc>
          <w:tcPr>
            <w:tcW w:w="2005" w:type="dxa"/>
            <w:vAlign w:val="top"/>
          </w:tcPr>
          <w:p>
            <w:pPr>
              <w:spacing w:before="59" w:line="215" w:lineRule="auto"/>
              <w:ind w:left="8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同比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90" w:line="188" w:lineRule="auto"/>
              <w:ind w:left="258"/>
            </w:pPr>
            <w:r>
              <w:rPr>
                <w:spacing w:val="-1"/>
              </w:rPr>
              <w:t>91.84%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90" w:line="188" w:lineRule="auto"/>
              <w:ind w:left="266"/>
            </w:pPr>
            <w:r>
              <w:rPr>
                <w:spacing w:val="-4"/>
              </w:rPr>
              <w:t>10.97%</w:t>
            </w:r>
          </w:p>
        </w:tc>
        <w:tc>
          <w:tcPr>
            <w:tcW w:w="982" w:type="dxa"/>
            <w:vAlign w:val="top"/>
          </w:tcPr>
          <w:p>
            <w:pPr>
              <w:pStyle w:val="TableText"/>
              <w:spacing w:before="90" w:line="188" w:lineRule="auto"/>
              <w:ind w:left="237"/>
            </w:pPr>
            <w:r>
              <w:rPr>
                <w:spacing w:val="-2"/>
              </w:rPr>
              <w:t>-9.69%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spacing w:before="90" w:line="188" w:lineRule="auto"/>
              <w:ind w:left="232"/>
            </w:pPr>
            <w:r>
              <w:rPr>
                <w:spacing w:val="-4"/>
              </w:rPr>
              <w:t>13.37%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90" w:line="188" w:lineRule="auto"/>
              <w:ind w:left="296"/>
            </w:pPr>
            <w:r>
              <w:rPr>
                <w:spacing w:val="-1"/>
              </w:rPr>
              <w:t>2.24%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333"/>
        </w:trPr>
        <w:tc>
          <w:tcPr>
            <w:tcW w:w="2005" w:type="dxa"/>
            <w:vAlign w:val="top"/>
          </w:tcPr>
          <w:p>
            <w:pPr>
              <w:spacing w:before="77" w:line="219" w:lineRule="auto"/>
              <w:ind w:left="7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归母净利润（百万元）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08" w:line="188" w:lineRule="auto"/>
              <w:ind w:left="403"/>
            </w:pPr>
            <w:r>
              <w:rPr>
                <w:spacing w:val="-1"/>
              </w:rPr>
              <w:t>2,014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108" w:line="188" w:lineRule="auto"/>
              <w:ind w:left="415"/>
            </w:pPr>
            <w:r>
              <w:rPr>
                <w:spacing w:val="-4"/>
              </w:rPr>
              <w:t>1,344</w:t>
            </w:r>
          </w:p>
        </w:tc>
        <w:tc>
          <w:tcPr>
            <w:tcW w:w="982" w:type="dxa"/>
            <w:vAlign w:val="top"/>
          </w:tcPr>
          <w:p>
            <w:pPr>
              <w:pStyle w:val="TableText"/>
              <w:spacing w:before="108" w:line="188" w:lineRule="auto"/>
              <w:ind w:left="371"/>
            </w:pPr>
            <w:r>
              <w:rPr>
                <w:spacing w:val="-4"/>
              </w:rPr>
              <w:t>1,354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spacing w:before="108" w:line="188" w:lineRule="auto"/>
              <w:ind w:left="388"/>
            </w:pPr>
            <w:r>
              <w:rPr>
                <w:spacing w:val="-5"/>
              </w:rPr>
              <w:t>1,511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108" w:line="188" w:lineRule="auto"/>
              <w:ind w:left="373"/>
            </w:pPr>
            <w:r>
              <w:rPr>
                <w:spacing w:val="-4"/>
              </w:rPr>
              <w:t>1,545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592"/>
        </w:trPr>
        <w:tc>
          <w:tcPr>
            <w:tcW w:w="2005" w:type="dxa"/>
            <w:vAlign w:val="top"/>
          </w:tcPr>
          <w:p>
            <w:pPr>
              <w:spacing w:before="212" w:line="215" w:lineRule="auto"/>
              <w:ind w:left="5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7"/>
                <w:sz w:val="18"/>
                <w:szCs w:val="18"/>
              </w:rPr>
              <w:t>同比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87" w:line="311" w:lineRule="exact"/>
              <w:ind w:left="177"/>
            </w:pPr>
            <w:r>
              <w:rPr>
                <w:spacing w:val="-1"/>
                <w:position w:val="13"/>
              </w:rPr>
              <w:t>4,105.92</w:t>
            </w:r>
          </w:p>
          <w:p>
            <w:pPr>
              <w:pStyle w:val="TableText"/>
              <w:spacing w:line="213" w:lineRule="auto"/>
              <w:ind w:left="663"/>
            </w:pPr>
            <w:r>
              <w:t>%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243" w:line="188" w:lineRule="auto"/>
              <w:ind w:left="192"/>
            </w:pPr>
            <w:r>
              <w:rPr>
                <w:spacing w:val="-1"/>
              </w:rPr>
              <w:t>-33.30%</w:t>
            </w:r>
          </w:p>
        </w:tc>
        <w:tc>
          <w:tcPr>
            <w:tcW w:w="982" w:type="dxa"/>
            <w:vAlign w:val="top"/>
          </w:tcPr>
          <w:p>
            <w:pPr>
              <w:pStyle w:val="TableText"/>
              <w:spacing w:before="243" w:line="188" w:lineRule="auto"/>
              <w:ind w:left="297"/>
            </w:pPr>
            <w:r>
              <w:rPr>
                <w:spacing w:val="-2"/>
              </w:rPr>
              <w:t>0.80%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spacing w:before="243" w:line="188" w:lineRule="auto"/>
              <w:ind w:left="239"/>
            </w:pPr>
            <w:r>
              <w:rPr>
                <w:spacing w:val="-5"/>
              </w:rPr>
              <w:t>11.59%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243" w:line="188" w:lineRule="auto"/>
              <w:ind w:left="296"/>
            </w:pPr>
            <w:r>
              <w:rPr>
                <w:spacing w:val="-1"/>
              </w:rPr>
              <w:t>2.25%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319"/>
        </w:trPr>
        <w:tc>
          <w:tcPr>
            <w:tcW w:w="2005" w:type="dxa"/>
            <w:vAlign w:val="top"/>
          </w:tcPr>
          <w:p>
            <w:pPr>
              <w:pStyle w:val="TableText"/>
              <w:spacing w:before="88" w:line="226" w:lineRule="auto"/>
              <w:ind w:left="58"/>
              <w:rPr>
                <w:rFonts w:ascii="KaiTi" w:eastAsia="KaiTi" w:hAnsi="KaiTi" w:cs="KaiTi"/>
              </w:rPr>
            </w:pPr>
            <w:r>
              <w:rPr>
                <w:spacing w:val="-1"/>
              </w:rPr>
              <w:t>EPS-</w:t>
            </w:r>
            <w:r>
              <w:rPr>
                <w:rFonts w:ascii="KaiTi" w:eastAsia="KaiTi" w:hAnsi="KaiTi" w:cs="KaiTi"/>
                <w:spacing w:val="-1"/>
              </w:rPr>
              <w:t>最新摊薄（元</w:t>
            </w:r>
            <w:r>
              <w:rPr>
                <w:spacing w:val="-1"/>
              </w:rPr>
              <w:t>/</w:t>
            </w:r>
            <w:r>
              <w:rPr>
                <w:rFonts w:ascii="KaiTi" w:eastAsia="KaiTi" w:hAnsi="KaiTi" w:cs="KaiTi"/>
                <w:spacing w:val="-1"/>
              </w:rPr>
              <w:t>股）</w:t>
            </w:r>
          </w:p>
        </w:tc>
        <w:tc>
          <w:tcPr>
            <w:tcW w:w="998" w:type="dxa"/>
            <w:vAlign w:val="top"/>
          </w:tcPr>
          <w:p>
            <w:pPr>
              <w:pStyle w:val="TableText"/>
              <w:spacing w:before="119" w:line="188" w:lineRule="auto"/>
              <w:ind w:left="512"/>
            </w:pPr>
            <w:r>
              <w:rPr>
                <w:spacing w:val="-5"/>
              </w:rPr>
              <w:t>1.40</w:t>
            </w:r>
          </w:p>
        </w:tc>
        <w:tc>
          <w:tcPr>
            <w:tcW w:w="1037" w:type="dxa"/>
            <w:vAlign w:val="top"/>
          </w:tcPr>
          <w:p>
            <w:pPr>
              <w:pStyle w:val="TableText"/>
              <w:spacing w:before="119" w:line="188" w:lineRule="auto"/>
              <w:ind w:left="491"/>
            </w:pPr>
            <w:r>
              <w:rPr>
                <w:spacing w:val="-2"/>
              </w:rPr>
              <w:t>0.93</w:t>
            </w:r>
          </w:p>
        </w:tc>
        <w:tc>
          <w:tcPr>
            <w:tcW w:w="982" w:type="dxa"/>
            <w:vAlign w:val="top"/>
          </w:tcPr>
          <w:p>
            <w:pPr>
              <w:pStyle w:val="TableText"/>
              <w:spacing w:before="119" w:line="188" w:lineRule="auto"/>
              <w:ind w:left="448"/>
            </w:pPr>
            <w:r>
              <w:rPr>
                <w:spacing w:val="-2"/>
              </w:rPr>
              <w:t>0.94</w:t>
            </w:r>
          </w:p>
        </w:tc>
        <w:tc>
          <w:tcPr>
            <w:tcW w:w="999" w:type="dxa"/>
            <w:vAlign w:val="top"/>
          </w:tcPr>
          <w:p>
            <w:pPr>
              <w:pStyle w:val="TableText"/>
              <w:spacing w:before="119" w:line="188" w:lineRule="auto"/>
              <w:ind w:left="472"/>
            </w:pPr>
            <w:r>
              <w:rPr>
                <w:spacing w:val="-5"/>
              </w:rPr>
              <w:t>1.05</w:t>
            </w:r>
          </w:p>
        </w:tc>
        <w:tc>
          <w:tcPr>
            <w:tcW w:w="868" w:type="dxa"/>
            <w:vAlign w:val="top"/>
          </w:tcPr>
          <w:p>
            <w:pPr>
              <w:pStyle w:val="TableText"/>
              <w:spacing w:before="119" w:line="188" w:lineRule="auto"/>
              <w:ind w:left="464"/>
            </w:pPr>
            <w:r>
              <w:rPr>
                <w:spacing w:val="-5"/>
              </w:rPr>
              <w:t>1.07</w:t>
            </w:r>
          </w:p>
        </w:tc>
      </w:tr>
      <w:tr>
        <w:tblPrEx>
          <w:tblW w:w="6889" w:type="dxa"/>
          <w:tblInd w:w="851" w:type="dxa"/>
          <w:tblLayout w:type="fixed"/>
        </w:tblPrEx>
        <w:trPr>
          <w:trHeight w:val="333"/>
        </w:trPr>
        <w:tc>
          <w:tcPr>
            <w:tcW w:w="2005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0" w:line="228" w:lineRule="auto"/>
              <w:ind w:left="58"/>
              <w:rPr>
                <w:rFonts w:ascii="KaiTi" w:eastAsia="KaiTi" w:hAnsi="KaiTi" w:cs="KaiTi"/>
              </w:rPr>
            </w:pPr>
            <w:r>
              <w:rPr>
                <w:spacing w:val="-1"/>
              </w:rPr>
              <w:t>P/E</w:t>
            </w:r>
            <w:r>
              <w:rPr>
                <w:rFonts w:ascii="KaiTi" w:eastAsia="KaiTi" w:hAnsi="KaiTi" w:cs="KaiTi"/>
                <w:spacing w:val="-1"/>
              </w:rPr>
              <w:t>（现价</w:t>
            </w:r>
            <w:r>
              <w:rPr>
                <w:spacing w:val="-1"/>
              </w:rPr>
              <w:t>&amp;</w:t>
            </w:r>
            <w:r>
              <w:rPr>
                <w:rFonts w:ascii="KaiTi" w:eastAsia="KaiTi" w:hAnsi="KaiTi" w:cs="KaiTi"/>
                <w:spacing w:val="-1"/>
              </w:rPr>
              <w:t>最新摊薄）</w:t>
            </w:r>
          </w:p>
        </w:tc>
        <w:tc>
          <w:tcPr>
            <w:tcW w:w="99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2" w:line="188" w:lineRule="auto"/>
              <w:ind w:left="500"/>
            </w:pPr>
            <w:r>
              <w:rPr>
                <w:spacing w:val="-2"/>
              </w:rPr>
              <w:t>5.18</w:t>
            </w:r>
          </w:p>
        </w:tc>
        <w:tc>
          <w:tcPr>
            <w:tcW w:w="1037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5" w:line="185" w:lineRule="auto"/>
              <w:ind w:left="491"/>
            </w:pPr>
            <w:r>
              <w:rPr>
                <w:spacing w:val="-2"/>
              </w:rPr>
              <w:t>7.77</w:t>
            </w:r>
          </w:p>
        </w:tc>
        <w:tc>
          <w:tcPr>
            <w:tcW w:w="98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2" w:line="188" w:lineRule="auto"/>
              <w:ind w:left="448"/>
            </w:pPr>
            <w:r>
              <w:rPr>
                <w:spacing w:val="-2"/>
              </w:rPr>
              <w:t>7.71</w:t>
            </w:r>
          </w:p>
        </w:tc>
        <w:tc>
          <w:tcPr>
            <w:tcW w:w="99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2" w:line="188" w:lineRule="auto"/>
              <w:ind w:left="458"/>
            </w:pPr>
            <w:r>
              <w:rPr>
                <w:spacing w:val="-2"/>
              </w:rPr>
              <w:t>6.91</w:t>
            </w:r>
          </w:p>
        </w:tc>
        <w:tc>
          <w:tcPr>
            <w:tcW w:w="86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112" w:line="188" w:lineRule="auto"/>
              <w:ind w:left="451"/>
            </w:pPr>
            <w:r>
              <w:rPr>
                <w:spacing w:val="-2"/>
              </w:rPr>
              <w:t>6.76</w:t>
            </w:r>
          </w:p>
        </w:tc>
      </w:tr>
    </w:tbl>
    <w:p>
      <w:pPr>
        <w:pStyle w:val="BodyText"/>
        <w:spacing w:before="228" w:line="219" w:lineRule="auto"/>
        <w:ind w:left="960"/>
      </w:pPr>
      <w:r>
        <w:rPr>
          <w:color w:val="17365D"/>
          <w:sz w:val="18"/>
          <w:szCs w:val="18"/>
          <w14:textOutline w14:w="3265">
            <w14:solidFill>
              <w14:srgbClr w14:val="17365D"/>
            </w14:solidFill>
            <w14:prstDash w14:val="solid"/>
            <w14:miter w14:lim="10"/>
          </w14:textOutline>
        </w:rPr>
        <w:t>投</w:t>
      </w:r>
      <w:r>
        <w:rPr>
          <w:color w:val="17365D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资要点</w:t>
      </w:r>
    </w:p>
    <w:p>
      <w:pPr>
        <w:pStyle w:val="BodyText"/>
        <w:spacing w:before="193" w:line="251" w:lineRule="auto"/>
        <w:ind w:left="1213" w:right="4192" w:hanging="239"/>
      </w:pPr>
      <w:r>
        <w:rPr>
          <w:rFonts w:ascii="Wingdings" w:eastAsia="Wingdings" w:hAnsi="Wingdings" w:cs="Wingdings"/>
          <w:color w:val="17365D"/>
          <w:spacing w:val="-6"/>
        </w:rPr>
        <w:t>.</w:t>
      </w:r>
      <w:r>
        <w:rPr>
          <w:rFonts w:ascii="Wingdings" w:eastAsia="Wingdings" w:hAnsi="Wingdings" w:cs="Wingdings"/>
          <w:color w:val="17365D"/>
          <w:spacing w:val="-31"/>
        </w:rPr>
        <w:t xml:space="preserve"> </w:t>
      </w:r>
      <w:r>
        <w:rPr>
          <w:color w:val="17365D"/>
          <w:spacing w:val="-6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核增与收购并举，煤炭产能弹性显著。</w:t>
      </w:r>
      <w:r>
        <w:rPr>
          <w:spacing w:val="-6"/>
        </w:rPr>
        <w:t>公司拥有高家梁、红庆梁、红墩子三大煤矿，</w:t>
      </w:r>
      <w:r>
        <w:rPr>
          <w:spacing w:val="-6"/>
        </w:rPr>
        <w:t xml:space="preserve"> </w:t>
      </w:r>
      <w:r>
        <w:rPr>
          <w:spacing w:val="-6"/>
        </w:rPr>
        <w:t>其</w:t>
      </w:r>
      <w:r>
        <w:t xml:space="preserve"> </w:t>
      </w:r>
      <w:r>
        <w:rPr>
          <w:spacing w:val="-5"/>
        </w:rPr>
        <w:t>中高家梁煤矿于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2019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2022</w:t>
      </w:r>
      <w:r>
        <w:rPr>
          <w:rFonts w:ascii="Times New Roman" w:eastAsia="Times New Roman" w:hAnsi="Times New Roman" w:cs="Times New Roman"/>
          <w:spacing w:val="19"/>
          <w:w w:val="102"/>
        </w:rPr>
        <w:t xml:space="preserve"> </w:t>
      </w:r>
      <w:r>
        <w:rPr>
          <w:spacing w:val="-5"/>
        </w:rPr>
        <w:t>年通过两次核增，</w:t>
      </w:r>
      <w:r>
        <w:rPr>
          <w:spacing w:val="-5"/>
        </w:rPr>
        <w:t xml:space="preserve"> </w:t>
      </w:r>
      <w:r>
        <w:rPr>
          <w:spacing w:val="-5"/>
        </w:rPr>
        <w:t>共增加产能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200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5"/>
        </w:rPr>
        <w:t>万吨；</w:t>
      </w:r>
      <w:r>
        <w:rPr>
          <w:spacing w:val="-5"/>
        </w:rPr>
        <w:t xml:space="preserve"> </w:t>
      </w:r>
      <w:r>
        <w:rPr>
          <w:spacing w:val="-5"/>
        </w:rPr>
        <w:t>红墩子煤矿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60%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2"/>
        </w:rPr>
        <w:t>股权于</w:t>
      </w:r>
      <w:r>
        <w:rPr>
          <w:spacing w:val="-2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2019 </w:t>
      </w:r>
      <w:r>
        <w:rPr>
          <w:spacing w:val="-2"/>
        </w:rPr>
        <w:t>年完成收购，其红一煤矿、红二煤矿分别于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2022 </w:t>
      </w:r>
      <w:r>
        <w:rPr>
          <w:spacing w:val="-2"/>
        </w:rPr>
        <w:t>年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9</w:t>
      </w:r>
      <w:r>
        <w:rPr>
          <w:rFonts w:ascii="Times New Roman" w:eastAsia="Times New Roman" w:hAnsi="Times New Roman" w:cs="Times New Roman"/>
          <w:spacing w:val="18"/>
          <w:w w:val="102"/>
        </w:rPr>
        <w:t xml:space="preserve"> </w:t>
      </w:r>
      <w:r>
        <w:rPr>
          <w:spacing w:val="-2"/>
        </w:rPr>
        <w:t>月底和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2023 </w:t>
      </w:r>
      <w:r>
        <w:rPr>
          <w:spacing w:val="-2"/>
        </w:rPr>
        <w:t>年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12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2"/>
        </w:rPr>
        <w:t>月</w:t>
      </w:r>
      <w:r>
        <w:t xml:space="preserve"> </w:t>
      </w:r>
      <w:r>
        <w:rPr>
          <w:spacing w:val="-6"/>
        </w:rPr>
        <w:t>初投产。</w:t>
      </w:r>
      <w:r>
        <w:rPr>
          <w:spacing w:val="-6"/>
        </w:rPr>
        <w:t xml:space="preserve"> </w:t>
      </w:r>
      <w:r>
        <w:rPr>
          <w:spacing w:val="-6"/>
        </w:rPr>
        <w:t>截至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2023 </w:t>
      </w:r>
      <w:r>
        <w:rPr>
          <w:spacing w:val="-6"/>
        </w:rPr>
        <w:t>年末，公司煤炭核</w:t>
      </w:r>
      <w:r>
        <w:rPr>
          <w:spacing w:val="-7"/>
        </w:rPr>
        <w:t>定产能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1930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7"/>
        </w:rPr>
        <w:t>万吨，</w:t>
      </w:r>
      <w:r>
        <w:rPr>
          <w:spacing w:val="-18"/>
        </w:rPr>
        <w:t xml:space="preserve"> </w:t>
      </w:r>
      <w:r>
        <w:rPr>
          <w:spacing w:val="-7"/>
        </w:rPr>
        <w:t>权益产能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1328</w:t>
      </w:r>
      <w:r>
        <w:rPr>
          <w:rFonts w:ascii="Times New Roman" w:eastAsia="Times New Roman" w:hAnsi="Times New Roman" w:cs="Times New Roman"/>
          <w:spacing w:val="14"/>
          <w:w w:val="102"/>
        </w:rPr>
        <w:t xml:space="preserve"> </w:t>
      </w:r>
      <w:r>
        <w:rPr>
          <w:spacing w:val="-7"/>
        </w:rPr>
        <w:t>万吨。</w:t>
      </w:r>
      <w:r>
        <w:rPr>
          <w:rFonts w:ascii="Times New Roman" w:eastAsia="Times New Roman" w:hAnsi="Times New Roman" w:cs="Times New Roman"/>
          <w:spacing w:val="-7"/>
        </w:rPr>
        <w:t xml:space="preserve">2024 </w:t>
      </w:r>
      <w:r>
        <w:rPr>
          <w:spacing w:val="-7"/>
        </w:rPr>
        <w:t>年，</w:t>
      </w:r>
      <w:r>
        <w:t xml:space="preserve"> </w:t>
      </w:r>
      <w:r>
        <w:rPr>
          <w:spacing w:val="-3"/>
        </w:rPr>
        <w:t>红二煤矿有望贡献权益产量增量</w:t>
      </w:r>
      <w:r>
        <w:rPr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130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3"/>
        </w:rPr>
        <w:t>万吨，增幅达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11%</w:t>
      </w:r>
      <w:r>
        <w:rPr>
          <w:spacing w:val="-3"/>
        </w:rPr>
        <w:t>。</w:t>
      </w:r>
    </w:p>
    <w:p>
      <w:pPr>
        <w:pStyle w:val="BodyText"/>
        <w:spacing w:before="44" w:line="251" w:lineRule="auto"/>
        <w:ind w:left="1209" w:right="4239" w:hanging="235"/>
      </w:pPr>
      <w:r>
        <w:rPr>
          <w:rFonts w:ascii="Wingdings" w:eastAsia="Wingdings" w:hAnsi="Wingdings" w:cs="Wingdings"/>
          <w:color w:val="17365D"/>
          <w:spacing w:val="-8"/>
        </w:rPr>
        <w:t xml:space="preserve">. </w:t>
      </w:r>
      <w:r>
        <w:rPr>
          <w:color w:val="17365D"/>
          <w:spacing w:val="-8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红墩子煤矿生产转向炼焦煤，高溢价贡献利润增量。</w:t>
      </w:r>
      <w:r>
        <w:rPr>
          <w:spacing w:val="-8"/>
        </w:rPr>
        <w:t>截至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2023 </w:t>
      </w:r>
      <w:r>
        <w:rPr>
          <w:spacing w:val="-8"/>
        </w:rPr>
        <w:t>年，公司吨煤毛利为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261.6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元</w:t>
      </w:r>
      <w:r>
        <w:rPr>
          <w:rFonts w:ascii="Times New Roman" w:eastAsia="Times New Roman" w:hAnsi="Times New Roman" w:cs="Times New Roman"/>
          <w:spacing w:val="-6"/>
        </w:rPr>
        <w:t>/</w:t>
      </w:r>
      <w:r>
        <w:rPr>
          <w:spacing w:val="-6"/>
        </w:rPr>
        <w:t>吨。而新投产的宁夏红墩子一号、二号矿井均为炼焦煤矿，</w:t>
      </w:r>
      <w:r>
        <w:rPr>
          <w:spacing w:val="-7"/>
        </w:rPr>
        <w:t xml:space="preserve"> </w:t>
      </w:r>
      <w:r>
        <w:rPr>
          <w:spacing w:val="-7"/>
        </w:rPr>
        <w:t>随着开采的持续推进，</w:t>
      </w:r>
      <w:r>
        <w:rPr>
          <w:spacing w:val="29"/>
          <w:w w:val="101"/>
        </w:rPr>
        <w:t xml:space="preserve"> </w:t>
      </w:r>
      <w:r>
        <w:rPr>
          <w:spacing w:val="-7"/>
        </w:rPr>
        <w:t>将</w:t>
      </w:r>
      <w:r>
        <w:t xml:space="preserve"> </w:t>
      </w:r>
      <w:r>
        <w:rPr>
          <w:spacing w:val="-3"/>
        </w:rPr>
        <w:t>由表层动力煤煤层逐步转变为炼焦煤煤层，</w:t>
      </w:r>
      <w:r>
        <w:rPr>
          <w:spacing w:val="41"/>
        </w:rPr>
        <w:t xml:space="preserve"> </w:t>
      </w:r>
      <w:r>
        <w:rPr>
          <w:spacing w:val="-3"/>
        </w:rPr>
        <w:t>煤</w:t>
      </w:r>
      <w:r>
        <w:rPr>
          <w:spacing w:val="-4"/>
        </w:rPr>
        <w:t>质提升带来的高溢价在未来有望进一步释</w:t>
      </w:r>
      <w:r>
        <w:t xml:space="preserve"> </w:t>
      </w:r>
      <w:r>
        <w:t>放利润增量。</w:t>
      </w:r>
    </w:p>
    <w:p>
      <w:pPr>
        <w:pStyle w:val="BodyText"/>
        <w:spacing w:before="34" w:line="249" w:lineRule="auto"/>
        <w:ind w:left="1215" w:right="4238" w:hanging="241"/>
      </w:pPr>
      <w:r>
        <w:rPr>
          <w:rFonts w:ascii="Wingdings" w:eastAsia="Wingdings" w:hAnsi="Wingdings" w:cs="Wingdings"/>
          <w:color w:val="17365D"/>
          <w:spacing w:val="-6"/>
        </w:rPr>
        <w:t>.</w:t>
      </w:r>
      <w:r>
        <w:rPr>
          <w:rFonts w:ascii="Wingdings" w:eastAsia="Wingdings" w:hAnsi="Wingdings" w:cs="Wingdings"/>
          <w:color w:val="17365D"/>
          <w:spacing w:val="-29"/>
        </w:rPr>
        <w:t xml:space="preserve"> </w:t>
      </w:r>
      <w:r>
        <w:rPr>
          <w:color w:val="17365D"/>
          <w:spacing w:val="-6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成本控制处于行业领先水平，红一、红二煤矿满产有望摊薄成本。</w:t>
      </w:r>
      <w:r>
        <w:rPr>
          <w:color w:val="17365D"/>
          <w:spacing w:val="-6"/>
        </w:rPr>
        <w:t xml:space="preserve"> </w:t>
      </w:r>
      <w:r>
        <w:rPr>
          <w:spacing w:val="-6"/>
        </w:rPr>
        <w:t>公司整体吨煤销售成</w:t>
      </w:r>
      <w:r>
        <w:t xml:space="preserve"> </w:t>
      </w:r>
      <w:r>
        <w:rPr>
          <w:spacing w:val="-7"/>
        </w:rPr>
        <w:t>本低于行业平均水平，</w:t>
      </w:r>
      <w:r>
        <w:rPr>
          <w:spacing w:val="48"/>
        </w:rPr>
        <w:t xml:space="preserve"> </w:t>
      </w:r>
      <w:r>
        <w:rPr>
          <w:spacing w:val="-7"/>
        </w:rPr>
        <w:t>与大有能源、中煤能源、晋控煤业等同行业中其他公司相比，</w:t>
      </w:r>
      <w:r>
        <w:rPr>
          <w:spacing w:val="37"/>
        </w:rPr>
        <w:t xml:space="preserve"> </w:t>
      </w:r>
      <w:r>
        <w:rPr>
          <w:spacing w:val="-7"/>
        </w:rPr>
        <w:t>公</w:t>
      </w:r>
      <w:r>
        <w:t xml:space="preserve"> </w:t>
      </w:r>
      <w:r>
        <w:rPr>
          <w:spacing w:val="-1"/>
        </w:rPr>
        <w:t>司煤炭有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50-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144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1"/>
        </w:rPr>
        <w:t>元</w:t>
      </w:r>
      <w:r>
        <w:rPr>
          <w:rFonts w:ascii="Times New Roman" w:eastAsia="Times New Roman" w:hAnsi="Times New Roman" w:cs="Times New Roman"/>
          <w:spacing w:val="-1"/>
        </w:rPr>
        <w:t>/</w:t>
      </w:r>
      <w:r>
        <w:rPr>
          <w:spacing w:val="-1"/>
        </w:rPr>
        <w:t>吨的成本优势，并且未来随着新建的红一、红二煤矿满产有望</w:t>
      </w:r>
      <w:r>
        <w:rPr>
          <w:spacing w:val="-2"/>
        </w:rPr>
        <w:t>进一</w:t>
      </w:r>
      <w:r>
        <w:t xml:space="preserve"> </w:t>
      </w:r>
      <w:r>
        <w:rPr>
          <w:spacing w:val="-2"/>
        </w:rPr>
        <w:t>步摊薄成本，煤炭业务低成本优势凸显。</w:t>
      </w:r>
    </w:p>
    <w:p>
      <w:pPr>
        <w:pStyle w:val="BodyText"/>
        <w:spacing w:before="44" w:line="249" w:lineRule="auto"/>
        <w:ind w:left="1211" w:right="4225" w:hanging="237"/>
      </w:pPr>
      <w:r>
        <w:rPr>
          <w:rFonts w:ascii="Wingdings" w:eastAsia="Wingdings" w:hAnsi="Wingdings" w:cs="Wingdings"/>
          <w:color w:val="17365D"/>
          <w:spacing w:val="-8"/>
        </w:rPr>
        <w:t>.</w:t>
      </w:r>
      <w:r>
        <w:rPr>
          <w:rFonts w:ascii="Wingdings" w:eastAsia="Wingdings" w:hAnsi="Wingdings" w:cs="Wingdings"/>
          <w:color w:val="17365D"/>
          <w:spacing w:val="-44"/>
        </w:rPr>
        <w:t xml:space="preserve"> </w:t>
      </w:r>
      <w:r>
        <w:rPr>
          <w:color w:val="17365D"/>
          <w:spacing w:val="-8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短期偿债压力轻，</w:t>
      </w:r>
      <w:r>
        <w:rPr>
          <w:color w:val="17365D"/>
          <w:spacing w:val="-8"/>
        </w:rPr>
        <w:t xml:space="preserve"> </w:t>
      </w:r>
      <w:r>
        <w:rPr>
          <w:color w:val="17365D"/>
          <w:spacing w:val="-8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账上现金流充裕稳定。</w:t>
      </w:r>
      <w:r>
        <w:rPr>
          <w:spacing w:val="-8"/>
        </w:rPr>
        <w:t>截至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23 </w:t>
      </w:r>
      <w:r>
        <w:rPr>
          <w:spacing w:val="-8"/>
        </w:rPr>
        <w:t>年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9</w:t>
      </w:r>
      <w:r>
        <w:rPr>
          <w:rFonts w:ascii="Times New Roman" w:eastAsia="Times New Roman" w:hAnsi="Times New Roman" w:cs="Times New Roman"/>
          <w:spacing w:val="18"/>
        </w:rPr>
        <w:t xml:space="preserve"> </w:t>
      </w:r>
      <w:r>
        <w:rPr>
          <w:spacing w:val="-8"/>
        </w:rPr>
        <w:t>月底，</w:t>
      </w:r>
      <w:r>
        <w:rPr>
          <w:spacing w:val="-29"/>
        </w:rPr>
        <w:t xml:space="preserve"> </w:t>
      </w:r>
      <w:r>
        <w:rPr>
          <w:spacing w:val="-8"/>
        </w:rPr>
        <w:t>公司有息负债总额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 xml:space="preserve">84.82 </w:t>
      </w:r>
      <w:r>
        <w:rPr>
          <w:spacing w:val="-8"/>
        </w:rPr>
        <w:t>亿</w:t>
      </w:r>
      <w:r>
        <w:t xml:space="preserve"> </w:t>
      </w:r>
      <w:r>
        <w:rPr>
          <w:spacing w:val="-3"/>
        </w:rPr>
        <w:t>元，其中短期负债仅</w:t>
      </w:r>
      <w:r>
        <w:rPr>
          <w:spacing w:val="-1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8.80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3"/>
        </w:rPr>
        <w:t>亿元，</w:t>
      </w:r>
      <w:r>
        <w:rPr>
          <w:spacing w:val="-3"/>
        </w:rPr>
        <w:t xml:space="preserve"> </w:t>
      </w:r>
      <w:r>
        <w:rPr>
          <w:spacing w:val="-3"/>
        </w:rPr>
        <w:t>而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23</w:t>
      </w:r>
      <w:r>
        <w:rPr>
          <w:rFonts w:ascii="Times New Roman" w:eastAsia="Times New Roman" w:hAnsi="Times New Roman" w:cs="Times New Roman"/>
          <w:spacing w:val="20"/>
          <w:w w:val="101"/>
        </w:rPr>
        <w:t xml:space="preserve"> </w:t>
      </w:r>
      <w:r>
        <w:rPr>
          <w:spacing w:val="-3"/>
        </w:rPr>
        <w:t>年前三季度经营性现金净额为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30.61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spacing w:val="-3"/>
        </w:rPr>
        <w:t>亿元，短期</w:t>
      </w:r>
      <w:r>
        <w:t xml:space="preserve"> </w:t>
      </w:r>
      <w:r>
        <w:rPr>
          <w:spacing w:val="-9"/>
        </w:rPr>
        <w:t>偿债压力较小。此外，</w:t>
      </w:r>
      <w:r>
        <w:rPr>
          <w:spacing w:val="65"/>
        </w:rPr>
        <w:t xml:space="preserve"> </w:t>
      </w:r>
      <w:r>
        <w:rPr>
          <w:spacing w:val="-9"/>
        </w:rPr>
        <w:t>红墩子煤矿已经投产，</w:t>
      </w:r>
      <w:r>
        <w:rPr>
          <w:spacing w:val="37"/>
        </w:rPr>
        <w:t xml:space="preserve"> </w:t>
      </w:r>
      <w:r>
        <w:rPr>
          <w:spacing w:val="-9"/>
        </w:rPr>
        <w:t>公司短期无新建项目，</w:t>
      </w:r>
      <w:r>
        <w:rPr>
          <w:spacing w:val="-22"/>
        </w:rPr>
        <w:t xml:space="preserve"> </w:t>
      </w:r>
      <w:r>
        <w:rPr>
          <w:spacing w:val="-9"/>
        </w:rPr>
        <w:t>也没有大规模资本</w:t>
      </w:r>
      <w:r>
        <w:t xml:space="preserve"> </w:t>
      </w:r>
      <w:r>
        <w:rPr>
          <w:spacing w:val="-2"/>
        </w:rPr>
        <w:t>开支需求，截至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23 </w:t>
      </w:r>
      <w:r>
        <w:rPr>
          <w:spacing w:val="-2"/>
        </w:rPr>
        <w:t>年三季度，</w:t>
      </w:r>
      <w:r>
        <w:rPr>
          <w:spacing w:val="-25"/>
        </w:rPr>
        <w:t xml:space="preserve"> </w:t>
      </w:r>
      <w:r>
        <w:rPr>
          <w:spacing w:val="-2"/>
        </w:rPr>
        <w:t>母公司口径货币</w:t>
      </w:r>
      <w:r>
        <w:rPr>
          <w:spacing w:val="-3"/>
        </w:rPr>
        <w:t>资金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30.39 </w:t>
      </w:r>
      <w:r>
        <w:rPr>
          <w:spacing w:val="-3"/>
        </w:rPr>
        <w:t>亿元，账上现金流充裕稳定。</w:t>
      </w:r>
    </w:p>
    <w:p>
      <w:pPr>
        <w:pStyle w:val="BodyText"/>
        <w:spacing w:before="42" w:line="253" w:lineRule="auto"/>
        <w:ind w:left="1209" w:right="4194" w:hanging="235"/>
      </w:pPr>
      <w:r>
        <w:rPr>
          <w:rFonts w:ascii="Wingdings" w:eastAsia="Wingdings" w:hAnsi="Wingdings" w:cs="Wingdings"/>
          <w:color w:val="17365D"/>
          <w:spacing w:val="-10"/>
        </w:rPr>
        <w:t xml:space="preserve">. </w:t>
      </w:r>
      <w:r>
        <w:rPr>
          <w:color w:val="17365D"/>
          <w:spacing w:val="-10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国资委两提“市值管理考核”，公司作为高现金低负债</w:t>
      </w:r>
      <w:r>
        <w:rPr>
          <w:color w:val="17365D"/>
          <w:spacing w:val="-11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国企改革标的，</w:t>
      </w:r>
      <w:r>
        <w:rPr>
          <w:color w:val="17365D"/>
          <w:spacing w:val="-24"/>
        </w:rPr>
        <w:t xml:space="preserve"> </w:t>
      </w:r>
      <w:r>
        <w:rPr>
          <w:color w:val="17365D"/>
          <w:spacing w:val="-11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分红预期有望大幅</w:t>
      </w:r>
      <w:r>
        <w:rPr>
          <w:color w:val="17365D"/>
          <w:spacing w:val="-11"/>
        </w:rPr>
        <w:t xml:space="preserve"> </w:t>
      </w:r>
      <w:r>
        <w:rPr>
          <w:color w:val="17365D"/>
          <w:spacing w:val="-6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提升。</w:t>
      </w:r>
      <w:r>
        <w:rPr>
          <w:color w:val="17365D"/>
          <w:spacing w:val="27"/>
        </w:rPr>
        <w:t xml:space="preserve"> </w:t>
      </w:r>
      <w:r>
        <w:rPr>
          <w:spacing w:val="-6"/>
        </w:rPr>
        <w:t>国资委在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 xml:space="preserve">24 </w:t>
      </w:r>
      <w:r>
        <w:rPr>
          <w:spacing w:val="-6"/>
        </w:rPr>
        <w:t>年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1</w:t>
      </w:r>
      <w:r>
        <w:rPr>
          <w:rFonts w:ascii="Times New Roman" w:eastAsia="Times New Roman" w:hAnsi="Times New Roman" w:cs="Times New Roman"/>
          <w:spacing w:val="18"/>
          <w:w w:val="101"/>
        </w:rPr>
        <w:t xml:space="preserve"> </w:t>
      </w:r>
      <w:r>
        <w:rPr>
          <w:spacing w:val="-6"/>
        </w:rPr>
        <w:t>月两提“市值管理考核”，这将引导央企负责人更加重视所控股</w:t>
      </w:r>
      <w:r>
        <w:t xml:space="preserve"> </w:t>
      </w:r>
      <w:r>
        <w:rPr>
          <w:spacing w:val="-3"/>
        </w:rPr>
        <w:t>上市公司的市场表现，有望推动企业通过回购、分红等方式</w:t>
      </w:r>
      <w:r>
        <w:rPr>
          <w:spacing w:val="-4"/>
        </w:rPr>
        <w:t>回报投资者。而煤炭板块中，</w:t>
      </w:r>
      <w:r>
        <w:t xml:space="preserve"> </w:t>
      </w:r>
      <w:r>
        <w:rPr>
          <w:spacing w:val="-4"/>
        </w:rPr>
        <w:t>央企数量较少，</w:t>
      </w:r>
      <w:r>
        <w:rPr>
          <w:spacing w:val="62"/>
        </w:rPr>
        <w:t xml:space="preserve"> </w:t>
      </w:r>
      <w:r>
        <w:rPr>
          <w:spacing w:val="-4"/>
        </w:rPr>
        <w:t>市值管理考核的利好影响将直接外溢至以昊华能源为代表的省属、市属</w:t>
      </w:r>
      <w:r>
        <w:t xml:space="preserve"> </w:t>
      </w:r>
      <w:r>
        <w:rPr>
          <w:spacing w:val="-3"/>
        </w:rPr>
        <w:t>国企。截至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24 </w:t>
      </w:r>
      <w:r>
        <w:rPr>
          <w:spacing w:val="-3"/>
        </w:rPr>
        <w:t>年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</w:t>
      </w:r>
      <w:r>
        <w:rPr>
          <w:rFonts w:ascii="Times New Roman" w:eastAsia="Times New Roman" w:hAnsi="Times New Roman" w:cs="Times New Roman"/>
          <w:spacing w:val="16"/>
        </w:rPr>
        <w:t xml:space="preserve"> </w:t>
      </w:r>
      <w:r>
        <w:rPr>
          <w:spacing w:val="-3"/>
        </w:rPr>
        <w:t>月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19  </w:t>
      </w:r>
      <w:r>
        <w:rPr>
          <w:spacing w:val="-3"/>
        </w:rPr>
        <w:t>日，公司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PB</w:t>
      </w:r>
      <w:r>
        <w:rPr>
          <w:spacing w:val="-3"/>
        </w:rPr>
        <w:t>（</w:t>
      </w:r>
      <w:r>
        <w:rPr>
          <w:rFonts w:ascii="Times New Roman" w:eastAsia="Times New Roman" w:hAnsi="Times New Roman" w:cs="Times New Roman"/>
          <w:spacing w:val="-3"/>
        </w:rPr>
        <w:t>LF</w:t>
      </w:r>
      <w:r>
        <w:rPr>
          <w:spacing w:val="-3"/>
        </w:rPr>
        <w:t>）仅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0.93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3"/>
        </w:rPr>
        <w:t>，处于破净状</w:t>
      </w:r>
      <w:r>
        <w:rPr>
          <w:spacing w:val="-4"/>
        </w:rPr>
        <w:t>态（截至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2023 </w:t>
      </w:r>
      <w:r>
        <w:rPr>
          <w:spacing w:val="-4"/>
        </w:rPr>
        <w:t>年三季</w:t>
      </w:r>
      <w:r>
        <w:t xml:space="preserve"> </w:t>
      </w:r>
      <w:r>
        <w:rPr>
          <w:spacing w:val="-4"/>
        </w:rPr>
        <w:t>度公司每股净资产为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7.82 </w:t>
      </w:r>
      <w:r>
        <w:rPr>
          <w:spacing w:val="-4"/>
        </w:rPr>
        <w:t>元，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24 </w:t>
      </w:r>
      <w:r>
        <w:rPr>
          <w:spacing w:val="-4"/>
        </w:rPr>
        <w:t>年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</w:t>
      </w:r>
      <w:r>
        <w:rPr>
          <w:rFonts w:ascii="Times New Roman" w:eastAsia="Times New Roman" w:hAnsi="Times New Roman" w:cs="Times New Roman"/>
          <w:spacing w:val="16"/>
          <w:w w:val="101"/>
        </w:rPr>
        <w:t xml:space="preserve"> </w:t>
      </w:r>
      <w:r>
        <w:rPr>
          <w:spacing w:val="-4"/>
        </w:rPr>
        <w:t>月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19  </w:t>
      </w:r>
      <w:r>
        <w:rPr>
          <w:spacing w:val="-5"/>
        </w:rPr>
        <w:t>日股价为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7.25 </w:t>
      </w:r>
      <w:r>
        <w:rPr>
          <w:spacing w:val="-5"/>
        </w:rPr>
        <w:t>元</w:t>
      </w:r>
      <w:r>
        <w:rPr>
          <w:spacing w:val="-22"/>
        </w:rPr>
        <w:t>），</w:t>
      </w:r>
      <w:r>
        <w:rPr>
          <w:spacing w:val="-5"/>
        </w:rPr>
        <w:t>有望显著受益。</w:t>
      </w:r>
    </w:p>
    <w:p>
      <w:pPr>
        <w:pStyle w:val="BodyText"/>
        <w:spacing w:before="40" w:line="257" w:lineRule="auto"/>
        <w:ind w:left="1209" w:right="4192" w:hanging="235"/>
        <w:sectPr>
          <w:footerReference w:type="default" r:id="rId7"/>
          <w:pgSz w:w="11907" w:h="16839"/>
          <w:pgMar w:top="258" w:right="1" w:bottom="1179" w:left="0" w:header="0" w:footer="10" w:gutter="0"/>
          <w:cols w:space="708"/>
        </w:sectPr>
      </w:pPr>
      <w:r>
        <w:rPr>
          <w:rFonts w:ascii="Wingdings" w:eastAsia="Wingdings" w:hAnsi="Wingdings" w:cs="Wingdings"/>
          <w:color w:val="17365D"/>
          <w:spacing w:val="-7"/>
        </w:rPr>
        <w:t>.</w:t>
      </w:r>
      <w:r>
        <w:rPr>
          <w:rFonts w:ascii="Wingdings" w:eastAsia="Wingdings" w:hAnsi="Wingdings" w:cs="Wingdings"/>
          <w:color w:val="17365D"/>
          <w:spacing w:val="-43"/>
        </w:rPr>
        <w:t xml:space="preserve"> </w:t>
      </w:r>
      <w:r>
        <w:rPr>
          <w:color w:val="17365D"/>
          <w:spacing w:val="-7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盈利预测与投资评级</w:t>
      </w:r>
      <w:r>
        <w:rPr>
          <w:spacing w:val="-7"/>
        </w:rPr>
        <w:t>：</w:t>
      </w:r>
      <w:r>
        <w:rPr>
          <w:spacing w:val="-7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公司煤炭销售长协占比高达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</w:rPr>
        <w:t>80%</w:t>
      </w:r>
      <w:r>
        <w:rPr>
          <w:spacing w:val="-7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，煤炭售价波动小，</w:t>
      </w:r>
      <w:r>
        <w:rPr>
          <w:spacing w:val="-7"/>
        </w:rPr>
        <w:t xml:space="preserve"> </w:t>
      </w:r>
      <w:r>
        <w:rPr>
          <w:spacing w:val="-7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公司业绩</w:t>
      </w:r>
      <w:r>
        <w:rPr>
          <w:spacing w:val="-8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支</w:t>
      </w:r>
      <w:r>
        <w:rPr>
          <w:spacing w:val="-8"/>
        </w:rPr>
        <w:t xml:space="preserve"> </w:t>
      </w:r>
      <w:r>
        <w:rPr>
          <w:spacing w:val="-3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撑较强；</w:t>
      </w:r>
      <w:r>
        <w:rPr>
          <w:spacing w:val="22"/>
        </w:rPr>
        <w:t xml:space="preserve"> </w:t>
      </w:r>
      <w:r>
        <w:rPr>
          <w:spacing w:val="-3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此外公司短期偿债压力小，且短期无新建项目，</w:t>
      </w:r>
      <w:r>
        <w:rPr>
          <w:spacing w:val="-4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也没有大规模资本开支需求，</w:t>
      </w:r>
      <w:r>
        <w:rPr>
          <w:spacing w:val="-4"/>
        </w:rPr>
        <w:t xml:space="preserve"> </w:t>
      </w:r>
      <w:r>
        <w:rPr>
          <w:spacing w:val="-12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账上现金流充裕，</w:t>
      </w:r>
      <w:r>
        <w:rPr>
          <w:spacing w:val="-12"/>
        </w:rPr>
        <w:t xml:space="preserve"> </w:t>
      </w:r>
      <w:r>
        <w:rPr>
          <w:spacing w:val="-12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在市值管理考核背景下，</w:t>
      </w:r>
      <w:r>
        <w:rPr>
          <w:spacing w:val="50"/>
        </w:rPr>
        <w:t xml:space="preserve"> </w:t>
      </w:r>
      <w:r>
        <w:rPr>
          <w:spacing w:val="-12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分红预期大幅提升，</w:t>
      </w:r>
      <w:r>
        <w:rPr>
          <w:spacing w:val="32"/>
        </w:rPr>
        <w:t xml:space="preserve"> </w:t>
      </w:r>
      <w:r>
        <w:rPr>
          <w:spacing w:val="-12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公司价值有望重估。</w:t>
      </w:r>
      <w:r>
        <w:rPr>
          <w:spacing w:val="34"/>
        </w:rPr>
        <w:t xml:space="preserve"> </w:t>
      </w:r>
      <w:r>
        <w:rPr>
          <w:spacing w:val="-12"/>
        </w:rPr>
        <w:t>我</w:t>
      </w:r>
      <w:r>
        <w:rPr>
          <w:spacing w:val="-12"/>
        </w:rPr>
        <w:t xml:space="preserve"> </w:t>
      </w:r>
      <w:r>
        <w:t>们从两个角度给予公司价值评估：从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</w:rPr>
        <w:t>PE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t>估值法角</w:t>
      </w:r>
      <w:r>
        <w:rPr>
          <w:spacing w:val="-1"/>
        </w:rPr>
        <w:t>度，我们预计公司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23-25</w:t>
      </w:r>
      <w:r>
        <w:rPr>
          <w:rFonts w:ascii="Times New Roman" w:eastAsia="Times New Roman" w:hAnsi="Times New Roman" w:cs="Times New Roman"/>
          <w:spacing w:val="26"/>
          <w:w w:val="102"/>
        </w:rPr>
        <w:t xml:space="preserve"> </w:t>
      </w:r>
      <w:r>
        <w:rPr>
          <w:spacing w:val="-1"/>
        </w:rPr>
        <w:t>年分别实现</w:t>
      </w:r>
      <w:r>
        <w:t xml:space="preserve"> </w:t>
      </w:r>
    </w:p>
    <w:p>
      <w:pPr>
        <w:pStyle w:val="BodyText"/>
        <w:spacing w:before="40" w:line="257" w:lineRule="auto"/>
        <w:ind w:left="1209" w:right="4192" w:hanging="235"/>
      </w:pPr>
      <w:r>
        <w:rPr>
          <w:spacing w:val="-2"/>
        </w:rPr>
        <w:t>归母净利润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13.54/15.</w:t>
      </w:r>
      <w:r>
        <w:rPr>
          <w:rFonts w:ascii="Times New Roman" w:eastAsia="Times New Roman" w:hAnsi="Times New Roman" w:cs="Times New Roman"/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11/15.45 </w:t>
      </w:r>
      <w:r>
        <w:rPr>
          <w:spacing w:val="-2"/>
        </w:rPr>
        <w:t>亿元，</w:t>
      </w:r>
      <w:r>
        <w:rPr>
          <w:spacing w:val="-45"/>
        </w:rPr>
        <w:t xml:space="preserve"> </w:t>
      </w:r>
      <w:r>
        <w:rPr>
          <w:spacing w:val="-2"/>
        </w:rPr>
        <w:t>对应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PE7.71/6.91/</w:t>
      </w:r>
      <w:r>
        <w:rPr>
          <w:rFonts w:ascii="Times New Roman" w:eastAsia="Times New Roman" w:hAnsi="Times New Roman" w:cs="Times New Roman"/>
          <w:spacing w:val="-3"/>
        </w:rPr>
        <w:t xml:space="preserve">6.76 </w:t>
      </w:r>
      <w:r>
        <w:rPr>
          <w:spacing w:val="-3"/>
        </w:rPr>
        <w:t>倍。我们选取中国神华等五家</w:t>
      </w:r>
      <w:r>
        <w:t xml:space="preserve"> </w:t>
      </w:r>
      <w:r>
        <w:rPr>
          <w:spacing w:val="-3"/>
        </w:rPr>
        <w:t>动力煤标的作为可比公司进行比较分析，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23-25 </w:t>
      </w:r>
      <w:r>
        <w:rPr>
          <w:spacing w:val="-3"/>
        </w:rPr>
        <w:t>年可比公司平均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PE</w:t>
      </w:r>
      <w:r>
        <w:rPr>
          <w:rFonts w:ascii="Times New Roman" w:eastAsia="Times New Roman" w:hAnsi="Times New Roman" w:cs="Times New Roman"/>
          <w:spacing w:val="12"/>
        </w:rPr>
        <w:t xml:space="preserve"> </w:t>
      </w:r>
      <w:r>
        <w:rPr>
          <w:spacing w:val="-3"/>
        </w:rPr>
        <w:t>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9.60/8.98/8.</w:t>
      </w:r>
      <w:r>
        <w:rPr>
          <w:rFonts w:ascii="Times New Roman" w:eastAsia="Times New Roman" w:hAnsi="Times New Roman" w:cs="Times New Roman"/>
          <w:spacing w:val="-4"/>
        </w:rPr>
        <w:t xml:space="preserve">64 </w:t>
      </w:r>
      <w:r>
        <w:rPr>
          <w:spacing w:val="-4"/>
        </w:rPr>
        <w:t>倍，</w:t>
      </w:r>
      <w:r>
        <w:t xml:space="preserve"> </w:t>
      </w:r>
      <w:r>
        <w:rPr>
          <w:spacing w:val="-3"/>
        </w:rPr>
        <w:t>公司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PE </w:t>
      </w:r>
      <w:r>
        <w:rPr>
          <w:spacing w:val="-3"/>
        </w:rPr>
        <w:t>折价幅度分别为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25%/30%/28%  </w:t>
      </w:r>
      <w:r>
        <w:rPr>
          <w:spacing w:val="-3"/>
        </w:rPr>
        <w:t>。从股息率角度，</w:t>
      </w:r>
      <w:r>
        <w:rPr>
          <w:spacing w:val="-23"/>
        </w:rPr>
        <w:t xml:space="preserve"> </w:t>
      </w:r>
      <w:r>
        <w:rPr>
          <w:spacing w:val="-4"/>
        </w:rPr>
        <w:t>基于上述预测，</w:t>
      </w:r>
      <w:r>
        <w:rPr>
          <w:spacing w:val="-4"/>
        </w:rPr>
        <w:t xml:space="preserve"> </w:t>
      </w:r>
      <w:r>
        <w:rPr>
          <w:spacing w:val="-4"/>
        </w:rPr>
        <w:t>假设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23 </w:t>
      </w:r>
      <w:r>
        <w:rPr>
          <w:spacing w:val="-4"/>
        </w:rPr>
        <w:t>年公</w:t>
      </w:r>
      <w:r>
        <w:t xml:space="preserve"> </w:t>
      </w:r>
      <w:r>
        <w:rPr>
          <w:spacing w:val="-1"/>
        </w:rPr>
        <w:t>司分红率分别为</w:t>
      </w:r>
      <w:r>
        <w:rPr>
          <w:spacing w:val="-1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50%/60%/70%</w:t>
      </w:r>
      <w:r>
        <w:rPr>
          <w:spacing w:val="-1"/>
        </w:rPr>
        <w:t>时，现金分红为</w:t>
      </w:r>
      <w:r>
        <w:rPr>
          <w:spacing w:val="-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6.77/</w:t>
      </w:r>
      <w:r>
        <w:rPr>
          <w:rFonts w:ascii="Times New Roman" w:eastAsia="Times New Roman" w:hAnsi="Times New Roman" w:cs="Times New Roman"/>
          <w:spacing w:val="-2"/>
        </w:rPr>
        <w:t>8.12/9.48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-2"/>
        </w:rPr>
        <w:t>亿元。中性假设预期下，</w:t>
      </w:r>
      <w:r>
        <w:t xml:space="preserve">  </w:t>
      </w:r>
      <w:r>
        <w:rPr>
          <w:spacing w:val="-3"/>
        </w:rPr>
        <w:t>我们预计公司分红率将提升至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60%</w:t>
      </w:r>
      <w:r>
        <w:rPr>
          <w:spacing w:val="-3"/>
        </w:rPr>
        <w:t>，按照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24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-3"/>
        </w:rPr>
        <w:t>年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  </w:t>
      </w:r>
      <w:r>
        <w:rPr>
          <w:spacing w:val="-3"/>
        </w:rPr>
        <w:t>月</w:t>
      </w:r>
      <w:r>
        <w:rPr>
          <w:spacing w:val="-3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19</w:t>
      </w:r>
      <w:r>
        <w:rPr>
          <w:rFonts w:ascii="Times New Roman" w:eastAsia="Times New Roman" w:hAnsi="Times New Roman" w:cs="Times New Roman"/>
          <w:spacing w:val="12"/>
        </w:rPr>
        <w:t xml:space="preserve">  </w:t>
      </w:r>
      <w:r>
        <w:rPr>
          <w:spacing w:val="-3"/>
        </w:rPr>
        <w:t>日股价，</w:t>
      </w:r>
      <w:r>
        <w:rPr>
          <w:spacing w:val="-4"/>
        </w:rPr>
        <w:t>计算</w:t>
      </w:r>
      <w:r>
        <w:rPr>
          <w:spacing w:val="-4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23</w:t>
      </w:r>
      <w:r>
        <w:rPr>
          <w:rFonts w:ascii="Times New Roman" w:eastAsia="Times New Roman" w:hAnsi="Times New Roman" w:cs="Times New Roman"/>
          <w:spacing w:val="32"/>
        </w:rPr>
        <w:t xml:space="preserve"> </w:t>
      </w:r>
      <w:r>
        <w:rPr>
          <w:spacing w:val="-4"/>
        </w:rPr>
        <w:t>年股息率为</w:t>
      </w:r>
      <w:r>
        <w:t xml:space="preserve"> </w:t>
      </w:r>
      <w:r>
        <w:rPr>
          <w:rFonts w:ascii="Times New Roman" w:eastAsia="Times New Roman" w:hAnsi="Times New Roman" w:cs="Times New Roman"/>
          <w:spacing w:val="-3"/>
        </w:rPr>
        <w:t>7.78%</w:t>
      </w:r>
      <w:r>
        <w:rPr>
          <w:spacing w:val="-3"/>
        </w:rPr>
        <w:t>。在未来低利率市场环境下，我们预期公司股</w:t>
      </w:r>
      <w:r>
        <w:rPr>
          <w:spacing w:val="-4"/>
        </w:rPr>
        <w:t>息率将回归至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22 </w:t>
      </w:r>
      <w:r>
        <w:rPr>
          <w:spacing w:val="-4"/>
        </w:rPr>
        <w:t>年的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5.5%</w:t>
      </w:r>
      <w:r>
        <w:rPr>
          <w:spacing w:val="-4"/>
        </w:rPr>
        <w:t>左右，</w:t>
      </w:r>
      <w:r>
        <w:rPr>
          <w:spacing w:val="-18"/>
        </w:rPr>
        <w:t xml:space="preserve"> </w:t>
      </w:r>
      <w:r>
        <w:rPr>
          <w:spacing w:val="-4"/>
        </w:rPr>
        <w:t>则</w:t>
      </w:r>
      <w:r>
        <w:t xml:space="preserve"> </w:t>
      </w:r>
      <w:r>
        <w:rPr>
          <w:spacing w:val="-4"/>
        </w:rPr>
        <w:t>公司股价可能存在近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41%</w:t>
      </w:r>
      <w:r>
        <w:rPr>
          <w:spacing w:val="-4"/>
        </w:rPr>
        <w:t>的上涨空间。综上所述，</w:t>
      </w:r>
      <w:r>
        <w:rPr>
          <w:spacing w:val="34"/>
          <w:w w:val="101"/>
        </w:rPr>
        <w:t xml:space="preserve"> </w:t>
      </w:r>
      <w:r>
        <w:rPr>
          <w:spacing w:val="-4"/>
        </w:rPr>
        <w:t>考虑到公司兼具稳定成长和股息提升</w:t>
      </w:r>
      <w:r>
        <w:t xml:space="preserve"> </w:t>
      </w:r>
      <w:r>
        <w:rPr>
          <w:spacing w:val="-6"/>
        </w:rPr>
        <w:t>赋予的避险属性，我们首次覆盖给予</w:t>
      </w:r>
      <w:r>
        <w:rPr>
          <w:spacing w:val="35"/>
        </w:rPr>
        <w:t xml:space="preserve"> </w:t>
      </w:r>
      <w:r>
        <w:rPr>
          <w:spacing w:val="-6"/>
          <w14:textOutline w14:w="3091">
            <w14:solidFill>
              <w14:srgbClr w14:val="000000"/>
            </w14:solidFill>
            <w14:prstDash w14:val="solid"/>
            <w14:miter w14:lim="10"/>
          </w14:textOutline>
        </w:rPr>
        <w:t>“买入”</w:t>
      </w:r>
      <w:r>
        <w:rPr>
          <w:spacing w:val="-6"/>
        </w:rPr>
        <w:t>评级。</w:t>
      </w:r>
    </w:p>
    <w:p>
      <w:pPr>
        <w:pStyle w:val="BodyText"/>
        <w:spacing w:before="44" w:line="239" w:lineRule="auto"/>
        <w:ind w:left="1216" w:right="4238" w:hanging="242"/>
      </w:pPr>
      <w:r>
        <w:rPr>
          <w:rFonts w:ascii="Wingdings" w:eastAsia="Wingdings" w:hAnsi="Wingdings" w:cs="Wingdings"/>
          <w:color w:val="17365D"/>
          <w:spacing w:val="-8"/>
        </w:rPr>
        <w:t>.</w:t>
      </w:r>
      <w:r>
        <w:rPr>
          <w:rFonts w:ascii="Wingdings" w:eastAsia="Wingdings" w:hAnsi="Wingdings" w:cs="Wingdings"/>
          <w:color w:val="17365D"/>
          <w:spacing w:val="-36"/>
        </w:rPr>
        <w:t xml:space="preserve"> </w:t>
      </w:r>
      <w:r>
        <w:rPr>
          <w:color w:val="17365D"/>
          <w:spacing w:val="-8"/>
          <w14:textOutline w14:w="3091">
            <w14:solidFill>
              <w14:srgbClr w14:val="17365D"/>
            </w14:solidFill>
            <w14:prstDash w14:val="solid"/>
            <w14:miter w14:lim="10"/>
          </w14:textOutline>
        </w:rPr>
        <w:t>风险提示：</w:t>
      </w:r>
      <w:r>
        <w:rPr>
          <w:color w:val="17365D"/>
          <w:spacing w:val="-50"/>
        </w:rPr>
        <w:t xml:space="preserve"> </w:t>
      </w:r>
      <w:r>
        <w:rPr>
          <w:spacing w:val="-8"/>
        </w:rPr>
        <w:t>国内经济增速大幅下滑，</w:t>
      </w:r>
      <w:r>
        <w:rPr>
          <w:spacing w:val="-20"/>
        </w:rPr>
        <w:t xml:space="preserve"> </w:t>
      </w:r>
      <w:r>
        <w:rPr>
          <w:spacing w:val="-8"/>
        </w:rPr>
        <w:t>煤炭下游需求不及预期，</w:t>
      </w:r>
      <w:r>
        <w:rPr>
          <w:spacing w:val="-21"/>
        </w:rPr>
        <w:t xml:space="preserve"> </w:t>
      </w:r>
      <w:r>
        <w:rPr>
          <w:spacing w:val="-8"/>
        </w:rPr>
        <w:t>安全生产事故导致煤炭产</w:t>
      </w:r>
      <w:r>
        <w:t xml:space="preserve"> </w:t>
      </w:r>
      <w:r>
        <w:rPr>
          <w:spacing w:val="-6"/>
        </w:rPr>
        <w:t>量不及预期。</w:t>
      </w:r>
    </w:p>
    <w:p>
      <w:pPr>
        <w:spacing w:line="239" w:lineRule="auto"/>
        <w:sectPr>
          <w:footerReference w:type="default" r:id="rId8"/>
          <w:type w:val="nextPage"/>
          <w:pgSz w:w="11907" w:h="16839"/>
          <w:pgMar w:top="258" w:right="1" w:bottom="1179" w:left="0" w:header="0" w:footer="10" w:gutter="0"/>
          <w:pgNumType w:start="2"/>
          <w:cols w:space="708"/>
          <w:titlePg w:val="0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7" w:line="217" w:lineRule="auto"/>
        <w:ind w:left="5403"/>
        <w:rPr>
          <w:sz w:val="30"/>
          <w:szCs w:val="30"/>
        </w:rPr>
      </w:pPr>
      <w:r>
        <w:rPr>
          <w:color w:val="17365D"/>
          <w:spacing w:val="-12"/>
          <w:sz w:val="30"/>
          <w:szCs w:val="30"/>
          <w14:textOutline w14:w="5442">
            <w14:solidFill>
              <w14:srgbClr w14:val="17365D"/>
            </w14:solidFill>
            <w14:prstDash w14:val="solid"/>
            <w14:miter w14:lim="10"/>
          </w14:textOutline>
        </w:rPr>
        <w:t>内容目录</w:t>
      </w:r>
    </w:p>
    <w:sdt>
      <w:sdtPr>
        <w:rPr>
          <w:rFonts w:ascii="Times New Roman" w:eastAsia="Times New Roman" w:hAnsi="Times New Roman" w:cs="Times New Roman"/>
          <w:sz w:val="24"/>
          <w:szCs w:val="24"/>
        </w:rPr>
        <w:id w:val="83642734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tabs>
              <w:tab w:val="right" w:leader="dot" w:pos="10950"/>
            </w:tabs>
            <w:spacing w:before="145" w:line="198" w:lineRule="auto"/>
            <w:ind w:left="97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1.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背靠北京国资委，持续聚焦煤炭主业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6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2.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煤炭业务：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产能西迁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&amp;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扩张兑现，量价齐升稳步增长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138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2.1.  </w:t>
            </w:r>
            <w:r>
              <w:rPr>
                <w:spacing w:val="-1"/>
                <w:sz w:val="24"/>
                <w:szCs w:val="24"/>
              </w:rPr>
              <w:t>煤炭产能结构重塑，蒙西成为业务重心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1" w:line="185" w:lineRule="auto"/>
            <w:ind w:left="138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2.2.  </w:t>
            </w:r>
            <w:r>
              <w:rPr>
                <w:spacing w:val="-1"/>
                <w:sz w:val="24"/>
                <w:szCs w:val="24"/>
              </w:rPr>
              <w:t>动力煤核心驱动，低成本优势凸显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3" w:line="198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 “</w:t>
            </w: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煤化运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”</w:t>
            </w: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一体运营，产业链优势显著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9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139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3.1.  </w:t>
            </w:r>
            <w:r>
              <w:rPr>
                <w:spacing w:val="-1"/>
                <w:sz w:val="24"/>
                <w:szCs w:val="24"/>
              </w:rPr>
              <w:t>煤化工：行业景气触底，盈利有望改善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85" w:lineRule="auto"/>
            <w:ind w:left="1390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7" w:history="1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3.2.  </w:t>
            </w:r>
            <w:r>
              <w:rPr>
                <w:sz w:val="24"/>
                <w:szCs w:val="24"/>
              </w:rPr>
              <w:t>铁路运输：自有铁路保障煤炭外运</w:t>
            </w:r>
            <w:r>
              <w:rPr>
                <w:spacing w:val="-1"/>
                <w:sz w:val="24"/>
                <w:szCs w:val="24"/>
              </w:rPr>
              <w:t>，运输优势巩固盈利能力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12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98" w:lineRule="auto"/>
            <w:ind w:left="965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4.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6"/>
                <w:w w:val="101"/>
                <w:sz w:val="24"/>
                <w:szCs w:val="24"/>
              </w:rPr>
              <w:t xml:space="preserve">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高现金低负债国企改革标的，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“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市值考核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”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提升分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红预期</w:t>
            </w:r>
            <w:r>
              <w:rPr>
                <w:spacing w:val="-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6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9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5.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盈利预测与估值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4"/>
                <w:szCs w:val="24"/>
              </w:rPr>
              <w:t>15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236" w:lineRule="auto"/>
            <w:ind w:left="968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6.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风险提示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4"/>
                <w:szCs w:val="24"/>
              </w:rPr>
              <w:t>16</w:t>
            </w:r>
          </w:hyperlink>
        </w:p>
      </w:sdtContent>
    </w:sdt>
    <w:p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9"/>
          <w:footerReference w:type="default" r:id="rId10"/>
          <w:pgSz w:w="11907" w:h="16839"/>
          <w:pgMar w:top="992" w:right="0" w:bottom="1179" w:left="0" w:header="454" w:footer="10" w:gutter="0"/>
          <w:pgNumType w:start="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0"/>
          <w:szCs w:val="30"/>
        </w:rPr>
        <w:id w:val="204713068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spacing w:before="97" w:line="219" w:lineRule="auto"/>
            <w:ind w:left="5395"/>
            <w:rPr>
              <w:sz w:val="30"/>
              <w:szCs w:val="30"/>
            </w:rPr>
          </w:pPr>
          <w:r>
            <w:rPr>
              <w:color w:val="17365D"/>
              <w:spacing w:val="-10"/>
              <w:sz w:val="30"/>
              <w:szCs w:val="30"/>
              <w14:textOutline w14:w="5442">
                <w14:solidFill>
                  <w14:srgbClr w14:val="17365D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pStyle w:val="BodyText"/>
            <w:tabs>
              <w:tab w:val="right" w:leader="dot" w:pos="10950"/>
            </w:tabs>
            <w:spacing w:before="142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1" w:history="1">
            <w:r>
              <w:rPr>
                <w:spacing w:val="-3"/>
                <w:sz w:val="24"/>
                <w:szCs w:val="24"/>
              </w:rPr>
              <w:t>图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</w:rPr>
              <w:t>：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公司与实控人产权关系（截至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2023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Q3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spacing w:val="-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2" w:history="1">
            <w:r>
              <w:rPr>
                <w:spacing w:val="-3"/>
                <w:sz w:val="24"/>
                <w:szCs w:val="24"/>
              </w:rPr>
              <w:t>图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>：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公司股权结构（截至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2023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Q3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spacing w:val="-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3" w:history="1">
            <w:r>
              <w:rPr>
                <w:spacing w:val="-1"/>
                <w:sz w:val="24"/>
                <w:szCs w:val="24"/>
              </w:rPr>
              <w:t>图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2013-2023 </w:t>
            </w:r>
            <w:r>
              <w:rPr>
                <w:spacing w:val="-1"/>
                <w:sz w:val="24"/>
                <w:szCs w:val="24"/>
              </w:rPr>
              <w:t>上半年公司</w:t>
            </w:r>
            <w:r>
              <w:rPr>
                <w:spacing w:val="-2"/>
                <w:sz w:val="24"/>
                <w:szCs w:val="24"/>
              </w:rPr>
              <w:t>主要业务营收构成占比（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%</w:t>
            </w:r>
            <w:r>
              <w:rPr>
                <w:spacing w:val="-2"/>
                <w:sz w:val="24"/>
                <w:szCs w:val="24"/>
              </w:rPr>
              <w:t>）</w:t>
            </w:r>
            <w:r>
              <w:rPr>
                <w:spacing w:val="-8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4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4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4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2016-2023Q1-3 </w:t>
            </w:r>
            <w:r>
              <w:rPr>
                <w:spacing w:val="-8"/>
                <w:sz w:val="24"/>
                <w:szCs w:val="24"/>
              </w:rPr>
              <w:t>年公司营收情</w:t>
            </w:r>
            <w:r>
              <w:rPr>
                <w:spacing w:val="-9"/>
                <w:sz w:val="24"/>
                <w:szCs w:val="24"/>
              </w:rPr>
              <w:t>况（亿元，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%</w:t>
            </w:r>
            <w:r>
              <w:rPr>
                <w:spacing w:val="-9"/>
                <w:sz w:val="24"/>
                <w:szCs w:val="24"/>
              </w:rPr>
              <w:t>）</w:t>
            </w:r>
            <w:r>
              <w:rPr>
                <w:spacing w:val="-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5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5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2016-2023Q1-3 </w:t>
            </w:r>
            <w:r>
              <w:rPr>
                <w:spacing w:val="-8"/>
                <w:sz w:val="24"/>
                <w:szCs w:val="24"/>
              </w:rPr>
              <w:t>年公司归母净利润情况（亿元，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%</w:t>
            </w:r>
            <w:r>
              <w:rPr>
                <w:spacing w:val="-8"/>
                <w:sz w:val="24"/>
                <w:szCs w:val="24"/>
              </w:rPr>
              <w:t>）</w:t>
            </w:r>
            <w:r>
              <w:rPr>
                <w:spacing w:val="-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6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6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国内矿区产能占比变化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3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7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7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红庆梁煤矿产地煤价（元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/</w:t>
            </w:r>
            <w:r>
              <w:rPr>
                <w:spacing w:val="-8"/>
                <w:sz w:val="24"/>
                <w:szCs w:val="24"/>
              </w:rPr>
              <w:t>吨）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8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8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公司煤炭产量构成及动力煤占比（万吨）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85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9" w:history="1">
            <w:r>
              <w:rPr>
                <w:spacing w:val="-7"/>
                <w:sz w:val="24"/>
                <w:szCs w:val="24"/>
              </w:rPr>
              <w:t>图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9</w:t>
            </w:r>
            <w:r>
              <w:rPr>
                <w:spacing w:val="-7"/>
                <w:sz w:val="24"/>
                <w:szCs w:val="24"/>
              </w:rPr>
              <w:t>：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公司煤炭销量构成及动力煤占比（万吨）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7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0" w:history="1">
            <w:r>
              <w:rPr>
                <w:spacing w:val="-4"/>
                <w:sz w:val="24"/>
                <w:szCs w:val="24"/>
              </w:rPr>
              <w:t>图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10</w:t>
            </w:r>
            <w:r>
              <w:rPr>
                <w:spacing w:val="-4"/>
                <w:sz w:val="24"/>
                <w:szCs w:val="24"/>
              </w:rPr>
              <w:t>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2017-2022 </w:t>
            </w:r>
            <w:r>
              <w:rPr>
                <w:spacing w:val="-4"/>
                <w:sz w:val="24"/>
                <w:szCs w:val="24"/>
              </w:rPr>
              <w:t>年公司吨煤生产成本构成（元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</w:t>
            </w:r>
            <w:r>
              <w:rPr>
                <w:spacing w:val="-5"/>
                <w:sz w:val="24"/>
                <w:szCs w:val="24"/>
              </w:rPr>
              <w:t>吨）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8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1" w:history="1">
            <w:r>
              <w:rPr>
                <w:spacing w:val="-6"/>
                <w:sz w:val="24"/>
                <w:szCs w:val="24"/>
              </w:rPr>
              <w:t>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</w:t>
            </w:r>
            <w:r>
              <w:rPr>
                <w:spacing w:val="-6"/>
                <w:sz w:val="24"/>
                <w:szCs w:val="24"/>
              </w:rPr>
              <w:t>：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2015-2023 </w:t>
            </w:r>
            <w:r>
              <w:rPr>
                <w:spacing w:val="-6"/>
                <w:sz w:val="24"/>
                <w:szCs w:val="24"/>
              </w:rPr>
              <w:t>年公司吨煤毛利润（元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/</w:t>
            </w:r>
            <w:r>
              <w:rPr>
                <w:spacing w:val="-6"/>
                <w:sz w:val="24"/>
                <w:szCs w:val="24"/>
              </w:rPr>
              <w:t>吨，</w:t>
            </w:r>
            <w:r>
              <w:rPr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%</w:t>
            </w:r>
            <w:r>
              <w:rPr>
                <w:spacing w:val="-6"/>
                <w:sz w:val="24"/>
                <w:szCs w:val="24"/>
              </w:rPr>
              <w:t>）</w:t>
            </w:r>
            <w:r>
              <w:rPr>
                <w:spacing w:val="-8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8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2" w:history="1">
            <w:r>
              <w:rPr>
                <w:spacing w:val="-4"/>
                <w:sz w:val="24"/>
                <w:szCs w:val="24"/>
              </w:rPr>
              <w:t>图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12</w:t>
            </w:r>
            <w:r>
              <w:rPr>
                <w:spacing w:val="-4"/>
                <w:sz w:val="24"/>
                <w:szCs w:val="24"/>
              </w:rPr>
              <w:t>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2015-2022 </w:t>
            </w:r>
            <w:r>
              <w:rPr>
                <w:spacing w:val="-4"/>
                <w:sz w:val="24"/>
                <w:szCs w:val="24"/>
              </w:rPr>
              <w:t>年行业吨煤销售成本对比（元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</w:t>
            </w:r>
            <w:r>
              <w:rPr>
                <w:spacing w:val="-5"/>
                <w:sz w:val="24"/>
                <w:szCs w:val="24"/>
              </w:rPr>
              <w:t>吨）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3" w:history="1">
            <w:r>
              <w:rPr>
                <w:spacing w:val="-5"/>
                <w:sz w:val="24"/>
                <w:szCs w:val="24"/>
              </w:rPr>
              <w:t>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13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2022 </w:t>
            </w:r>
            <w:r>
              <w:rPr>
                <w:spacing w:val="-5"/>
                <w:sz w:val="24"/>
                <w:szCs w:val="24"/>
              </w:rPr>
              <w:t>年煤炭行业吨煤销售成本对比（元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</w:t>
            </w:r>
            <w:r>
              <w:rPr>
                <w:spacing w:val="-5"/>
                <w:sz w:val="24"/>
                <w:szCs w:val="24"/>
              </w:rPr>
              <w:t>吨）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4" w:history="1">
            <w:r>
              <w:rPr>
                <w:spacing w:val="-9"/>
                <w:sz w:val="24"/>
                <w:szCs w:val="24"/>
              </w:rPr>
              <w:t>图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14</w:t>
            </w:r>
            <w:r>
              <w:rPr>
                <w:spacing w:val="-9"/>
                <w:sz w:val="24"/>
                <w:szCs w:val="24"/>
              </w:rPr>
              <w:t>：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2017-2022 </w:t>
            </w:r>
            <w:r>
              <w:rPr>
                <w:spacing w:val="-9"/>
                <w:sz w:val="24"/>
                <w:szCs w:val="24"/>
              </w:rPr>
              <w:t>年公司甲醇产量变化情况（万吨，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%</w:t>
            </w:r>
            <w:r>
              <w:rPr>
                <w:spacing w:val="-9"/>
                <w:sz w:val="24"/>
                <w:szCs w:val="24"/>
              </w:rPr>
              <w:t>）</w:t>
            </w:r>
            <w:r>
              <w:rPr>
                <w:spacing w:val="-8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5" w:history="1">
            <w:r>
              <w:rPr>
                <w:spacing w:val="-9"/>
                <w:sz w:val="24"/>
                <w:szCs w:val="24"/>
              </w:rPr>
              <w:t>图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15</w:t>
            </w:r>
            <w:r>
              <w:rPr>
                <w:spacing w:val="-9"/>
                <w:sz w:val="24"/>
                <w:szCs w:val="24"/>
              </w:rPr>
              <w:t>：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2017-2022 </w:t>
            </w:r>
            <w:r>
              <w:rPr>
                <w:spacing w:val="-9"/>
                <w:sz w:val="24"/>
                <w:szCs w:val="24"/>
              </w:rPr>
              <w:t>公司甲醇销量变化情况（万吨，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%</w:t>
            </w:r>
            <w:r>
              <w:rPr>
                <w:spacing w:val="-10"/>
                <w:sz w:val="24"/>
                <w:szCs w:val="24"/>
              </w:rPr>
              <w:t>）</w:t>
            </w:r>
            <w:r>
              <w:rPr>
                <w:spacing w:val="-8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6" w:history="1">
            <w:r>
              <w:rPr>
                <w:spacing w:val="-7"/>
                <w:sz w:val="24"/>
                <w:szCs w:val="24"/>
              </w:rPr>
              <w:t>图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16</w:t>
            </w:r>
            <w:r>
              <w:rPr>
                <w:spacing w:val="-7"/>
                <w:sz w:val="24"/>
                <w:szCs w:val="24"/>
              </w:rPr>
              <w:t>：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内蒙古甲醇价格与鄂尔多斯煤价对比（元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spacing w:val="-7"/>
                <w:sz w:val="24"/>
                <w:szCs w:val="24"/>
              </w:rPr>
              <w:t>吨）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7" w:history="1">
            <w:r>
              <w:rPr>
                <w:spacing w:val="-4"/>
                <w:sz w:val="24"/>
                <w:szCs w:val="24"/>
              </w:rPr>
              <w:t>图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17</w:t>
            </w:r>
            <w:r>
              <w:rPr>
                <w:spacing w:val="-4"/>
                <w:sz w:val="24"/>
                <w:szCs w:val="24"/>
              </w:rPr>
              <w:t>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公司甲醇业务毛利率变化（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%</w:t>
            </w:r>
            <w:r>
              <w:rPr>
                <w:spacing w:val="-4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8" w:history="1"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</w:t>
            </w:r>
            <w:r>
              <w:rPr>
                <w:spacing w:val="-2"/>
                <w:sz w:val="24"/>
                <w:szCs w:val="24"/>
              </w:rPr>
              <w:t>：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2017-2022 </w:t>
            </w:r>
            <w:r>
              <w:rPr>
                <w:spacing w:val="-2"/>
                <w:sz w:val="24"/>
                <w:szCs w:val="24"/>
              </w:rPr>
              <w:t>年公司甲醇业务成</w:t>
            </w:r>
            <w:r>
              <w:rPr>
                <w:spacing w:val="-3"/>
                <w:sz w:val="24"/>
                <w:szCs w:val="24"/>
              </w:rPr>
              <w:t>本构成（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%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spacing w:val="-8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11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9" w:history="1">
            <w:r>
              <w:rPr>
                <w:spacing w:val="-10"/>
                <w:sz w:val="24"/>
                <w:szCs w:val="24"/>
              </w:rPr>
              <w:t>图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19</w:t>
            </w:r>
            <w:r>
              <w:rPr>
                <w:spacing w:val="-10"/>
                <w:sz w:val="24"/>
                <w:szCs w:val="24"/>
              </w:rPr>
              <w:t>：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2016 </w:t>
            </w:r>
            <w:r>
              <w:rPr>
                <w:spacing w:val="-10"/>
                <w:sz w:val="24"/>
                <w:szCs w:val="24"/>
              </w:rPr>
              <w:t>年以来公司铁路业务经营情况（亿元，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%</w:t>
            </w:r>
            <w:r>
              <w:rPr>
                <w:spacing w:val="-10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12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0" w:history="1"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</w:t>
            </w:r>
            <w:r>
              <w:rPr>
                <w:spacing w:val="-2"/>
                <w:sz w:val="24"/>
                <w:szCs w:val="24"/>
              </w:rPr>
              <w:t>：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2017 </w:t>
            </w:r>
            <w:r>
              <w:rPr>
                <w:spacing w:val="-2"/>
                <w:sz w:val="24"/>
                <w:szCs w:val="24"/>
              </w:rPr>
              <w:t>年以来铁路业务收入成本同比变化（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%</w:t>
            </w:r>
            <w:r>
              <w:rPr>
                <w:spacing w:val="-2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12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5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1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21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公司净利润自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2020 </w:t>
            </w:r>
            <w:r>
              <w:rPr>
                <w:spacing w:val="-8"/>
                <w:sz w:val="24"/>
                <w:szCs w:val="24"/>
              </w:rPr>
              <w:t>年起触底回升（亿</w:t>
            </w:r>
            <w:r>
              <w:rPr>
                <w:spacing w:val="-9"/>
                <w:sz w:val="24"/>
                <w:szCs w:val="24"/>
              </w:rPr>
              <w:t>元，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%</w:t>
            </w:r>
            <w:r>
              <w:rPr>
                <w:spacing w:val="-9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2" w:history="1"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</w:t>
            </w:r>
            <w:r>
              <w:rPr>
                <w:spacing w:val="-2"/>
                <w:sz w:val="24"/>
                <w:szCs w:val="24"/>
              </w:rPr>
              <w:t>：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公司资产负债率多年来保持较低水平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3" w:line="198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3" w:history="1">
            <w:r>
              <w:rPr>
                <w:spacing w:val="-10"/>
                <w:sz w:val="24"/>
                <w:szCs w:val="24"/>
              </w:rPr>
              <w:t>图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23</w:t>
            </w:r>
            <w:r>
              <w:rPr>
                <w:spacing w:val="-10"/>
                <w:sz w:val="24"/>
                <w:szCs w:val="24"/>
              </w:rPr>
              <w:t>：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公司经营活动产生现金流净额（亿元，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%</w:t>
            </w:r>
            <w:r>
              <w:rPr>
                <w:spacing w:val="-10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85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4" w:history="1">
            <w:r>
              <w:rPr>
                <w:spacing w:val="-8"/>
                <w:sz w:val="24"/>
                <w:szCs w:val="24"/>
              </w:rPr>
              <w:t>图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24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利息保障倍数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13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226" w:lineRule="auto"/>
            <w:ind w:left="99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5" w:history="1">
            <w:r>
              <w:rPr>
                <w:spacing w:val="-9"/>
                <w:sz w:val="24"/>
                <w:szCs w:val="24"/>
              </w:rPr>
              <w:t>图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25</w:t>
            </w:r>
            <w:r>
              <w:rPr>
                <w:spacing w:val="-9"/>
                <w:sz w:val="24"/>
                <w:szCs w:val="24"/>
              </w:rPr>
              <w:t>：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2017 </w:t>
            </w:r>
            <w:r>
              <w:rPr>
                <w:spacing w:val="-9"/>
                <w:sz w:val="24"/>
                <w:szCs w:val="24"/>
              </w:rPr>
              <w:t>年以来公司分红率保持相对稳定（亿元，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%</w:t>
            </w:r>
            <w:r>
              <w:rPr>
                <w:spacing w:val="-9"/>
                <w:sz w:val="24"/>
                <w:szCs w:val="24"/>
              </w:rPr>
              <w:t>）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14</w:t>
            </w:r>
          </w:hyperlink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950"/>
            </w:tabs>
            <w:spacing w:before="78" w:line="185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6" w:history="1">
            <w:r>
              <w:rPr>
                <w:spacing w:val="-2"/>
                <w:sz w:val="24"/>
                <w:szCs w:val="24"/>
              </w:rPr>
              <w:t>表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：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截至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2023 </w:t>
            </w:r>
            <w:r>
              <w:rPr>
                <w:spacing w:val="-2"/>
                <w:sz w:val="24"/>
                <w:szCs w:val="24"/>
              </w:rPr>
              <w:t>年，公司拥有国内矿权情况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98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7" w:history="1"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>：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公司煤炭业务吨煤指标（元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吨）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8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54" w:line="185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8" w:history="1">
            <w:r>
              <w:rPr>
                <w:spacing w:val="-4"/>
                <w:sz w:val="24"/>
                <w:szCs w:val="24"/>
              </w:rPr>
              <w:t>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spacing w:val="-4"/>
                <w:sz w:val="24"/>
                <w:szCs w:val="24"/>
              </w:rPr>
              <w:t>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公司煤化工业务产能情况（截至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23 </w:t>
            </w:r>
            <w:r>
              <w:rPr>
                <w:spacing w:val="-5"/>
                <w:sz w:val="24"/>
                <w:szCs w:val="24"/>
              </w:rPr>
              <w:t>年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月）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>9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3" w:line="198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  <w:sectPr>
              <w:headerReference w:type="default" r:id="rId11"/>
              <w:footerReference w:type="default" r:id="rId12"/>
              <w:pgSz w:w="11907" w:h="16839"/>
              <w:pgMar w:top="992" w:right="0" w:bottom="1179" w:left="0" w:header="454" w:footer="10" w:gutter="0"/>
              <w:pgNumType w:start="4"/>
              <w:cols w:space="708"/>
            </w:sectPr>
          </w:pPr>
          <w:hyperlink w:anchor="bookmark39" w:history="1">
            <w:r>
              <w:rPr>
                <w:spacing w:val="-3"/>
                <w:sz w:val="24"/>
                <w:szCs w:val="24"/>
              </w:rPr>
              <w:t>表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</w:t>
            </w:r>
            <w:r>
              <w:rPr>
                <w:spacing w:val="-3"/>
                <w:sz w:val="24"/>
                <w:szCs w:val="24"/>
              </w:rPr>
              <w:t>：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公司甲醇单位成本构成（元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/</w:t>
            </w:r>
            <w:r>
              <w:rPr>
                <w:spacing w:val="-3"/>
                <w:sz w:val="24"/>
                <w:szCs w:val="24"/>
              </w:rPr>
              <w:t>吨）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11</w:t>
            </w:r>
          </w:hyperlink>
        </w:p>
      </w:sdtContent>
    </w:sdt>
    <w:sdt>
      <w:sdtPr>
        <w:rPr>
          <w:rFonts w:ascii="KaiTi" w:eastAsia="KaiTi" w:hAnsi="KaiTi" w:cs="KaiTi"/>
          <w:sz w:val="30"/>
          <w:szCs w:val="30"/>
        </w:rPr>
        <w:id w:val="153955676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tabs>
              <w:tab w:val="right" w:leader="dot" w:pos="10950"/>
            </w:tabs>
            <w:spacing w:before="53" w:line="185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0" w:history="1">
            <w:r>
              <w:rPr>
                <w:spacing w:val="-1"/>
                <w:sz w:val="24"/>
                <w:szCs w:val="24"/>
              </w:rPr>
              <w:t>表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  <w:r>
              <w:rPr>
                <w:spacing w:val="-1"/>
                <w:sz w:val="24"/>
                <w:szCs w:val="24"/>
              </w:rPr>
              <w:t>：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2023 </w:t>
            </w:r>
            <w:r>
              <w:rPr>
                <w:spacing w:val="-1"/>
                <w:sz w:val="24"/>
                <w:szCs w:val="24"/>
              </w:rPr>
              <w:t>年股息率测算（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2024/2/19</w:t>
            </w:r>
            <w:r>
              <w:rPr>
                <w:spacing w:val="-1"/>
                <w:sz w:val="24"/>
                <w:szCs w:val="24"/>
              </w:rPr>
              <w:t>）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185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1" w:history="1">
            <w:r>
              <w:rPr>
                <w:spacing w:val="-5"/>
                <w:sz w:val="24"/>
                <w:szCs w:val="24"/>
              </w:rPr>
              <w:t>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6</w:t>
            </w:r>
            <w:r>
              <w:rPr>
                <w:spacing w:val="-5"/>
                <w:sz w:val="24"/>
                <w:szCs w:val="24"/>
              </w:rPr>
              <w:t>：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公司主要业务假设及营收拆分（百万</w:t>
            </w:r>
            <w:r>
              <w:rPr>
                <w:spacing w:val="-6"/>
                <w:sz w:val="24"/>
                <w:szCs w:val="24"/>
              </w:rPr>
              <w:t>元）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15</w:t>
            </w:r>
          </w:hyperlink>
        </w:p>
        <w:p>
          <w:pPr>
            <w:pStyle w:val="BodyText"/>
            <w:tabs>
              <w:tab w:val="right" w:leader="dot" w:pos="10950"/>
            </w:tabs>
            <w:spacing w:before="72" w:line="217" w:lineRule="auto"/>
            <w:ind w:left="96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2" w:history="1">
            <w:r>
              <w:rPr>
                <w:spacing w:val="-8"/>
                <w:sz w:val="24"/>
                <w:szCs w:val="24"/>
              </w:rPr>
              <w:t>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7</w:t>
            </w:r>
            <w:r>
              <w:rPr>
                <w:spacing w:val="-8"/>
                <w:sz w:val="24"/>
                <w:szCs w:val="24"/>
              </w:rPr>
              <w:t>：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可比公司估值表（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2024 </w:t>
            </w:r>
            <w:r>
              <w:rPr>
                <w:spacing w:val="-8"/>
                <w:sz w:val="24"/>
                <w:szCs w:val="24"/>
              </w:rPr>
              <w:t>年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19  </w:t>
            </w:r>
            <w:r>
              <w:rPr>
                <w:spacing w:val="-8"/>
                <w:sz w:val="24"/>
                <w:szCs w:val="24"/>
              </w:rPr>
              <w:t>日）</w:t>
            </w:r>
            <w:r>
              <w:rPr>
                <w:spacing w:val="-7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16</w:t>
            </w:r>
          </w:hyperlink>
        </w:p>
      </w:sdtContent>
    </w:sdt>
    <w:p>
      <w:pPr>
        <w:spacing w:line="217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3"/>
          <w:footerReference w:type="default" r:id="rId14"/>
          <w:type w:val="nextPage"/>
          <w:pgSz w:w="11907" w:h="16839"/>
          <w:pgMar w:top="992" w:right="0" w:bottom="1179" w:left="0" w:header="454" w:footer="10" w:gutter="0"/>
          <w:pgNumType w:start="5"/>
          <w:cols w:space="708"/>
          <w:titlePg w:val="0"/>
        </w:sectPr>
      </w:pPr>
    </w:p>
    <w:p>
      <w:pPr>
        <w:spacing w:line="252" w:lineRule="auto"/>
        <w:rPr>
          <w:rFonts w:ascii="Arial"/>
          <w:sz w:val="21"/>
        </w:rPr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608965</wp:posOffset>
            </wp:positionH>
            <wp:positionV relativeFrom="page">
              <wp:posOffset>2643505</wp:posOffset>
            </wp:positionV>
            <wp:extent cx="3028314" cy="24828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28314" cy="248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style="width:249.45pt;height:1pt;margin-top:203.54pt;margin-left:303.65pt;mso-position-horizontal-relative:page;mso-position-vertical-relative:page;position:absolute;z-index:251673600" coordorigin="0,0" coordsize="4988,20" o:allowincell="f" path="m,19l4988,19l4988,l,l,19xe" filled="t" fillcolor="black" stroked="f"/>
        </w:pict>
      </w:r>
      <w:r>
        <w:pict>
          <v:shape id="_x0000_s1035" style="width:249.45pt;height:1pt;margin-top:407.33pt;margin-left:303.65pt;mso-position-horizontal-relative:page;mso-position-vertical-relative:page;position:absolute;z-index:251672576" coordorigin="0,0" coordsize="4988,20" o:allowincell="f" path="m,19l4988,19l4988,l,l,19xe" filled="t" fillcolor="black" stroked="f"/>
        </w:pict>
      </w:r>
      <w:r>
        <w:pict>
          <v:shape id="_x0000_s1036" style="width:397.05pt;height:1pt;margin-top:564.19pt;margin-left:156.02pt;mso-position-horizontal-relative:page;mso-position-vertical-relative:page;position:absolute;z-index:251671552" coordorigin="0,0" coordsize="7940,20" o:allowincell="f" path="m,19l7940,19l7940,l,l,19xe" filled="t" fillcolor="black" stroked="f"/>
        </w:pict>
      </w:r>
      <w:r>
        <w:pict>
          <v:shape id="_x0000_s1037" style="width:397.05pt;height:1pt;margin-top:752.38pt;margin-left:156.02pt;mso-position-horizontal-relative:page;mso-position-vertical-relative:page;position:absolute;z-index:251670528" coordorigin="0,0" coordsize="7940,20" o:allowincell="f" path="m,19l7940,19l7940,l,l,19xe" filled="t" fillcolor="black" stroked="f"/>
        </w:pict>
      </w:r>
      <w:r>
        <w:pict>
          <v:shape id="_x0000_s1038" type="#_x0000_t202" style="width:17.55pt;height:8.15pt;margin-top:585.55pt;margin-left:188.14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>100%</w:t>
                  </w:r>
                </w:p>
              </w:txbxContent>
            </v:textbox>
          </v:shape>
        </w:pict>
      </w:r>
      <w:r>
        <w:pict>
          <v:shape id="_x0000_s1039" type="#_x0000_t202" style="width:14.4pt;height:8.15pt;margin-top:608.69pt;margin-left:191.26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>80%</w:t>
                  </w:r>
                </w:p>
              </w:txbxContent>
            </v:textbox>
          </v:shape>
        </w:pict>
      </w:r>
      <w:r>
        <w:pict>
          <v:shape id="_x0000_s1040" type="#_x0000_t202" style="width:14.5pt;height:8.15pt;margin-top:631.9pt;margin-left:191.13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60%</w:t>
                  </w:r>
                </w:p>
              </w:txbxContent>
            </v:textbox>
          </v:shape>
        </w:pict>
      </w:r>
      <w:r>
        <w:pict>
          <v:shape id="_x0000_s1041" type="#_x0000_t202" style="width:14.65pt;height:8.15pt;margin-top:655.06pt;margin-left:190.94pt;mso-position-horizontal-relative:page;mso-position-vertical-relative:page;position:absolute;z-index:251675648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40%</w:t>
                  </w:r>
                </w:p>
              </w:txbxContent>
            </v:textbox>
          </v:shape>
        </w:pict>
      </w:r>
      <w:r>
        <w:pict>
          <v:shape id="_x0000_s1042" type="#_x0000_t202" style="width:14.65pt;height:8.15pt;margin-top:678.24pt;margin-left:190.98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20%</w:t>
                  </w:r>
                </w:p>
              </w:txbxContent>
            </v:textbox>
          </v:shape>
        </w:pict>
      </w:r>
      <w:r>
        <w:pict>
          <v:shape id="_x0000_s1043" type="#_x0000_t202" style="width:11.05pt;height:8.15pt;margin-top:701.4pt;margin-left:194.59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0%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2476372</wp:posOffset>
            </wp:positionH>
            <wp:positionV relativeFrom="page">
              <wp:posOffset>9040495</wp:posOffset>
            </wp:positionV>
            <wp:extent cx="578993" cy="214122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8993" cy="214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4371467</wp:posOffset>
            </wp:positionH>
            <wp:positionV relativeFrom="page">
              <wp:posOffset>9040495</wp:posOffset>
            </wp:positionV>
            <wp:extent cx="957960" cy="21412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7960" cy="214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3234436</wp:posOffset>
            </wp:positionH>
            <wp:positionV relativeFrom="page">
              <wp:posOffset>9040495</wp:posOffset>
            </wp:positionV>
            <wp:extent cx="957961" cy="214122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7961" cy="214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3030"/>
        <w:outlineLvl w:val="0"/>
        <w:rPr>
          <w:sz w:val="28"/>
          <w:szCs w:val="28"/>
        </w:rPr>
      </w:pPr>
      <w:bookmarkStart w:id="0" w:name="bookmark1"/>
      <w:bookmarkEnd w:id="0"/>
      <w:bookmarkStart w:id="1" w:name="bookmark11"/>
      <w:bookmarkEnd w:id="1"/>
      <w:bookmarkStart w:id="2" w:name="bookmark12"/>
      <w:bookmarkEnd w:id="2"/>
      <w:r>
        <w:rPr>
          <w:rFonts w:ascii="Times New Roman" w:eastAsia="Times New Roman" w:hAnsi="Times New Roman" w:cs="Times New Roman"/>
          <w:b/>
          <w:bCs/>
          <w:color w:val="17365D"/>
          <w:spacing w:val="-1"/>
          <w:sz w:val="28"/>
          <w:szCs w:val="28"/>
        </w:rPr>
        <w:t xml:space="preserve">1.   </w:t>
      </w:r>
      <w:r>
        <w:rPr>
          <w:color w:val="17365D"/>
          <w:spacing w:val="-1"/>
          <w:sz w:val="28"/>
          <w:szCs w:val="28"/>
          <w14:textOutline w14:w="5094">
            <w14:solidFill>
              <w14:srgbClr w14:val="17365D"/>
            </w14:solidFill>
            <w14:prstDash w14:val="solid"/>
            <w14:miter w14:lim="10"/>
          </w14:textOutline>
        </w:rPr>
        <w:t>背靠北京国资委，持续聚焦煤炭主业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69" w:line="300" w:lineRule="auto"/>
        <w:ind w:left="3124" w:right="788" w:firstLine="433"/>
        <w:jc w:val="both"/>
        <w:rPr>
          <w:sz w:val="21"/>
          <w:szCs w:val="21"/>
        </w:rPr>
      </w:pPr>
      <w:r>
        <w:rPr>
          <w:spacing w:val="-5"/>
          <w:sz w:val="21"/>
          <w:szCs w:val="21"/>
        </w:rPr>
        <w:t>北京昊华能源股份有限公司成立于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2002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年，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并于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2010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年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月经中国证监会核准，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在上海证券交易所上市。公司主营业务为煤炭生产与销售、甲醇的生产</w:t>
      </w:r>
      <w:r>
        <w:rPr>
          <w:spacing w:val="-2"/>
          <w:sz w:val="21"/>
          <w:szCs w:val="21"/>
        </w:rPr>
        <w:t>与销售以及铁路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专用线运输。公司股权结构清晰明确，截至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2023Q3</w:t>
      </w:r>
      <w:r>
        <w:rPr>
          <w:spacing w:val="-8"/>
          <w:sz w:val="21"/>
          <w:szCs w:val="21"/>
        </w:rPr>
        <w:t>，大股东京能集团直接持有公司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63.3%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</w:t>
      </w:r>
      <w:r>
        <w:rPr>
          <w:spacing w:val="-7"/>
          <w:sz w:val="21"/>
          <w:szCs w:val="21"/>
        </w:rPr>
        <w:t>股份，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北京市国资委持有京能集团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100%</w:t>
      </w:r>
      <w:r>
        <w:rPr>
          <w:spacing w:val="-7"/>
          <w:sz w:val="21"/>
          <w:szCs w:val="21"/>
        </w:rPr>
        <w:t>股份，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为公司实际</w:t>
      </w:r>
      <w:r>
        <w:rPr>
          <w:spacing w:val="-8"/>
          <w:sz w:val="21"/>
          <w:szCs w:val="21"/>
        </w:rPr>
        <w:t>控制人。</w:t>
      </w:r>
    </w:p>
    <w:p>
      <w:pPr>
        <w:spacing w:line="94" w:lineRule="exact"/>
      </w:pPr>
    </w:p>
    <w:p>
      <w:pPr>
        <w:spacing w:line="94" w:lineRule="exact"/>
        <w:sectPr>
          <w:headerReference w:type="default" r:id="rId19"/>
          <w:footerReference w:type="default" r:id="rId20"/>
          <w:pgSz w:w="11907" w:h="16839"/>
          <w:pgMar w:top="992" w:right="0" w:bottom="1179" w:left="0" w:header="454" w:footer="10" w:gutter="0"/>
          <w:pgNumType w:start="6"/>
          <w:cols w:num="1" w:space="708" w:equalWidth="0">
            <w:col w:w="11906" w:space="0"/>
          </w:cols>
        </w:sectPr>
      </w:pPr>
    </w:p>
    <w:p>
      <w:pPr>
        <w:pStyle w:val="BodyText"/>
        <w:spacing w:before="43" w:line="228" w:lineRule="auto"/>
        <w:ind w:left="988"/>
        <w:rPr>
          <w:sz w:val="19"/>
          <w:szCs w:val="19"/>
        </w:rPr>
      </w:pP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1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：公司与实控人产权关系（截至</w:t>
      </w:r>
      <w:r>
        <w:rPr>
          <w:color w:val="17365D"/>
          <w:spacing w:val="-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 xml:space="preserve">2023 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</w:t>
      </w:r>
      <w:r>
        <w:rPr>
          <w:color w:val="17365D"/>
          <w:spacing w:val="-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Q</w:t>
      </w:r>
      <w:r>
        <w:rPr>
          <w:rFonts w:ascii="Times New Roman" w:eastAsia="Times New Roman" w:hAnsi="Times New Roman" w:cs="Times New Roman"/>
          <w:b/>
          <w:bCs/>
          <w:color w:val="17365D"/>
          <w:spacing w:val="6"/>
          <w:sz w:val="19"/>
          <w:szCs w:val="19"/>
        </w:rPr>
        <w:t>3</w:t>
      </w:r>
      <w:r>
        <w:rPr>
          <w:color w:val="17365D"/>
          <w:spacing w:val="6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）</w:t>
      </w:r>
    </w:p>
    <w:p>
      <w:pPr>
        <w:spacing w:before="51" w:line="4095" w:lineRule="exact"/>
        <w:ind w:firstLine="851"/>
      </w:pPr>
      <w:r>
        <w:rPr>
          <w:position w:val="-81"/>
        </w:rPr>
        <w:pict>
          <v:group id="_x0000_i1044" style="width:249.3pt;height:204.75pt;mso-position-horizontal-relative:char;mso-position-vertical-relative:line" coordorigin="0,0" coordsize="4986,4095" filled="f" stroked="f">
            <v:rect id="_x0000_s1045" style="width:4986;height:20;position:absolute;top:4075" filled="t" fillcolor="black" stroked="f"/>
            <v:rect id="_x0000_s1046" style="width:4986;height:20;position:absolute" filled="t" fillcolor="black" stroked="f"/>
            <w10:wrap type="none"/>
          </v:group>
        </w:pict>
      </w:r>
    </w:p>
    <w:p>
      <w:pPr>
        <w:pStyle w:val="BodyText"/>
        <w:spacing w:before="70" w:line="194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28" w:lineRule="auto"/>
        <w:ind w:left="136"/>
        <w:rPr>
          <w:sz w:val="19"/>
          <w:szCs w:val="19"/>
        </w:rPr>
      </w:pPr>
      <w:r>
        <w:rPr>
          <w:color w:val="17365D"/>
          <w:spacing w:val="6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6"/>
          <w:sz w:val="19"/>
          <w:szCs w:val="19"/>
        </w:rPr>
        <w:t>2</w:t>
      </w:r>
      <w:r>
        <w:rPr>
          <w:color w:val="17365D"/>
          <w:spacing w:val="6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：公司股权结构（截至</w:t>
      </w:r>
      <w:r>
        <w:rPr>
          <w:color w:val="17365D"/>
          <w:spacing w:val="-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6"/>
          <w:sz w:val="19"/>
          <w:szCs w:val="19"/>
        </w:rPr>
        <w:t xml:space="preserve">2023 </w:t>
      </w:r>
      <w:r>
        <w:rPr>
          <w:color w:val="17365D"/>
          <w:spacing w:val="6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</w:t>
      </w:r>
      <w:r>
        <w:rPr>
          <w:color w:val="17365D"/>
          <w:spacing w:val="-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6"/>
          <w:sz w:val="19"/>
          <w:szCs w:val="19"/>
        </w:rPr>
        <w:t>Q3</w:t>
      </w:r>
      <w:r>
        <w:rPr>
          <w:color w:val="17365D"/>
          <w:spacing w:val="6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）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42" w:line="196" w:lineRule="exact"/>
        <w:ind w:left="1373"/>
        <w:rPr>
          <w:sz w:val="13"/>
          <w:szCs w:val="13"/>
        </w:rPr>
      </w:pPr>
      <w:r>
        <w:pict>
          <v:group id="_x0000_s1047" style="width:173.8pt;height:150.4pt;margin-top:-32.05pt;margin-left:30.14pt;position:absolute;z-index:-251635712" coordorigin="0,0" coordsize="3476,3007" filled="f" stroked="f">
            <v:shape id="_x0000_s1048" style="width:2593;height:2977;left:783;position:absolute;top:15" coordorigin="0,0" coordsize="2593,2977" path="m1104,c1927,,2593,666,2593,1489c2593,2311,1927,2977,1104,2977c683,2977,282,2799,,2486l1104,1489l1104,xe" filled="t" fillcolor="#002060" stroked="f"/>
            <v:shape id="_x0000_s1049" style="width:2623;height:3007;left:768;position:absolute" coordorigin="0,0" coordsize="2623,3007" path="m1119,15c1942,15,2608,681,2608,1504c2608,2326,1942,2992,1119,2992c698,2992,297,2814,15,2501l1119,1504l1119,15xe" filled="f" strokecolor="white" strokeweight="1.5pt"/>
            <v:shape id="_x0000_s1050" style="width:1230;height:998;left:659;position:absolute;top:1504" coordorigin="0,0" coordsize="1230,998" path="m124,997m124,997c79,948,37,895,,840l1229,l124,997xe" filled="t" fillcolor="#a5a5a5" stroked="f"/>
            <v:shape id="_x0000_s1051" style="width:1255;height:1025;left:644;position:absolute;top:1491" coordorigin="0,0" coordsize="1255,1025" path="m139,1010c94,960,52,907,15,852l1244,12l139,1010xe" filled="f" strokecolor="white" strokeweight="1.5pt"/>
            <v:shape id="_x0000_s1052" style="width:1318;height:840;left:569;position:absolute;top:1504" coordorigin="0,0" coordsize="1318,840" path="m89,840m89,840c56,792,27,742,,690l1318,l89,840xe" filled="t" fillcolor="#17375d" stroked="f"/>
            <v:shape id="_x0000_s1053" style="width:1343;height:869;left:554;position:absolute;top:1490" coordorigin="0,0" coordsize="1343,869" path="m104,853c71,805,42,755,15,704l1333,13l104,853xe" filled="f" strokecolor="white" strokeweight="1.5pt"/>
            <v:shape id="_x0000_s1054" style="width:1368;height:690;left:519;position:absolute;top:1504" coordorigin="0,0" coordsize="1368,690" path="m50,690m50,690c32,656,15,621,,585l1368,l50,690xe" filled="t" fillcolor="#bf8f00" stroked="f"/>
            <v:shape id="_x0000_s1055" style="width:1391;height:720;left:504;position:absolute;top:1490" coordorigin="0,0" coordsize="1391,720" path="m65,704c47,670,30,634,15,598l1383,13l65,704xe" filled="f" strokecolor="white" strokeweight="1.5pt"/>
            <v:shape id="_x0000_s1056" style="width:1501;height:2075;left:388;position:absolute;top:15" coordorigin="0,0" coordsize="1501,2075" path="m131,2074c-192,1318,158,443,914,120c1099,40,1299,,1500,l1500,1489l131,2074xe" filled="t" fillcolor="#c5be97" stroked="f"/>
            <v:shape id="_x0000_s1057" style="width:1516;height:2105;left:388;position:absolute" coordorigin="0,0" coordsize="1516,2105" path="m131,2089c-192,1333,158,458,914,135c1099,55,1299,15,1500,15l1500,1504l131,2089xe" filled="f" strokecolor="white" strokeweight="1.5pt"/>
            <v:shape id="_x0000_s1058" style="width:3476;height:921;position:absolute;top:1922" coordorigin="0,0" coordsize="3476,921" path="m3249,186l3377,101l3468,101m718,502l718,824l718,913m612,348l538,561l449,561m543,220l89,7l,7e" filled="f" strokecolor="#a6a6a6" strokeweight="0.75pt"/>
          </v:group>
        </w:pict>
      </w:r>
      <w:r>
        <w:rPr>
          <w:spacing w:val="6"/>
          <w:position w:val="4"/>
          <w:sz w:val="13"/>
          <w:szCs w:val="13"/>
        </w:rPr>
        <w:t>其他</w:t>
      </w:r>
    </w:p>
    <w:p>
      <w:pPr>
        <w:spacing w:line="196" w:lineRule="auto"/>
        <w:ind w:left="129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31.43%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42" w:line="190" w:lineRule="exact"/>
        <w:ind w:left="174"/>
        <w:rPr>
          <w:sz w:val="13"/>
          <w:szCs w:val="13"/>
        </w:rPr>
      </w:pPr>
      <w:r>
        <w:rPr>
          <w:spacing w:val="6"/>
          <w:position w:val="4"/>
          <w:sz w:val="13"/>
          <w:szCs w:val="13"/>
        </w:rPr>
        <w:t>王嘉苓</w:t>
      </w:r>
    </w:p>
    <w:p>
      <w:pPr>
        <w:spacing w:line="95" w:lineRule="exact"/>
        <w:ind w:left="212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13"/>
          <w:szCs w:val="13"/>
        </w:rPr>
        <w:t>1.25%</w:t>
      </w:r>
    </w:p>
    <w:p>
      <w:pPr>
        <w:pStyle w:val="BodyText"/>
        <w:spacing w:before="1" w:line="218" w:lineRule="auto"/>
        <w:ind w:left="4124"/>
        <w:rPr>
          <w:sz w:val="13"/>
          <w:szCs w:val="13"/>
        </w:rPr>
      </w:pPr>
      <w:r>
        <w:rPr>
          <w:spacing w:val="7"/>
          <w:sz w:val="13"/>
          <w:szCs w:val="13"/>
        </w:rPr>
        <w:t>北京能源集</w:t>
      </w:r>
    </w:p>
    <w:p>
      <w:pPr>
        <w:pStyle w:val="BodyText"/>
        <w:spacing w:before="19" w:line="230" w:lineRule="auto"/>
        <w:ind w:left="4136"/>
        <w:rPr>
          <w:sz w:val="13"/>
          <w:szCs w:val="13"/>
        </w:rPr>
      </w:pPr>
      <w:r>
        <w:rPr>
          <w:spacing w:val="5"/>
          <w:sz w:val="13"/>
          <w:szCs w:val="13"/>
        </w:rPr>
        <w:t>团有限责任</w:t>
      </w:r>
    </w:p>
    <w:p>
      <w:pPr>
        <w:pStyle w:val="BodyText"/>
        <w:spacing w:before="21" w:line="233" w:lineRule="auto"/>
        <w:ind w:left="4327"/>
        <w:rPr>
          <w:sz w:val="13"/>
          <w:szCs w:val="13"/>
        </w:rPr>
      </w:pPr>
      <w:r>
        <w:pict>
          <v:shape id="_x0000_s1059" type="#_x0000_t202" style="width:43.35pt;height:27.05pt;margin-top:0.24pt;margin-left:10.49pt;position:absolute;z-index:2516817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0" w:lineRule="auto"/>
                    <w:ind w:left="28"/>
                    <w:rPr>
                      <w:sz w:val="13"/>
                      <w:szCs w:val="13"/>
                    </w:rPr>
                  </w:pPr>
                  <w:r>
                    <w:rPr>
                      <w:spacing w:val="6"/>
                      <w:sz w:val="13"/>
                      <w:szCs w:val="13"/>
                    </w:rPr>
                    <w:t>中国中煤能源</w:t>
                  </w:r>
                </w:p>
                <w:p>
                  <w:pPr>
                    <w:pStyle w:val="BodyText"/>
                    <w:spacing w:before="20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7"/>
                      <w:sz w:val="13"/>
                      <w:szCs w:val="13"/>
                    </w:rPr>
                    <w:t>集团有限公司</w:t>
                  </w:r>
                </w:p>
                <w:p>
                  <w:pPr>
                    <w:spacing w:before="33" w:line="197" w:lineRule="auto"/>
                    <w:ind w:left="26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>1.86%</w:t>
                  </w:r>
                </w:p>
              </w:txbxContent>
            </v:textbox>
          </v:shape>
        </w:pict>
      </w:r>
      <w:r>
        <w:rPr>
          <w:spacing w:val="9"/>
          <w:sz w:val="13"/>
          <w:szCs w:val="13"/>
        </w:rPr>
        <w:t>公司</w:t>
      </w:r>
    </w:p>
    <w:p>
      <w:pPr>
        <w:spacing w:before="31" w:line="197" w:lineRule="auto"/>
        <w:ind w:left="4258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63.31%</w:t>
      </w:r>
    </w:p>
    <w:p>
      <w:pPr>
        <w:pStyle w:val="BodyText"/>
        <w:spacing w:before="271" w:line="230" w:lineRule="auto"/>
        <w:ind w:left="928"/>
        <w:rPr>
          <w:sz w:val="13"/>
          <w:szCs w:val="13"/>
        </w:rPr>
      </w:pPr>
      <w:r>
        <w:rPr>
          <w:spacing w:val="9"/>
          <w:sz w:val="13"/>
          <w:szCs w:val="13"/>
        </w:rPr>
        <w:t>香港中央结</w:t>
      </w:r>
    </w:p>
    <w:p>
      <w:pPr>
        <w:pStyle w:val="BodyText"/>
        <w:spacing w:before="20" w:line="196" w:lineRule="exact"/>
        <w:ind w:left="935"/>
        <w:rPr>
          <w:sz w:val="13"/>
          <w:szCs w:val="13"/>
        </w:rPr>
      </w:pPr>
      <w:r>
        <w:rPr>
          <w:spacing w:val="7"/>
          <w:position w:val="4"/>
          <w:sz w:val="13"/>
          <w:szCs w:val="13"/>
        </w:rPr>
        <w:t>算有限公司</w:t>
      </w:r>
    </w:p>
    <w:p>
      <w:pPr>
        <w:spacing w:before="1" w:line="196" w:lineRule="auto"/>
        <w:ind w:left="1099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2.15%</w:t>
      </w:r>
    </w:p>
    <w:p>
      <w:pPr>
        <w:pStyle w:val="BodyText"/>
        <w:spacing w:before="263" w:line="194" w:lineRule="auto"/>
        <w:ind w:left="111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94" w:lineRule="auto"/>
        <w:rPr>
          <w:sz w:val="19"/>
          <w:szCs w:val="19"/>
        </w:rPr>
        <w:sectPr>
          <w:headerReference w:type="default" r:id="rId21"/>
          <w:footerReference w:type="default" r:id="rId22"/>
          <w:type w:val="continuous"/>
          <w:pgSz w:w="11907" w:h="16839"/>
          <w:pgMar w:top="992" w:right="0" w:bottom="1179" w:left="0" w:header="454" w:footer="10" w:gutter="0"/>
          <w:pgNumType w:start="7"/>
          <w:cols w:num="2" w:space="708" w:equalWidth="0">
            <w:col w:w="5973" w:space="100"/>
            <w:col w:w="5833" w:space="0"/>
          </w:cols>
        </w:sectPr>
      </w:pPr>
    </w:p>
    <w:p>
      <w:pPr>
        <w:rPr>
          <w:rFonts w:ascii="Arial"/>
          <w:sz w:val="21"/>
        </w:rPr>
      </w:pPr>
    </w:p>
    <w:p>
      <w:pPr>
        <w:pStyle w:val="BodyText"/>
        <w:spacing w:before="68" w:line="329" w:lineRule="auto"/>
        <w:ind w:left="3122" w:right="842" w:firstLine="423"/>
        <w:jc w:val="both"/>
        <w:rPr>
          <w:sz w:val="21"/>
          <w:szCs w:val="21"/>
        </w:rPr>
      </w:pPr>
      <w:r>
        <w:rPr>
          <w:spacing w:val="-10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公司多年来致力于整合产业链资产，</w:t>
      </w:r>
      <w:r>
        <w:rPr>
          <w:spacing w:val="31"/>
          <w:sz w:val="21"/>
          <w:szCs w:val="21"/>
        </w:rPr>
        <w:t xml:space="preserve"> </w:t>
      </w:r>
      <w:r>
        <w:rPr>
          <w:spacing w:val="-10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布局上下游，</w:t>
      </w:r>
      <w:r>
        <w:rPr>
          <w:spacing w:val="24"/>
          <w:sz w:val="21"/>
          <w:szCs w:val="21"/>
        </w:rPr>
        <w:t xml:space="preserve"> </w: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在不断巩固煤炭主业的同时，</w:t>
      </w:r>
      <w:r>
        <w:rPr>
          <w:spacing w:val="-45"/>
          <w:sz w:val="21"/>
          <w:szCs w:val="21"/>
        </w:rPr>
        <w:t xml:space="preserve"> </w: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布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局铁路运输、煤化工业务，提高公司市场竞争力的同时增强了公司的抗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风险能力。</w:t>
      </w:r>
      <w:r>
        <w:rPr>
          <w:spacing w:val="-2"/>
          <w:sz w:val="21"/>
          <w:szCs w:val="21"/>
        </w:rPr>
        <w:t>公司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主营业务由煤炭、煤化工、铁路运输组成，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其中最主要收入来源是煤炭销售。公司持续</w:t>
      </w:r>
      <w:r>
        <w:rPr>
          <w:spacing w:val="8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聚焦煤炭主业，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2021 </w:t>
      </w:r>
      <w:r>
        <w:rPr>
          <w:spacing w:val="-7"/>
          <w:sz w:val="21"/>
          <w:szCs w:val="21"/>
        </w:rPr>
        <w:t>年以来，</w:t>
      </w:r>
      <w:r>
        <w:rPr>
          <w:spacing w:val="-49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公司煤炭产能不断扩张，</w:t>
      </w:r>
      <w:r>
        <w:rPr>
          <w:spacing w:val="-3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并规划在“十四五”末实现煤炭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产能</w:t>
      </w:r>
      <w:r>
        <w:rPr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3000</w:t>
      </w:r>
      <w:r>
        <w:rPr>
          <w:rFonts w:ascii="Times New Roman" w:eastAsia="Times New Roman" w:hAnsi="Times New Roman" w:cs="Times New Roman"/>
          <w:spacing w:val="58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万吨。同时受益于煤价中枢抬升，</w:t>
      </w:r>
      <w:r>
        <w:rPr>
          <w:spacing w:val="-3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公司煤炭业务在主营业务收入中占比持续</w:t>
      </w:r>
    </w:p>
    <w:p>
      <w:pPr>
        <w:pStyle w:val="BodyText"/>
        <w:spacing w:before="1" w:line="213" w:lineRule="auto"/>
        <w:ind w:left="3122"/>
        <w:rPr>
          <w:sz w:val="21"/>
          <w:szCs w:val="21"/>
        </w:rPr>
      </w:pPr>
      <w:r>
        <w:rPr>
          <w:spacing w:val="-5"/>
          <w:sz w:val="21"/>
          <w:szCs w:val="21"/>
        </w:rPr>
        <w:t>提升，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截至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2023H1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已达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90%</w:t>
      </w:r>
      <w:r>
        <w:rPr>
          <w:spacing w:val="-5"/>
          <w:sz w:val="21"/>
          <w:szCs w:val="21"/>
        </w:rPr>
        <w:t>，而煤化工业务营收占</w:t>
      </w:r>
      <w:r>
        <w:rPr>
          <w:spacing w:val="-6"/>
          <w:sz w:val="21"/>
          <w:szCs w:val="21"/>
        </w:rPr>
        <w:t>比为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10%</w:t>
      </w:r>
      <w:r>
        <w:rPr>
          <w:spacing w:val="-6"/>
          <w:sz w:val="21"/>
          <w:szCs w:val="21"/>
        </w:rPr>
        <w:t>左右。</w:t>
      </w:r>
    </w:p>
    <w:p>
      <w:pPr>
        <w:pStyle w:val="BodyText"/>
        <w:spacing w:before="137" w:line="241" w:lineRule="auto"/>
        <w:ind w:left="3256"/>
        <w:rPr>
          <w:sz w:val="19"/>
          <w:szCs w:val="19"/>
        </w:rPr>
        <w:sectPr>
          <w:headerReference w:type="default" r:id="rId23"/>
          <w:footerReference w:type="default" r:id="rId24"/>
          <w:type w:val="continuous"/>
          <w:pgSz w:w="11907" w:h="16839"/>
          <w:pgMar w:top="992" w:right="0" w:bottom="1179" w:left="0" w:header="454" w:footer="10" w:gutter="0"/>
          <w:pgNumType w:start="8"/>
          <w:cols w:num="1" w:space="708" w:equalWidth="0">
            <w:col w:w="11906" w:space="0"/>
          </w:cols>
        </w:sectPr>
      </w:pPr>
      <w:bookmarkStart w:id="3" w:name="bookmark13"/>
      <w:bookmarkEnd w:id="3"/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3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 xml:space="preserve">2013-2023 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上半年公司主要业务营收构成占比（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%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）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639" w:lineRule="exact"/>
        <w:ind w:firstLine="4167"/>
      </w:pPr>
      <w:r>
        <w:rPr>
          <w:position w:val="-52"/>
        </w:rPr>
        <w:pict>
          <v:group id="_x0000_i1060" style="width:306.05pt;height:132pt;mso-position-horizontal-relative:char;mso-position-vertical-relative:line" coordorigin="0,0" coordsize="6120,26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1" type="#_x0000_t75" style="width:5975;height:2448;left:38;position:absolute;top:149" filled="f" stroked="f">
              <v:imagedata r:id="rId25" o:title=""/>
            </v:shape>
            <v:shape id="_x0000_s1062" type="#_x0000_t202" style="width:6057;height:2592;left:-17;position:absolute;top:67" filled="f" stroked="f">
              <o:lock v:ext="edit" aspectratio="f"/>
              <v:textbox inset="0,0,0,0">
                <w:txbxContent>
                  <w:p>
                    <w:pPr>
                      <w:spacing w:before="20" w:line="181" w:lineRule="auto"/>
                      <w:ind w:left="1688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3"/>
                        <w:sz w:val="13"/>
                        <w:szCs w:val="13"/>
                      </w:rPr>
                      <w:t>1.76%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5"/>
                        <w:sz w:val="13"/>
                        <w:szCs w:val="13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3"/>
                        <w:position w:val="1"/>
                        <w:sz w:val="13"/>
                        <w:szCs w:val="13"/>
                      </w:rPr>
                      <w:t>2.37%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4"/>
                        <w:position w:val="1"/>
                        <w:sz w:val="13"/>
                        <w:szCs w:val="13"/>
                      </w:rPr>
                      <w:t xml:space="preserve">       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3"/>
                        <w:position w:val="-1"/>
                        <w:sz w:val="13"/>
                        <w:szCs w:val="13"/>
                      </w:rPr>
                      <w:t>2.35%</w:t>
                    </w:r>
                  </w:p>
                  <w:p>
                    <w:pPr>
                      <w:spacing w:line="196" w:lineRule="auto"/>
                      <w:ind w:left="513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1"/>
                        <w:sz w:val="13"/>
                        <w:szCs w:val="13"/>
                      </w:rPr>
                      <w:t>1.46%</w:t>
                    </w:r>
                  </w:p>
                  <w:p>
                    <w:pPr>
                      <w:spacing w:before="138" w:line="215" w:lineRule="auto"/>
                      <w:ind w:left="1693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4.59%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 xml:space="preserve">      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15.95%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sz w:val="13"/>
                        <w:szCs w:val="13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15.50%</w:t>
                    </w:r>
                  </w:p>
                  <w:p>
                    <w:pPr>
                      <w:spacing w:before="29" w:line="196" w:lineRule="auto"/>
                      <w:ind w:left="592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13"/>
                        <w:szCs w:val="13"/>
                      </w:rPr>
                      <w:t>0</w:t>
                    </w:r>
                  </w:p>
                  <w:p>
                    <w:pPr>
                      <w:spacing w:line="4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38" w:line="84" w:lineRule="exact"/>
                      <w:ind w:left="67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position w:val="-2"/>
                        <w:sz w:val="13"/>
                        <w:szCs w:val="13"/>
                      </w:rPr>
                      <w:t>97.76%</w:t>
                    </w:r>
                  </w:p>
                  <w:p>
                    <w:pPr>
                      <w:spacing w:line="174" w:lineRule="auto"/>
                      <w:ind w:left="5263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92.23%</w:t>
                    </w:r>
                  </w:p>
                  <w:p>
                    <w:pPr>
                      <w:spacing w:before="36" w:line="197" w:lineRule="auto"/>
                      <w:ind w:left="1644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92.71%</w:t>
                    </w:r>
                  </w:p>
                  <w:p>
                    <w:pPr>
                      <w:spacing w:before="10" w:line="201" w:lineRule="auto"/>
                      <w:ind w:left="2244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81.03%     81.29%</w:t>
                    </w: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50" w:lineRule="exact"/>
                      <w:ind w:firstLine="20"/>
                    </w:pPr>
                    <w:r>
                      <w:drawing>
                        <wp:inline distT="0" distB="0" distL="0" distR="0">
                          <wp:extent cx="3821366" cy="31178"/>
                          <wp:effectExtent l="0" t="0" r="0" b="0"/>
                          <wp:docPr id="26" name="IM 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6" name="IM 26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821366" cy="3117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63" type="#_x0000_t202" style="width:455;height:490;left:3408;position:absolute;top:85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4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4"/>
                        <w:sz w:val="13"/>
                        <w:szCs w:val="13"/>
                      </w:rPr>
                      <w:t>2.02%</w:t>
                    </w:r>
                  </w:p>
                  <w:p>
                    <w:pPr>
                      <w:spacing w:before="228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13.57%</w:t>
                    </w:r>
                  </w:p>
                </w:txbxContent>
              </v:textbox>
            </v:shape>
            <v:shape id="_x0000_s1064" type="#_x0000_t202" style="width:454;height:482;left:4006;position:absolute;top:119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4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4"/>
                        <w:sz w:val="13"/>
                        <w:szCs w:val="13"/>
                      </w:rPr>
                      <w:t>2.96%</w:t>
                    </w:r>
                  </w:p>
                  <w:p>
                    <w:pPr>
                      <w:spacing w:before="221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13.85%</w:t>
                    </w:r>
                  </w:p>
                </w:txbxContent>
              </v:textbox>
            </v:shape>
            <v:shape id="_x0000_s1065" type="#_x0000_t202" style="width:454;height:450;left:4603;position:absolute;top:74" filled="f" stroked="f">
              <o:lock v:ext="edit" aspectratio="f"/>
              <v:textbox inset="0,0,0,0">
                <w:txbxContent>
                  <w:p>
                    <w:pPr>
                      <w:spacing w:before="20" w:line="312" w:lineRule="exact"/>
                      <w:ind w:left="34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1"/>
                        <w:position w:val="16"/>
                        <w:sz w:val="13"/>
                        <w:szCs w:val="13"/>
                      </w:rPr>
                      <w:t>1.66%</w:t>
                    </w:r>
                  </w:p>
                  <w:p>
                    <w:pPr>
                      <w:spacing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10.55%</w:t>
                    </w:r>
                  </w:p>
                </w:txbxContent>
              </v:textbox>
            </v:shape>
            <v:shape id="_x0000_s1066" type="#_x0000_t202" style="width:414;height:437;left:5204;position:absolute;top:33" filled="f" stroked="f">
              <o:lock v:ext="edit" aspectratio="f"/>
              <v:textbox inset="0,0,0,0">
                <w:txbxContent>
                  <w:p>
                    <w:pPr>
                      <w:spacing w:before="20" w:line="298" w:lineRule="exact"/>
                      <w:ind w:left="48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1"/>
                        <w:position w:val="15"/>
                        <w:sz w:val="13"/>
                        <w:szCs w:val="13"/>
                      </w:rPr>
                      <w:t>1.73%</w:t>
                    </w:r>
                  </w:p>
                  <w:p>
                    <w:pPr>
                      <w:spacing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9.30%</w:t>
                    </w:r>
                  </w:p>
                </w:txbxContent>
              </v:textbox>
            </v:shape>
            <v:shape id="_x0000_s1067" type="#_x0000_t202" style="width:452;height:379;left:5689;position:absolute;top:103" filled="f" stroked="f">
              <o:lock v:ext="edit" aspectratio="f"/>
              <v:textbox inset="0,0,0,0">
                <w:txbxContent>
                  <w:p>
                    <w:pPr>
                      <w:spacing w:before="20" w:line="240" w:lineRule="exact"/>
                      <w:ind w:left="75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3"/>
                        <w:position w:val="10"/>
                        <w:sz w:val="13"/>
                        <w:szCs w:val="13"/>
                      </w:rPr>
                      <w:t>0.00%</w:t>
                    </w:r>
                  </w:p>
                  <w:p>
                    <w:pPr>
                      <w:spacing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9.66%</w:t>
                    </w:r>
                  </w:p>
                </w:txbxContent>
              </v:textbox>
            </v:shape>
            <v:shape id="_x0000_s1068" type="#_x0000_t202" style="width:385;height:427;left:1054;position:absolute;top:220" filled="f" stroked="f">
              <o:lock v:ext="edit" aspectratio="f"/>
              <v:textbox inset="0,0,0,0">
                <w:txbxContent>
                  <w:p>
                    <w:pPr>
                      <w:spacing w:before="20" w:line="291" w:lineRule="exact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1"/>
                        <w:position w:val="14"/>
                        <w:sz w:val="13"/>
                        <w:szCs w:val="13"/>
                      </w:rPr>
                      <w:t>1.19%</w:t>
                    </w:r>
                  </w:p>
                  <w:p>
                    <w:pPr>
                      <w:spacing w:line="196" w:lineRule="auto"/>
                      <w:ind w:left="155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13"/>
                        <w:szCs w:val="13"/>
                      </w:rPr>
                      <w:t>0</w:t>
                    </w:r>
                  </w:p>
                </w:txbxContent>
              </v:textbox>
            </v:shape>
            <v:shape id="_x0000_s1069" style="width:46;height:2548;left:2;position:absolute;top:49" coordorigin="0,0" coordsize="46,2548" path="m41,2548l41,m,2085l41,2085m,1622l41,1622m,1159l41,1159m,696l41,696m,231l41,231e" filled="f" strokecolor="black" strokeweight="0.5pt"/>
            <v:shape id="_x0000_s1070" type="#_x0000_t202" style="width:465;height:138;left:1010;position:absolute;top:1470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91.90%</w:t>
                    </w:r>
                  </w:p>
                </w:txbxContent>
              </v:textbox>
            </v:shape>
            <v:shape id="_x0000_s1071" type="#_x0000_t202" style="width:462;height:138;left:3401;position:absolute;top:1563" filled="f" stroked="f">
              <o:lock v:ext="edit" aspectratio="f"/>
              <v:textbox inset="0,0,0,0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83.75%</w:t>
                    </w:r>
                  </w:p>
                </w:txbxContent>
              </v:textbox>
            </v:shape>
            <v:shape id="_x0000_s1072" type="#_x0000_t202" style="width:462;height:138;left:4595;position:absolute;top:1521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87.41%</w:t>
                    </w:r>
                  </w:p>
                </w:txbxContent>
              </v:textbox>
            </v:shape>
            <v:shape id="_x0000_s1073" type="#_x0000_t202" style="width:462;height:138;left:3998;position:absolute;top:1579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82.46%</w:t>
                    </w:r>
                  </w:p>
                </w:txbxContent>
              </v:textbox>
            </v:shape>
            <v:shape id="_x0000_s1074" type="#_x0000_t202" style="width:462;height:138;left:416;position:absolute;top:1536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86.17%</w:t>
                    </w:r>
                  </w:p>
                </w:txbxContent>
              </v:textbox>
            </v:shape>
            <v:shape id="_x0000_s1075" type="#_x0000_t202" style="width:462;height:138;left:5590;position:absolute;top:1657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89.71%</w:t>
                    </w:r>
                  </w:p>
                </w:txbxContent>
              </v:textbox>
            </v:shape>
            <v:shape id="_x0000_s1076" type="#_x0000_t202" style="width:395;height:13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2"/>
                        <w:sz w:val="13"/>
                        <w:szCs w:val="13"/>
                      </w:rPr>
                      <w:t>0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10"/>
                        <w:w w:val="10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2"/>
                        <w:sz w:val="13"/>
                        <w:szCs w:val="13"/>
                      </w:rPr>
                      <w:t>98%</w:t>
                    </w:r>
                  </w:p>
                </w:txbxContent>
              </v:textbox>
            </v:shape>
            <v:shape id="_x0000_s1077" style="width:105;height:113;left:39;position:absolute;top:328" coordorigin="0,0" coordsize="105,113" path="m5,5l98,108e" filled="f" strokecolor="#a6a6a6" strokeweight="0.75pt"/>
            <v:shape id="_x0000_s1078" style="width:34;height:212;left:633;position:absolute;top:373" coordorigin="0,0" coordsize="34,212" path="m7,210l26,e" filled="f" strokecolor="#a6a6a6" strokeweight="0.75pt"/>
            <v:shape id="_x0000_s1079" type="#_x0000_t202" style="width:105;height:136;left:88;position:absolute;top:483" filled="f" stroked="f">
              <o:lock v:ext="edit" aspectratio="f"/>
              <v:textbox inset="0,0,0,0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13"/>
                        <w:szCs w:val="13"/>
                      </w:rPr>
                      <w:t>0</w:t>
                    </w:r>
                  </w:p>
                </w:txbxContent>
              </v:textbox>
            </v:shape>
            <v:shape id="_x0000_s1080" type="#_x0000_t202" style="width:65;height:55;left:54;position:absolute;top:61" filled="f" stroked="f">
              <o:lock v:ext="edit" aspectratio="f"/>
              <v:textbox inset="0,0,0,0">
                <w:txbxContent>
                  <w:p>
                    <w:pPr>
                      <w:spacing w:before="20" w:line="41" w:lineRule="exact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position w:val="1"/>
                        <w:sz w:val="13"/>
                        <w:szCs w:val="13"/>
                      </w:rPr>
                      <w:t>.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7" w:line="459" w:lineRule="exact"/>
        <w:ind w:firstLine="8674"/>
      </w:pPr>
      <w:r>
        <w:rPr>
          <w:position w:val="-9"/>
        </w:rPr>
        <w:drawing>
          <wp:inline distT="0" distB="0" distL="0" distR="0">
            <wp:extent cx="970025" cy="290957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70025" cy="29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3" w:line="230" w:lineRule="auto"/>
        <w:ind w:left="5804"/>
        <w:rPr>
          <w:sz w:val="13"/>
          <w:szCs w:val="13"/>
        </w:rPr>
      </w:pP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3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煤炭业务</w:t>
      </w:r>
      <w:r>
        <w:rPr>
          <w:spacing w:val="1"/>
          <w:sz w:val="13"/>
          <w:szCs w:val="13"/>
        </w:rPr>
        <w:t xml:space="preserve">  </w:t>
      </w: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煤化工业务</w:t>
      </w:r>
      <w:r>
        <w:rPr>
          <w:spacing w:val="1"/>
          <w:sz w:val="13"/>
          <w:szCs w:val="13"/>
        </w:rPr>
        <w:t xml:space="preserve">  </w:t>
      </w: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铁路运输业务</w:t>
      </w:r>
    </w:p>
    <w:p>
      <w:pPr>
        <w:pStyle w:val="BodyText"/>
        <w:spacing w:before="211" w:line="194" w:lineRule="auto"/>
        <w:ind w:left="3232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94" w:lineRule="auto"/>
        <w:rPr>
          <w:sz w:val="19"/>
          <w:szCs w:val="19"/>
        </w:rPr>
        <w:sectPr>
          <w:headerReference w:type="default" r:id="rId31"/>
          <w:footerReference w:type="default" r:id="rId32"/>
          <w:type w:val="nextPage"/>
          <w:pgSz w:w="11907" w:h="16839"/>
          <w:pgMar w:top="992" w:right="0" w:bottom="1179" w:left="0" w:header="454" w:footer="10" w:gutter="0"/>
          <w:pgNumType w:start="9"/>
          <w:cols w:num="1" w:space="708" w:equalWidth="0">
            <w:col w:w="11906" w:space="0"/>
          </w:cols>
          <w:titlePg w:val="0"/>
        </w:sectPr>
      </w:pP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68" w:line="329" w:lineRule="auto"/>
        <w:ind w:left="3120" w:right="844" w:firstLine="441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受益于煤价高位运行，公司近年业绩增长显著。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2021 </w:t>
      </w:r>
      <w:r>
        <w:rPr>
          <w:spacing w:val="-3"/>
          <w:sz w:val="21"/>
          <w:szCs w:val="21"/>
        </w:rPr>
        <w:t>年以来，煤价持续处于相对高</w:t>
      </w:r>
      <w:r>
        <w:rPr>
          <w:spacing w:val="2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位，</w:t>
      </w:r>
      <w:r>
        <w:rPr>
          <w:spacing w:val="-4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公司业绩实现爆发性增长，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2021 </w:t>
      </w:r>
      <w:r>
        <w:rPr>
          <w:spacing w:val="-5"/>
          <w:sz w:val="21"/>
          <w:szCs w:val="21"/>
        </w:rPr>
        <w:t>年实现营收</w:t>
      </w:r>
      <w:r>
        <w:rPr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83.69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亿元，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同比增长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92%</w:t>
      </w:r>
      <w:r>
        <w:rPr>
          <w:spacing w:val="-6"/>
          <w:sz w:val="21"/>
          <w:szCs w:val="21"/>
        </w:rPr>
        <w:t>；实现归母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净利润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20.14 </w:t>
      </w:r>
      <w:r>
        <w:rPr>
          <w:spacing w:val="-5"/>
          <w:sz w:val="21"/>
          <w:szCs w:val="21"/>
        </w:rPr>
        <w:t>亿元，同比增长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40.96 </w:t>
      </w:r>
      <w:r>
        <w:rPr>
          <w:spacing w:val="-5"/>
          <w:sz w:val="21"/>
          <w:szCs w:val="21"/>
        </w:rPr>
        <w:t>倍。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2022 </w:t>
      </w:r>
      <w:r>
        <w:rPr>
          <w:spacing w:val="-5"/>
          <w:sz w:val="21"/>
          <w:szCs w:val="21"/>
        </w:rPr>
        <w:t>年，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受内蒙古两生产煤矿煤质下降影响，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公司业绩虽有下滑但仍处于历史高位水平，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2022 </w:t>
      </w:r>
      <w:r>
        <w:rPr>
          <w:spacing w:val="-1"/>
          <w:sz w:val="21"/>
          <w:szCs w:val="21"/>
        </w:rPr>
        <w:t>年公司实现营收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92.87 </w:t>
      </w:r>
      <w:r>
        <w:rPr>
          <w:spacing w:val="-1"/>
          <w:sz w:val="21"/>
          <w:szCs w:val="21"/>
        </w:rPr>
        <w:t>亿元</w:t>
      </w:r>
      <w:r>
        <w:rPr>
          <w:spacing w:val="-2"/>
          <w:sz w:val="21"/>
          <w:szCs w:val="21"/>
        </w:rPr>
        <w:t>，同比增长</w:t>
      </w:r>
    </w:p>
    <w:p>
      <w:pPr>
        <w:pStyle w:val="BodyText"/>
        <w:spacing w:line="213" w:lineRule="auto"/>
        <w:ind w:left="3145"/>
        <w:rPr>
          <w:sz w:val="21"/>
          <w:szCs w:val="21"/>
        </w:rPr>
      </w:pPr>
      <w:bookmarkStart w:id="4" w:name="bookmark15"/>
      <w:bookmarkEnd w:id="4"/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11%</w:t>
      </w:r>
      <w:r>
        <w:rPr>
          <w:spacing w:val="-8"/>
          <w:sz w:val="21"/>
          <w:szCs w:val="21"/>
        </w:rPr>
        <w:t>；</w:t>
      </w:r>
      <w:r>
        <w:rPr>
          <w:spacing w:val="-44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实现归母净利润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13.44 </w:t>
      </w:r>
      <w:r>
        <w:rPr>
          <w:spacing w:val="-8"/>
          <w:sz w:val="21"/>
          <w:szCs w:val="21"/>
        </w:rPr>
        <w:t>亿元，</w:t>
      </w:r>
      <w:r>
        <w:rPr>
          <w:spacing w:val="-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同比下降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33%</w:t>
      </w:r>
      <w:r>
        <w:rPr>
          <w:spacing w:val="-8"/>
          <w:sz w:val="21"/>
          <w:szCs w:val="21"/>
        </w:rPr>
        <w:t>。</w:t>
      </w:r>
    </w:p>
    <w:p>
      <w:pPr>
        <w:spacing w:line="137" w:lineRule="exact"/>
      </w:pPr>
    </w:p>
    <w:p>
      <w:pPr>
        <w:spacing w:line="137" w:lineRule="exact"/>
        <w:sectPr>
          <w:headerReference w:type="default" r:id="rId33"/>
          <w:footerReference w:type="default" r:id="rId34"/>
          <w:pgSz w:w="11907" w:h="16839"/>
          <w:pgMar w:top="992" w:right="0" w:bottom="1179" w:left="0" w:header="454" w:footer="10" w:gutter="0"/>
          <w:pgNumType w:start="10"/>
          <w:cols w:num="1" w:space="708" w:equalWidth="0">
            <w:col w:w="11906" w:space="0"/>
          </w:cols>
        </w:sectPr>
      </w:pPr>
    </w:p>
    <w:tbl>
      <w:tblPr>
        <w:tblStyle w:val="TableNormal0"/>
        <w:tblW w:w="4985" w:type="dxa"/>
        <w:tblInd w:w="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3"/>
        <w:gridCol w:w="446"/>
        <w:gridCol w:w="509"/>
        <w:gridCol w:w="895"/>
        <w:gridCol w:w="2632"/>
      </w:tblGrid>
      <w:tr>
        <w:tblPrEx>
          <w:tblW w:w="4985" w:type="dxa"/>
          <w:tblInd w:w="8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6"/>
        </w:trPr>
        <w:tc>
          <w:tcPr>
            <w:tcW w:w="4985" w:type="dxa"/>
            <w:gridSpan w:val="5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line="228" w:lineRule="auto"/>
              <w:ind w:left="136"/>
              <w:rPr>
                <w:rFonts w:ascii="KaiTi" w:eastAsia="KaiTi" w:hAnsi="KaiTi" w:cs="KaiTi"/>
                <w:sz w:val="19"/>
                <w:szCs w:val="19"/>
              </w:rPr>
            </w:pPr>
            <w:bookmarkStart w:id="5" w:name="bookmark14"/>
            <w:bookmarkEnd w:id="5"/>
            <w:r>
              <w:rPr>
                <w:rFonts w:ascii="KaiTi" w:eastAsia="KaiTi" w:hAnsi="KaiTi" w:cs="KaiTi"/>
                <w:color w:val="17365D"/>
                <w:spacing w:val="7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17365D"/>
                <w:spacing w:val="7"/>
                <w:sz w:val="19"/>
                <w:szCs w:val="19"/>
              </w:rPr>
              <w:t>4</w:t>
            </w:r>
            <w:r>
              <w:rPr>
                <w:rFonts w:ascii="KaiTi" w:eastAsia="KaiTi" w:hAnsi="KaiTi" w:cs="KaiTi"/>
                <w:color w:val="17365D"/>
                <w:spacing w:val="7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b/>
                <w:bCs/>
                <w:color w:val="17365D"/>
                <w:spacing w:val="7"/>
                <w:sz w:val="19"/>
                <w:szCs w:val="19"/>
              </w:rPr>
              <w:t xml:space="preserve">2016-2023Q1-3 </w:t>
            </w:r>
            <w:r>
              <w:rPr>
                <w:rFonts w:ascii="KaiTi" w:eastAsia="KaiTi" w:hAnsi="KaiTi" w:cs="KaiTi"/>
                <w:color w:val="17365D"/>
                <w:spacing w:val="7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年公司</w:t>
            </w:r>
            <w:r>
              <w:rPr>
                <w:rFonts w:ascii="KaiTi" w:eastAsia="KaiTi" w:hAnsi="KaiTi" w:cs="KaiTi"/>
                <w:color w:val="17365D"/>
                <w:spacing w:val="6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营收情况（亿元，</w:t>
            </w:r>
            <w:r>
              <w:rPr>
                <w:b/>
                <w:bCs/>
                <w:color w:val="17365D"/>
                <w:spacing w:val="6"/>
                <w:sz w:val="19"/>
                <w:szCs w:val="19"/>
              </w:rPr>
              <w:t>%</w:t>
            </w:r>
            <w:r>
              <w:rPr>
                <w:rFonts w:ascii="KaiTi" w:eastAsia="KaiTi" w:hAnsi="KaiTi" w:cs="KaiTi"/>
                <w:color w:val="17365D"/>
                <w:spacing w:val="6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）</w:t>
            </w:r>
          </w:p>
        </w:tc>
      </w:tr>
      <w:tr>
        <w:tblPrEx>
          <w:tblW w:w="4985" w:type="dxa"/>
          <w:tblInd w:w="851" w:type="dxa"/>
          <w:tblLayout w:type="fixed"/>
        </w:tblPrEx>
        <w:trPr>
          <w:trHeight w:val="2500"/>
        </w:trPr>
        <w:tc>
          <w:tcPr>
            <w:tcW w:w="503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80" w:line="196" w:lineRule="auto"/>
              <w:ind w:left="253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100</w:t>
            </w:r>
          </w:p>
          <w:p>
            <w:pPr>
              <w:pStyle w:val="TableText"/>
              <w:spacing w:before="106" w:line="196" w:lineRule="auto"/>
              <w:ind w:left="312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90</w:t>
            </w:r>
          </w:p>
          <w:p>
            <w:pPr>
              <w:pStyle w:val="TableText"/>
              <w:spacing w:before="107" w:line="196" w:lineRule="auto"/>
              <w:ind w:left="31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80</w:t>
            </w:r>
          </w:p>
          <w:p>
            <w:pPr>
              <w:pStyle w:val="TableText"/>
              <w:spacing w:before="106" w:line="196" w:lineRule="auto"/>
              <w:ind w:left="312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70</w:t>
            </w:r>
          </w:p>
          <w:p>
            <w:pPr>
              <w:pStyle w:val="TableText"/>
              <w:spacing w:before="107" w:line="196" w:lineRule="auto"/>
              <w:ind w:left="313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60</w:t>
            </w:r>
          </w:p>
          <w:p>
            <w:pPr>
              <w:pStyle w:val="TableText"/>
              <w:spacing w:before="107" w:line="196" w:lineRule="auto"/>
              <w:ind w:left="313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50</w:t>
            </w:r>
          </w:p>
          <w:p>
            <w:pPr>
              <w:pStyle w:val="TableText"/>
              <w:spacing w:before="107" w:line="196" w:lineRule="auto"/>
              <w:ind w:left="309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</w:t>
            </w:r>
          </w:p>
          <w:p>
            <w:pPr>
              <w:pStyle w:val="TableText"/>
              <w:spacing w:before="107" w:line="196" w:lineRule="auto"/>
              <w:ind w:left="312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30</w:t>
            </w:r>
          </w:p>
          <w:p>
            <w:pPr>
              <w:pStyle w:val="TableText"/>
              <w:spacing w:before="108" w:line="196" w:lineRule="auto"/>
              <w:ind w:left="310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</w:t>
            </w:r>
          </w:p>
          <w:p>
            <w:pPr>
              <w:pStyle w:val="TableText"/>
              <w:spacing w:before="107" w:line="196" w:lineRule="auto"/>
              <w:ind w:left="323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10</w:t>
            </w:r>
          </w:p>
          <w:p>
            <w:pPr>
              <w:pStyle w:val="TableText"/>
              <w:spacing w:before="107" w:line="196" w:lineRule="auto"/>
              <w:ind w:left="38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482" w:type="dxa"/>
            <w:gridSpan w:val="4"/>
            <w:tcBorders>
              <w:top w:val="single" w:sz="6" w:space="0" w:color="000000"/>
            </w:tcBorders>
            <w:vAlign w:val="top"/>
          </w:tcPr>
          <w:p>
            <w:pPr>
              <w:spacing w:line="125" w:lineRule="exact"/>
            </w:pPr>
            <w:r>
              <w:pict>
                <v:shape id="_x0000_s1081" type="#_x0000_t202" style="width:18.25pt;height:90pt;margin-top:3.01pt;margin-left:-29.12pt;mso-position-horizontal-relative:right-margin-area;mso-position-vertical-relative:top-margin-area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7" w:lineRule="auto"/>
                          <w:ind w:left="34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1"/>
                            <w:sz w:val="13"/>
                            <w:szCs w:val="13"/>
                          </w:rPr>
                          <w:t>100%</w:t>
                        </w:r>
                      </w:p>
                      <w:p>
                        <w:pPr>
                          <w:pStyle w:val="TableText"/>
                          <w:spacing w:before="204" w:line="197" w:lineRule="auto"/>
                          <w:ind w:left="26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2"/>
                            <w:sz w:val="13"/>
                            <w:szCs w:val="13"/>
                          </w:rPr>
                          <w:t>80%</w:t>
                        </w:r>
                      </w:p>
                      <w:p>
                        <w:pPr>
                          <w:pStyle w:val="TableText"/>
                          <w:spacing w:before="204" w:line="197" w:lineRule="auto"/>
                          <w:ind w:left="23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60%</w:t>
                        </w:r>
                      </w:p>
                      <w:p>
                        <w:pPr>
                          <w:pStyle w:val="TableText"/>
                          <w:spacing w:before="204" w:line="197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4"/>
                            <w:sz w:val="13"/>
                            <w:szCs w:val="13"/>
                          </w:rPr>
                          <w:t>40%</w:t>
                        </w:r>
                      </w:p>
                      <w:p>
                        <w:pPr>
                          <w:pStyle w:val="TableText"/>
                          <w:spacing w:before="205" w:line="197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4"/>
                            <w:sz w:val="13"/>
                            <w:szCs w:val="13"/>
                          </w:rPr>
                          <w:t>20%</w:t>
                        </w:r>
                      </w:p>
                      <w:p>
                        <w:pPr>
                          <w:pStyle w:val="TableText"/>
                          <w:spacing w:before="204" w:line="197" w:lineRule="auto"/>
                          <w:ind w:left="22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2" type="#_x0000_t202" style="width:13.95pt;height:8.15pt;margin-top:93.42pt;margin-left:-35.1pt;mso-position-horizontal-relative:right-margin-area;mso-position-vertical-relative:top-margin-area;position:absolute;z-index:2516889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7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404040"/>
                            <w:sz w:val="13"/>
                            <w:szCs w:val="13"/>
                          </w:rPr>
                          <w:t>10%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3" type="#_x0000_t202" style="width:16.9pt;height:24.5pt;margin-top:101.22pt;margin-left:-28.94pt;mso-position-horizontal-relative:right-margin-area;mso-position-vertical-relative:top-margin-area;position:absolute;z-index:2516879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97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-20%</w:t>
                        </w:r>
                      </w:p>
                      <w:p>
                        <w:pPr>
                          <w:pStyle w:val="TableText"/>
                          <w:spacing w:before="204" w:line="197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pacing w:val="3"/>
                            <w:sz w:val="13"/>
                            <w:szCs w:val="13"/>
                          </w:rPr>
                          <w:t>-40%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0"/>
              <w:tblW w:w="3758" w:type="dxa"/>
              <w:tblInd w:w="56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758"/>
            </w:tblGrid>
            <w:tr>
              <w:tblPrEx>
                <w:tblW w:w="3758" w:type="dxa"/>
                <w:tblInd w:w="56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2296"/>
              </w:trPr>
              <w:tc>
                <w:tcPr>
                  <w:tcW w:w="3758" w:type="dxa"/>
                  <w:tcBorders>
                    <w:bottom w:val="single" w:sz="6" w:space="0" w:color="000000"/>
                  </w:tcBorders>
                  <w:vAlign w:val="top"/>
                </w:tcPr>
                <w:p>
                  <w:pPr>
                    <w:pStyle w:val="TableText"/>
                    <w:spacing w:line="2285" w:lineRule="exact"/>
                  </w:pPr>
                  <w:r>
                    <w:pict>
                      <v:shape id="_x0000_s1084" type="#_x0000_t202" style="width:4.05pt;height:5.15pt;margin-top:90.04pt;margin-left:-4.53pt;mso-position-horizontal-relative:right-margin-area;mso-position-vertical-relative:top-margin-area;position:absolute;z-index:25168998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62" w:lineRule="exact"/>
                                <w:ind w:left="20"/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color w:val="404040"/>
                                  <w:position w:val="-1"/>
                                  <w:sz w:val="13"/>
                                  <w:szCs w:val="13"/>
                                </w:rPr>
                                <w:t>-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85" style="width:2.35pt;height:115.1pt;margin-top:0;margin-left:-1.12pt;mso-position-horizontal-relative:right-margin-area;mso-position-vertical-relative:top-margin-area;position:absolute;z-index:-251633664" coordorigin="0,0" coordsize="46,2301" path="m5,2296l5,5m5,2296l46,2296m5,1968l46,1968m5,1642l46,1642m5,1313l46,1313m5,987l46,987m5,660l46,660m5,331l46,331m5,5l46,5e" filled="f" strokecolor="black" strokeweight="0.5pt"/>
                    </w:pict>
                  </w:r>
                  <w:r>
                    <w:rPr>
                      <w:position w:val="-47"/>
                    </w:rPr>
                    <w:pict>
                      <v:group id="_x0000_i1086" style="width:180.15pt;height:115.1pt;mso-position-horizontal-relative:char;mso-position-vertical-relative:line" coordorigin="0,0" coordsize="3602,2301" filled="f" stroked="f">
                        <v:shape id="_x0000_s1087" type="#_x0000_t75" style="width:3422;height:2178;left:179;position:absolute;top:118" filled="f" stroked="f">
                          <v:imagedata r:id="rId35" o:title=""/>
                        </v:shape>
                        <v:shape id="_x0000_s1088" type="#_x0000_t202" style="width:2141;height:1988;left:1350;position:absolute;top:73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19" w:line="197" w:lineRule="auto"/>
                                  <w:ind w:left="1409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3"/>
                                    <w:sz w:val="13"/>
                                    <w:szCs w:val="13"/>
                                  </w:rPr>
                                  <w:t>92%</w:t>
                                </w:r>
                              </w:p>
                              <w:p>
                                <w:pPr>
                                  <w:spacing w:line="28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8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8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90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37" w:line="178" w:lineRule="auto"/>
                                  <w:ind w:left="1883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z w:val="13"/>
                                    <w:szCs w:val="13"/>
                                  </w:rPr>
                                  <w:t>11%</w:t>
                                </w:r>
                              </w:p>
                              <w:p>
                                <w:pPr>
                                  <w:spacing w:line="196" w:lineRule="auto"/>
                                  <w:ind w:left="20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5"/>
                                    <w:sz w:val="13"/>
                                    <w:szCs w:val="13"/>
                                  </w:rPr>
                                  <w:t>4%</w:t>
                                </w:r>
                              </w:p>
                              <w:p>
                                <w:pPr>
                                  <w:spacing w:before="24" w:line="197" w:lineRule="auto"/>
                                  <w:ind w:left="485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2"/>
                                    <w:sz w:val="13"/>
                                    <w:szCs w:val="13"/>
                                  </w:rPr>
                                  <w:t>-5%</w:t>
                                </w:r>
                              </w:p>
                              <w:p>
                                <w:pPr>
                                  <w:spacing w:before="145" w:line="197" w:lineRule="auto"/>
                                  <w:ind w:left="948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3"/>
                                    <w:sz w:val="13"/>
                                    <w:szCs w:val="13"/>
                                  </w:rPr>
                                  <w:t>-21%</w:t>
                                </w:r>
                              </w:p>
                            </w:txbxContent>
                          </v:textbox>
                        </v:shape>
                        <v:shape id="_x0000_s1089" style="width:46;height:2301;position:absolute" coordorigin="0,0" coordsize="46,2301" path="m41,2296l41,5m,2296l41,2296m,2067l41,2067m,1839l41,1839m,1608l41,1608m,1380l41,1380m,1150l41,1150m,922l41,922m,691l41,691m,463l41,463m,233l41,233m,5l41,5e" filled="f" strokecolor="black" strokeweight="0.5pt"/>
                        <v:shape id="_x0000_s1090" type="#_x0000_t202" style="width:220;height:138;left:891;position:absolute;top:1425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19" w:line="197" w:lineRule="auto"/>
                                  <w:ind w:left="20"/>
                                  <w:rPr>
                                    <w:rFonts w:ascii="Times New Roman" w:eastAsia="Times New Roman" w:hAnsi="Times New Roman" w:cs="Times New Roman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3"/>
                                    <w:sz w:val="13"/>
                                    <w:szCs w:val="13"/>
                                  </w:rPr>
                                  <w:t>9%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</w:tr>
            <w:tr>
              <w:tblPrEx>
                <w:tblW w:w="3758" w:type="dxa"/>
                <w:tblInd w:w="56" w:type="dxa"/>
                <w:tblLayout w:type="fixed"/>
              </w:tblPrEx>
              <w:trPr>
                <w:trHeight w:val="20"/>
              </w:trPr>
              <w:tc>
                <w:tcPr>
                  <w:tcW w:w="3758" w:type="dxa"/>
                  <w:tcBorders>
                    <w:top w:val="single" w:sz="6" w:space="0" w:color="000000"/>
                  </w:tcBorders>
                  <w:vAlign w:val="top"/>
                </w:tcPr>
                <w:p>
                  <w:pPr>
                    <w:spacing w:line="104" w:lineRule="auto"/>
                    <w:rPr>
                      <w:rFonts w:ascii="Arial"/>
                      <w:sz w:val="2"/>
                    </w:rPr>
                  </w:pPr>
                </w:p>
              </w:tc>
            </w:tr>
          </w:tbl>
          <w:p>
            <w:pPr>
              <w:spacing w:line="32" w:lineRule="exact"/>
              <w:rPr>
                <w:rFonts w:ascii="Arial"/>
                <w:sz w:val="2"/>
              </w:rPr>
            </w:pPr>
          </w:p>
        </w:tc>
      </w:tr>
      <w:tr>
        <w:tblPrEx>
          <w:tblW w:w="4985" w:type="dxa"/>
          <w:tblInd w:w="851" w:type="dxa"/>
          <w:tblLayout w:type="fixed"/>
        </w:tblPrEx>
        <w:trPr>
          <w:trHeight w:val="402"/>
        </w:trPr>
        <w:tc>
          <w:tcPr>
            <w:tcW w:w="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257" w:lineRule="exact"/>
              <w:ind w:firstLine="113"/>
            </w:pPr>
            <w:r>
              <w:rPr>
                <w:position w:val="-5"/>
              </w:rPr>
              <w:drawing>
                <wp:inline distT="0" distB="0" distL="0" distR="0">
                  <wp:extent cx="149872" cy="163702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72" cy="163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>
            <w:pPr>
              <w:spacing w:before="31" w:line="257" w:lineRule="exact"/>
              <w:ind w:firstLine="129"/>
            </w:pPr>
            <w:r>
              <w:rPr>
                <w:position w:val="-5"/>
              </w:rPr>
              <w:drawing>
                <wp:inline distT="0" distB="0" distL="0" distR="0">
                  <wp:extent cx="143243" cy="163321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243" cy="163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" w:type="dxa"/>
            <w:vAlign w:val="top"/>
          </w:tcPr>
          <w:p>
            <w:pPr>
              <w:spacing w:before="41" w:line="247" w:lineRule="exact"/>
              <w:ind w:firstLine="82"/>
            </w:pPr>
            <w:r>
              <w:rPr>
                <w:position w:val="-4"/>
              </w:rPr>
              <w:drawing>
                <wp:inline distT="0" distB="0" distL="0" distR="0">
                  <wp:extent cx="436117" cy="156844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117" cy="156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2" w:type="dxa"/>
            <w:vMerge w:val="restart"/>
            <w:tcBorders>
              <w:bottom w:val="nil"/>
            </w:tcBorders>
            <w:vAlign w:val="top"/>
          </w:tcPr>
          <w:p>
            <w:pPr>
              <w:spacing w:before="44" w:line="448" w:lineRule="exact"/>
              <w:ind w:firstLine="1037"/>
            </w:pPr>
            <w:r>
              <w:drawing>
                <wp:anchor distT="0" distB="0" distL="0" distR="0" simplePos="0" relativeHeight="251684864" behindDoc="0" locked="0" layoutInCell="1" allowOverlap="1">
                  <wp:simplePos x="0" y="0"/>
                  <wp:positionH relativeFrom="rightMargin">
                    <wp:posOffset>-1599819</wp:posOffset>
                  </wp:positionH>
                  <wp:positionV relativeFrom="topMargin">
                    <wp:posOffset>27631</wp:posOffset>
                  </wp:positionV>
                  <wp:extent cx="444880" cy="155828"/>
                  <wp:effectExtent l="0" t="0" r="0" b="0"/>
                  <wp:wrapNone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80" cy="155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8"/>
              </w:rPr>
              <w:drawing>
                <wp:inline distT="0" distB="0" distL="0" distR="0">
                  <wp:extent cx="439038" cy="28448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038" cy="28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985" w:type="dxa"/>
          <w:tblInd w:w="851" w:type="dxa"/>
          <w:tblLayout w:type="fixed"/>
        </w:tblPrEx>
        <w:trPr>
          <w:trHeight w:val="35"/>
        </w:trPr>
        <w:tc>
          <w:tcPr>
            <w:tcW w:w="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Merge w:val="restart"/>
            <w:tcBorders>
              <w:bottom w:val="nil"/>
            </w:tcBorders>
            <w:vAlign w:val="top"/>
          </w:tcPr>
          <w:p>
            <w:pPr>
              <w:spacing w:before="148" w:line="238" w:lineRule="auto"/>
              <w:ind w:left="27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营收（亿元）</w:t>
            </w:r>
          </w:p>
        </w:tc>
        <w:tc>
          <w:tcPr>
            <w:tcW w:w="263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985" w:type="dxa"/>
          <w:tblInd w:w="851" w:type="dxa"/>
          <w:tblLayout w:type="fixed"/>
        </w:tblPrEx>
        <w:trPr>
          <w:trHeight w:val="83"/>
        </w:trPr>
        <w:tc>
          <w:tcPr>
            <w:tcW w:w="5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91" style="width:19.2pt;height:3.5pt;margin-top:7.54pt;margin-left:-20.55pt;mso-position-horizontal-relative:right-margin-area;mso-position-vertical-relative:top-margin-area;position:absolute;z-index:251692032" filled="t" fillcolor="#17375d" stroked="f"/>
              </w:pict>
            </w:r>
          </w:p>
        </w:tc>
        <w:tc>
          <w:tcPr>
            <w:tcW w:w="89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985" w:type="dxa"/>
          <w:tblInd w:w="851" w:type="dxa"/>
          <w:tblLayout w:type="fixed"/>
        </w:tblPrEx>
        <w:trPr>
          <w:trHeight w:val="415"/>
        </w:trPr>
        <w:tc>
          <w:tcPr>
            <w:tcW w:w="50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6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32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tabs>
                <w:tab w:val="left" w:pos="605"/>
              </w:tabs>
              <w:spacing w:before="30" w:line="226" w:lineRule="auto"/>
              <w:ind w:left="182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trike/>
                <w:sz w:val="13"/>
                <w:szCs w:val="13"/>
              </w:rPr>
              <w:tab/>
            </w:r>
            <w:r>
              <w:rPr>
                <w:spacing w:val="-9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yoy</w:t>
            </w: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（</w:t>
            </w:r>
            <w:r>
              <w:rPr>
                <w:spacing w:val="9"/>
                <w:sz w:val="13"/>
                <w:szCs w:val="13"/>
              </w:rPr>
              <w:t>%</w:t>
            </w: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，右轴）</w:t>
            </w:r>
          </w:p>
        </w:tc>
      </w:tr>
      <w:tr>
        <w:tblPrEx>
          <w:tblW w:w="4985" w:type="dxa"/>
          <w:tblInd w:w="851" w:type="dxa"/>
          <w:tblLayout w:type="fixed"/>
        </w:tblPrEx>
        <w:trPr>
          <w:trHeight w:val="265"/>
        </w:trPr>
        <w:tc>
          <w:tcPr>
            <w:tcW w:w="4985" w:type="dxa"/>
            <w:gridSpan w:val="5"/>
            <w:tcBorders>
              <w:top w:val="single" w:sz="6" w:space="0" w:color="000000"/>
            </w:tcBorders>
            <w:vAlign w:val="top"/>
          </w:tcPr>
          <w:p>
            <w:pPr>
              <w:spacing w:before="67" w:line="182" w:lineRule="auto"/>
              <w:ind w:left="111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spacing w:val="-1"/>
                <w:sz w:val="19"/>
                <w:szCs w:val="19"/>
              </w:rPr>
              <w:t>数据来源：公司公告，</w:t>
            </w:r>
            <w:r>
              <w:rPr>
                <w:rFonts w:ascii="KaiTi" w:eastAsia="KaiTi" w:hAnsi="KaiTi" w:cs="KaiTi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9"/>
                <w:szCs w:val="19"/>
              </w:rPr>
              <w:t>东吴证券研究所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498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4"/>
        <w:gridCol w:w="4079"/>
        <w:gridCol w:w="575"/>
      </w:tblGrid>
      <w:tr>
        <w:tblPrEx>
          <w:tblW w:w="498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6"/>
        </w:trPr>
        <w:tc>
          <w:tcPr>
            <w:tcW w:w="4988" w:type="dxa"/>
            <w:gridSpan w:val="3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line="227" w:lineRule="auto"/>
              <w:ind w:right="14"/>
              <w:jc w:val="right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color w:val="17365D"/>
                <w:spacing w:val="1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b/>
                <w:bCs/>
                <w:color w:val="17365D"/>
                <w:spacing w:val="1"/>
                <w:sz w:val="19"/>
                <w:szCs w:val="19"/>
              </w:rPr>
              <w:t>5</w:t>
            </w:r>
            <w:r>
              <w:rPr>
                <w:rFonts w:ascii="KaiTi" w:eastAsia="KaiTi" w:hAnsi="KaiTi" w:cs="KaiTi"/>
                <w:color w:val="17365D"/>
                <w:spacing w:val="1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b/>
                <w:bCs/>
                <w:color w:val="17365D"/>
                <w:spacing w:val="1"/>
                <w:sz w:val="19"/>
                <w:szCs w:val="19"/>
              </w:rPr>
              <w:t xml:space="preserve">2016-2023Q1-3 </w:t>
            </w:r>
            <w:r>
              <w:rPr>
                <w:rFonts w:ascii="KaiTi" w:eastAsia="KaiTi" w:hAnsi="KaiTi" w:cs="KaiTi"/>
                <w:color w:val="17365D"/>
                <w:spacing w:val="1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年公司归母净利润情况（亿元，</w:t>
            </w:r>
            <w:r>
              <w:rPr>
                <w:b/>
                <w:bCs/>
                <w:color w:val="17365D"/>
                <w:spacing w:val="1"/>
                <w:sz w:val="19"/>
                <w:szCs w:val="19"/>
              </w:rPr>
              <w:t>%</w:t>
            </w:r>
            <w:r>
              <w:rPr>
                <w:rFonts w:ascii="KaiTi" w:eastAsia="KaiTi" w:hAnsi="KaiTi" w:cs="KaiTi"/>
                <w:color w:val="17365D"/>
                <w:spacing w:val="1"/>
                <w:sz w:val="19"/>
                <w:szCs w:val="19"/>
                <w14:textOutline w14:w="3614">
                  <w14:solidFill>
                    <w14:srgbClr w14:val="17365D"/>
                  </w14:solidFill>
                  <w14:prstDash w14:val="solid"/>
                  <w14:miter w14:lim="10"/>
                </w14:textOutline>
              </w:rPr>
              <w:t>）</w:t>
            </w:r>
          </w:p>
        </w:tc>
      </w:tr>
      <w:tr>
        <w:tblPrEx>
          <w:tblW w:w="4988" w:type="dxa"/>
          <w:tblInd w:w="0" w:type="dxa"/>
          <w:tblLayout w:type="fixed"/>
        </w:tblPrEx>
        <w:trPr>
          <w:trHeight w:val="2525"/>
        </w:trPr>
        <w:tc>
          <w:tcPr>
            <w:tcW w:w="334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90" w:line="196" w:lineRule="auto"/>
              <w:ind w:left="141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25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6" w:lineRule="auto"/>
              <w:ind w:left="141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6" w:lineRule="auto"/>
              <w:ind w:left="15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15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6" w:lineRule="auto"/>
              <w:ind w:left="15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10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3" w:lineRule="auto"/>
              <w:ind w:left="21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6" w:lineRule="auto"/>
              <w:ind w:left="21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079" w:type="dxa"/>
            <w:tcBorders>
              <w:top w:val="single" w:sz="6" w:space="0" w:color="000000"/>
            </w:tcBorders>
            <w:vAlign w:val="top"/>
          </w:tcPr>
          <w:p>
            <w:pPr>
              <w:spacing w:before="135" w:line="2356" w:lineRule="exact"/>
              <w:ind w:firstLine="55"/>
            </w:pPr>
            <w:r>
              <w:rPr>
                <w:position w:val="-47"/>
              </w:rPr>
              <w:drawing>
                <wp:inline distT="0" distB="0" distL="0" distR="0">
                  <wp:extent cx="2528696" cy="1496314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8696" cy="1496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" w:type="dxa"/>
            <w:vMerge w:val="restart"/>
            <w:tcBorders>
              <w:top w:val="single" w:sz="6" w:space="0" w:color="000000"/>
              <w:bottom w:val="nil"/>
            </w:tcBorders>
            <w:vAlign w:val="top"/>
          </w:tcPr>
          <w:p>
            <w:pPr>
              <w:pStyle w:val="TableText"/>
              <w:spacing w:before="90" w:line="231" w:lineRule="exact"/>
              <w:ind w:left="40"/>
              <w:rPr>
                <w:sz w:val="13"/>
                <w:szCs w:val="13"/>
              </w:rPr>
            </w:pPr>
            <w:r>
              <w:rPr>
                <w:spacing w:val="5"/>
                <w:position w:val="9"/>
                <w:sz w:val="13"/>
                <w:szCs w:val="13"/>
              </w:rPr>
              <w:t>4500%</w:t>
            </w:r>
          </w:p>
          <w:p>
            <w:pPr>
              <w:pStyle w:val="TableText"/>
              <w:spacing w:line="196" w:lineRule="auto"/>
              <w:ind w:left="40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4000%</w:t>
            </w:r>
          </w:p>
          <w:p>
            <w:pPr>
              <w:pStyle w:val="TableText"/>
              <w:spacing w:before="108" w:line="197" w:lineRule="auto"/>
              <w:ind w:left="44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3500%</w:t>
            </w:r>
          </w:p>
          <w:p>
            <w:pPr>
              <w:pStyle w:val="TableText"/>
              <w:spacing w:before="108" w:line="197" w:lineRule="auto"/>
              <w:ind w:left="44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3000%</w:t>
            </w:r>
          </w:p>
          <w:p>
            <w:pPr>
              <w:pStyle w:val="TableText"/>
              <w:spacing w:before="108" w:line="197" w:lineRule="auto"/>
              <w:ind w:left="41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2500%</w:t>
            </w:r>
          </w:p>
          <w:p>
            <w:pPr>
              <w:pStyle w:val="TableText"/>
              <w:spacing w:before="108" w:line="197" w:lineRule="auto"/>
              <w:ind w:left="41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2000%</w:t>
            </w:r>
          </w:p>
          <w:p>
            <w:pPr>
              <w:pStyle w:val="TableText"/>
              <w:spacing w:before="108" w:line="197" w:lineRule="auto"/>
              <w:ind w:left="54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1500%</w:t>
            </w:r>
          </w:p>
          <w:p>
            <w:pPr>
              <w:pStyle w:val="TableText"/>
              <w:spacing w:before="108" w:line="197" w:lineRule="auto"/>
              <w:ind w:left="54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1000%</w:t>
            </w:r>
          </w:p>
          <w:p>
            <w:pPr>
              <w:pStyle w:val="TableText"/>
              <w:spacing w:before="108" w:line="197" w:lineRule="auto"/>
              <w:ind w:left="45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500%</w:t>
            </w:r>
          </w:p>
          <w:p>
            <w:pPr>
              <w:pStyle w:val="TableText"/>
              <w:spacing w:before="109" w:line="197" w:lineRule="auto"/>
              <w:ind w:left="43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0%</w:t>
            </w:r>
          </w:p>
          <w:p>
            <w:pPr>
              <w:pStyle w:val="TableText"/>
              <w:spacing w:before="108" w:line="197" w:lineRule="auto"/>
              <w:ind w:left="44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-500%</w:t>
            </w:r>
          </w:p>
        </w:tc>
      </w:tr>
      <w:tr>
        <w:tblPrEx>
          <w:tblW w:w="4988" w:type="dxa"/>
          <w:tblInd w:w="0" w:type="dxa"/>
          <w:tblLayout w:type="fixed"/>
        </w:tblPrEx>
        <w:trPr>
          <w:trHeight w:val="909"/>
        </w:trPr>
        <w:tc>
          <w:tcPr>
            <w:tcW w:w="33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79" w:type="dxa"/>
            <w:tcBorders>
              <w:bottom w:val="single" w:sz="6" w:space="0" w:color="000000"/>
            </w:tcBorders>
            <w:vAlign w:val="top"/>
          </w:tcPr>
          <w:p>
            <w:pPr>
              <w:spacing w:before="45" w:line="247" w:lineRule="exact"/>
              <w:ind w:firstLine="1099"/>
            </w:pPr>
            <w:r>
              <w:drawing>
                <wp:anchor distT="0" distB="0" distL="0" distR="0" simplePos="0" relativeHeight="251683840" behindDoc="0" locked="0" layoutInCell="1" allowOverlap="1">
                  <wp:simplePos x="0" y="0"/>
                  <wp:positionH relativeFrom="rightMargin">
                    <wp:posOffset>-654176</wp:posOffset>
                  </wp:positionH>
                  <wp:positionV relativeFrom="topMargin">
                    <wp:posOffset>30438</wp:posOffset>
                  </wp:positionV>
                  <wp:extent cx="454914" cy="284480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14" cy="28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5888" behindDoc="0" locked="0" layoutInCell="1" allowOverlap="1">
                  <wp:simplePos x="0" y="0"/>
                  <wp:positionH relativeFrom="rightMargin">
                    <wp:posOffset>-2511044</wp:posOffset>
                  </wp:positionH>
                  <wp:positionV relativeFrom="topMargin">
                    <wp:posOffset>22056</wp:posOffset>
                  </wp:positionV>
                  <wp:extent cx="149859" cy="163702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859" cy="163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-2201545</wp:posOffset>
                  </wp:positionH>
                  <wp:positionV relativeFrom="topMargin">
                    <wp:posOffset>22438</wp:posOffset>
                  </wp:positionV>
                  <wp:extent cx="143129" cy="163321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29" cy="163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"/>
              </w:rPr>
              <w:drawing>
                <wp:inline distT="0" distB="0" distL="0" distR="0">
                  <wp:extent cx="1079754" cy="156844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754" cy="156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52" w:line="183" w:lineRule="exact"/>
              <w:ind w:left="136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position w:val="4"/>
                <w:sz w:val="13"/>
                <w:szCs w:val="13"/>
              </w:rPr>
              <w:drawing>
                <wp:inline distT="0" distB="0" distL="0" distR="0">
                  <wp:extent cx="243840" cy="4432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4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5"/>
                <w:position w:val="3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position w:val="3"/>
                <w:sz w:val="13"/>
                <w:szCs w:val="13"/>
              </w:rPr>
              <w:t>归母净利润（亿元）</w:t>
            </w:r>
          </w:p>
          <w:p>
            <w:pPr>
              <w:pStyle w:val="TableText"/>
              <w:tabs>
                <w:tab w:val="left" w:pos="1768"/>
              </w:tabs>
              <w:spacing w:line="226" w:lineRule="auto"/>
              <w:ind w:left="1345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strike/>
                <w:sz w:val="13"/>
                <w:szCs w:val="13"/>
              </w:rPr>
              <w:tab/>
            </w:r>
            <w:r>
              <w:rPr>
                <w:spacing w:val="-8"/>
                <w:sz w:val="13"/>
                <w:szCs w:val="13"/>
              </w:rPr>
              <w:t xml:space="preserve"> </w:t>
            </w:r>
            <w:r>
              <w:rPr>
                <w:sz w:val="13"/>
                <w:szCs w:val="13"/>
              </w:rPr>
              <w:t>yoy</w:t>
            </w: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（</w:t>
            </w:r>
            <w:r>
              <w:rPr>
                <w:spacing w:val="9"/>
                <w:sz w:val="13"/>
                <w:szCs w:val="13"/>
              </w:rPr>
              <w:t>%</w:t>
            </w:r>
            <w:r>
              <w:rPr>
                <w:rFonts w:ascii="KaiTi" w:eastAsia="KaiTi" w:hAnsi="KaiTi" w:cs="KaiTi"/>
                <w:spacing w:val="9"/>
                <w:sz w:val="13"/>
                <w:szCs w:val="13"/>
              </w:rPr>
              <w:t>，右轴）</w:t>
            </w:r>
          </w:p>
        </w:tc>
        <w:tc>
          <w:tcPr>
            <w:tcW w:w="57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988" w:type="dxa"/>
          <w:tblInd w:w="0" w:type="dxa"/>
          <w:tblLayout w:type="fixed"/>
        </w:tblPrEx>
        <w:trPr>
          <w:trHeight w:val="265"/>
        </w:trPr>
        <w:tc>
          <w:tcPr>
            <w:tcW w:w="4988" w:type="dxa"/>
            <w:gridSpan w:val="3"/>
            <w:tcBorders>
              <w:top w:val="single" w:sz="6" w:space="0" w:color="000000"/>
            </w:tcBorders>
            <w:vAlign w:val="top"/>
          </w:tcPr>
          <w:p>
            <w:pPr>
              <w:spacing w:before="67" w:line="182" w:lineRule="auto"/>
              <w:ind w:left="111"/>
              <w:rPr>
                <w:rFonts w:ascii="KaiTi" w:eastAsia="KaiTi" w:hAnsi="KaiTi" w:cs="KaiTi"/>
                <w:sz w:val="19"/>
                <w:szCs w:val="19"/>
              </w:rPr>
            </w:pPr>
            <w:r>
              <w:rPr>
                <w:rFonts w:ascii="KaiTi" w:eastAsia="KaiTi" w:hAnsi="KaiTi" w:cs="KaiTi"/>
                <w:spacing w:val="-1"/>
                <w:sz w:val="19"/>
                <w:szCs w:val="19"/>
              </w:rPr>
              <w:t>数据来源：公司公告，</w:t>
            </w:r>
            <w:r>
              <w:rPr>
                <w:rFonts w:ascii="KaiTi" w:eastAsia="KaiTi" w:hAnsi="KaiTi" w:cs="KaiTi"/>
                <w:spacing w:val="84"/>
                <w:sz w:val="19"/>
                <w:szCs w:val="19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9"/>
                <w:szCs w:val="19"/>
              </w:rPr>
              <w:t>东吴证券研究所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47"/>
          <w:footerReference w:type="default" r:id="rId48"/>
          <w:type w:val="continuous"/>
          <w:pgSz w:w="11907" w:h="16839"/>
          <w:pgMar w:top="992" w:right="0" w:bottom="1179" w:left="0" w:header="454" w:footer="10" w:gutter="0"/>
          <w:pgNumType w:start="11"/>
          <w:cols w:num="2" w:space="708" w:equalWidth="0">
            <w:col w:w="5973" w:space="100"/>
            <w:col w:w="5833" w:space="0"/>
          </w:cols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91" w:line="676" w:lineRule="exact"/>
        <w:ind w:left="3019"/>
        <w:rPr>
          <w:sz w:val="28"/>
          <w:szCs w:val="28"/>
        </w:rPr>
      </w:pPr>
      <w:bookmarkStart w:id="6" w:name="bookmark2"/>
      <w:bookmarkEnd w:id="6"/>
      <w:bookmarkStart w:id="7" w:name="bookmark3"/>
      <w:bookmarkEnd w:id="7"/>
      <w:r>
        <w:rPr>
          <w:rFonts w:ascii="Times New Roman" w:eastAsia="Times New Roman" w:hAnsi="Times New Roman" w:cs="Times New Roman"/>
          <w:b/>
          <w:bCs/>
          <w:color w:val="17365D"/>
          <w:spacing w:val="1"/>
          <w:position w:val="30"/>
          <w:sz w:val="28"/>
          <w:szCs w:val="28"/>
        </w:rPr>
        <w:t xml:space="preserve">2.   </w:t>
      </w:r>
      <w:r>
        <w:rPr>
          <w:color w:val="17365D"/>
          <w:spacing w:val="1"/>
          <w:position w:val="30"/>
          <w:sz w:val="28"/>
          <w:szCs w:val="28"/>
          <w14:textOutline w14:w="5094">
            <w14:solidFill>
              <w14:srgbClr w14:val="17365D"/>
            </w14:solidFill>
            <w14:prstDash w14:val="solid"/>
            <w14:miter w14:lim="10"/>
          </w14:textOutline>
        </w:rPr>
        <w:t>煤炭业务：产能西迁</w:t>
      </w:r>
      <w:r>
        <w:rPr>
          <w:rFonts w:ascii="Times New Roman" w:eastAsia="Times New Roman" w:hAnsi="Times New Roman" w:cs="Times New Roman"/>
          <w:b/>
          <w:bCs/>
          <w:color w:val="17365D"/>
          <w:spacing w:val="1"/>
          <w:position w:val="30"/>
          <w:sz w:val="28"/>
          <w:szCs w:val="28"/>
        </w:rPr>
        <w:t>&amp;</w:t>
      </w:r>
      <w:r>
        <w:rPr>
          <w:color w:val="17365D"/>
          <w:spacing w:val="1"/>
          <w:position w:val="30"/>
          <w:sz w:val="28"/>
          <w:szCs w:val="28"/>
          <w14:textOutline w14:w="5094">
            <w14:solidFill>
              <w14:srgbClr w14:val="17365D"/>
            </w14:solidFill>
            <w14:prstDash w14:val="solid"/>
            <w14:miter w14:lim="10"/>
          </w14:textOutline>
        </w:rPr>
        <w:t>扩张兑现，量价齐升</w:t>
      </w:r>
      <w:r>
        <w:rPr>
          <w:color w:val="17365D"/>
          <w:position w:val="30"/>
          <w:sz w:val="28"/>
          <w:szCs w:val="28"/>
          <w14:textOutline w14:w="5094">
            <w14:solidFill>
              <w14:srgbClr w14:val="17365D"/>
            </w14:solidFill>
            <w14:prstDash w14:val="solid"/>
            <w14:miter w14:lim="10"/>
          </w14:textOutline>
        </w:rPr>
        <w:t>稳步增长</w:t>
      </w:r>
    </w:p>
    <w:p>
      <w:pPr>
        <w:pStyle w:val="BodyText"/>
        <w:spacing w:line="212" w:lineRule="auto"/>
        <w:ind w:left="3018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7365D"/>
          <w:sz w:val="24"/>
          <w:szCs w:val="24"/>
        </w:rPr>
        <w:t xml:space="preserve">2.1.   </w:t>
      </w:r>
      <w:r>
        <w:rPr>
          <w:color w:val="17365D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煤炭产能结构重塑，蒙西成为业务重心</w:t>
      </w:r>
    </w:p>
    <w:p>
      <w:pPr>
        <w:pStyle w:val="BodyText"/>
        <w:spacing w:before="269" w:line="374" w:lineRule="exact"/>
        <w:ind w:left="3550"/>
        <w:rPr>
          <w:sz w:val="21"/>
          <w:szCs w:val="21"/>
        </w:rPr>
      </w:pPr>
      <w:r>
        <w:rPr>
          <w:spacing w:val="-3"/>
          <w:position w:val="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顺应国家政策和市场形势，京西矿区产能全面退出。</w:t>
      </w:r>
      <w:r>
        <w:rPr>
          <w:rFonts w:ascii="Times New Roman" w:eastAsia="Times New Roman" w:hAnsi="Times New Roman" w:cs="Times New Roman"/>
          <w:spacing w:val="-3"/>
          <w:position w:val="12"/>
          <w:sz w:val="21"/>
          <w:szCs w:val="21"/>
        </w:rPr>
        <w:t xml:space="preserve">2016 </w:t>
      </w:r>
      <w:r>
        <w:rPr>
          <w:spacing w:val="-3"/>
          <w:position w:val="12"/>
          <w:sz w:val="21"/>
          <w:szCs w:val="21"/>
        </w:rPr>
        <w:t>年</w:t>
      </w:r>
      <w:r>
        <w:rPr>
          <w:spacing w:val="-49"/>
          <w:position w:val="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2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18"/>
          <w:w w:val="101"/>
          <w:position w:val="12"/>
          <w:sz w:val="21"/>
          <w:szCs w:val="21"/>
        </w:rPr>
        <w:t xml:space="preserve"> </w:t>
      </w:r>
      <w:r>
        <w:rPr>
          <w:spacing w:val="-3"/>
          <w:position w:val="12"/>
          <w:sz w:val="21"/>
          <w:szCs w:val="21"/>
        </w:rPr>
        <w:t>月</w:t>
      </w:r>
      <w:r>
        <w:rPr>
          <w:spacing w:val="-4"/>
          <w:position w:val="12"/>
          <w:sz w:val="21"/>
          <w:szCs w:val="21"/>
        </w:rPr>
        <w:t>，公司公告了京西</w:t>
      </w:r>
    </w:p>
    <w:p>
      <w:pPr>
        <w:pStyle w:val="BodyText"/>
        <w:spacing w:before="1" w:line="213" w:lineRule="auto"/>
        <w:ind w:left="3137"/>
        <w:rPr>
          <w:sz w:val="21"/>
          <w:szCs w:val="21"/>
        </w:rPr>
      </w:pPr>
      <w:r>
        <w:rPr>
          <w:spacing w:val="-1"/>
          <w:sz w:val="21"/>
          <w:szCs w:val="21"/>
        </w:rPr>
        <w:t>四矿的逐步退出方案，并于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2020 </w:t>
      </w:r>
      <w:r>
        <w:rPr>
          <w:spacing w:val="-1"/>
          <w:sz w:val="21"/>
          <w:szCs w:val="21"/>
        </w:rPr>
        <w:t>年全面完成京西四矿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520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万</w:t>
      </w:r>
      <w:r>
        <w:rPr>
          <w:spacing w:val="-2"/>
          <w:sz w:val="21"/>
          <w:szCs w:val="21"/>
        </w:rPr>
        <w:t>吨的产能退出。</w:t>
      </w:r>
    </w:p>
    <w:p>
      <w:pPr>
        <w:pStyle w:val="BodyText"/>
        <w:spacing w:before="289" w:line="309" w:lineRule="auto"/>
        <w:ind w:left="3121" w:right="844" w:firstLine="430"/>
        <w:jc w:val="both"/>
        <w:rPr>
          <w:sz w:val="21"/>
          <w:szCs w:val="21"/>
        </w:rPr>
        <w:sectPr>
          <w:headerReference w:type="default" r:id="rId49"/>
          <w:footerReference w:type="default" r:id="rId50"/>
          <w:type w:val="continuous"/>
          <w:pgSz w:w="11907" w:h="16839"/>
          <w:pgMar w:top="992" w:right="0" w:bottom="1179" w:left="0" w:header="454" w:footer="10" w:gutter="0"/>
          <w:pgNumType w:start="12"/>
          <w:cols w:num="1" w:space="708" w:equalWidth="0">
            <w:col w:w="11906" w:space="0"/>
          </w:cols>
        </w:sectPr>
      </w:pP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寻求优质资源，</w:t>
      </w:r>
      <w:r>
        <w:rPr>
          <w:spacing w:val="34"/>
          <w:sz w:val="21"/>
          <w:szCs w:val="21"/>
        </w:rPr>
        <w:t xml:space="preserve"> 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产能重心西迁。</w:t>
      </w:r>
      <w:r>
        <w:rPr>
          <w:spacing w:val="-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为了保证公司煤炭业务的正常进行，实现煤炭产能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的有序接替，公司在开展京西矿区清退工作的同时，也致力于提升内蒙矿区的</w:t>
      </w:r>
      <w:r>
        <w:rPr>
          <w:spacing w:val="-2"/>
          <w:sz w:val="21"/>
          <w:szCs w:val="21"/>
        </w:rPr>
        <w:t>产能及盈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利能力。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公司陆续在内蒙古鄂尔多斯建成高家梁煤矿（产能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800</w:t>
      </w:r>
      <w:r>
        <w:rPr>
          <w:rFonts w:ascii="Times New Roman" w:eastAsia="Times New Roman" w:hAnsi="Times New Roman" w:cs="Times New Roman"/>
          <w:b/>
          <w:bCs/>
          <w:spacing w:val="14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万吨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/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年）和红庆梁煤矿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（产能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600</w:t>
      </w:r>
      <w:r>
        <w:rPr>
          <w:rFonts w:ascii="Times New Roman" w:eastAsia="Times New Roman" w:hAnsi="Times New Roman" w:cs="Times New Roman"/>
          <w:b/>
          <w:bCs/>
          <w:spacing w:val="19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万吨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/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-20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），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并于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 xml:space="preserve">2019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年收购宁夏红墩子煤矿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60%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股权，建设运营红一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煤矿</w:t>
      </w:r>
      <w:r>
        <w:rPr>
          <w:sz w:val="21"/>
          <w:szCs w:val="21"/>
        </w:rPr>
        <w:t xml:space="preserve"> 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（产能</w:t>
      </w:r>
      <w:r>
        <w:rPr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21"/>
          <w:szCs w:val="21"/>
        </w:rPr>
        <w:t>240</w:t>
      </w:r>
      <w:r>
        <w:rPr>
          <w:rFonts w:ascii="Times New Roman" w:eastAsia="Times New Roman" w:hAnsi="Times New Roman" w:cs="Times New Roman"/>
          <w:b/>
          <w:bCs/>
          <w:spacing w:val="14"/>
          <w:sz w:val="21"/>
          <w:szCs w:val="21"/>
        </w:rPr>
        <w:t xml:space="preserve"> 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万吨</w:t>
      </w:r>
      <w:r>
        <w:rPr>
          <w:rFonts w:ascii="Times New Roman" w:eastAsia="Times New Roman" w:hAnsi="Times New Roman" w:cs="Times New Roman"/>
          <w:b/>
          <w:bCs/>
          <w:spacing w:val="-12"/>
          <w:sz w:val="21"/>
          <w:szCs w:val="21"/>
        </w:rPr>
        <w:t>/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年）、红二煤矿（产能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21"/>
          <w:szCs w:val="21"/>
        </w:rPr>
        <w:t>240</w:t>
      </w:r>
      <w:r>
        <w:rPr>
          <w:rFonts w:ascii="Times New Roman" w:eastAsia="Times New Roman" w:hAnsi="Times New Roman" w:cs="Times New Roman"/>
          <w:b/>
          <w:bCs/>
          <w:spacing w:val="14"/>
          <w:sz w:val="21"/>
          <w:szCs w:val="21"/>
        </w:rPr>
        <w:t xml:space="preserve"> 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万吨</w:t>
      </w:r>
      <w:r>
        <w:rPr>
          <w:rFonts w:ascii="Times New Roman" w:eastAsia="Times New Roman" w:hAnsi="Times New Roman" w:cs="Times New Roman"/>
          <w:b/>
          <w:bCs/>
          <w:spacing w:val="-12"/>
          <w:sz w:val="21"/>
          <w:szCs w:val="21"/>
        </w:rPr>
        <w:t>/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年）以及</w:t>
      </w:r>
      <w:r>
        <w:rPr>
          <w:spacing w:val="-1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选煤一厂（规模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  <w:sz w:val="21"/>
          <w:szCs w:val="21"/>
        </w:rPr>
        <w:t>600</w:t>
      </w:r>
      <w:r>
        <w:rPr>
          <w:rFonts w:ascii="Times New Roman" w:eastAsia="Times New Roman" w:hAnsi="Times New Roman" w:cs="Times New Roman"/>
          <w:b/>
          <w:bCs/>
          <w:spacing w:val="13"/>
          <w:w w:val="101"/>
          <w:sz w:val="21"/>
          <w:szCs w:val="21"/>
        </w:rPr>
        <w:t xml:space="preserve"> </w:t>
      </w:r>
      <w:r>
        <w:rPr>
          <w:spacing w:val="-1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万吨</w:t>
      </w:r>
      <w:r>
        <w:rPr>
          <w:rFonts w:ascii="Times New Roman" w:eastAsia="Times New Roman" w:hAnsi="Times New Roman" w:cs="Times New Roman"/>
          <w:b/>
          <w:bCs/>
          <w:spacing w:val="-13"/>
          <w:sz w:val="21"/>
          <w:szCs w:val="21"/>
        </w:rPr>
        <w:t>/</w:t>
      </w:r>
      <w:r>
        <w:rPr>
          <w:spacing w:val="-13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年）。</w:t>
      </w:r>
    </w:p>
    <w:p>
      <w:pPr>
        <w:pStyle w:val="BodyText"/>
        <w:spacing w:before="270" w:line="329" w:lineRule="auto"/>
        <w:ind w:left="3124" w:right="842" w:firstLine="437"/>
        <w:jc w:val="both"/>
        <w:rPr>
          <w:sz w:val="21"/>
          <w:szCs w:val="21"/>
        </w:rPr>
      </w:pP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受益于高家梁煤矿产能两次核增以及红一、红二煤矿分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别于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2022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年、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2023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年投入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联合试运转，公司煤炭产能弹性显著。</w:t>
      </w:r>
      <w:r>
        <w:rPr>
          <w:spacing w:val="7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高家梁煤矿于</w:t>
      </w:r>
      <w:r>
        <w:rPr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2019</w:t>
      </w:r>
      <w:r>
        <w:rPr>
          <w:rFonts w:ascii="Times New Roman" w:eastAsia="Times New Roman" w:hAnsi="Times New Roman" w:cs="Times New Roman"/>
          <w:spacing w:val="-27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22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年通过两次核增，共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增加产能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200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万吨；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红墩子煤矿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60%</w:t>
      </w:r>
      <w:r>
        <w:rPr>
          <w:spacing w:val="-3"/>
          <w:sz w:val="21"/>
          <w:szCs w:val="21"/>
        </w:rPr>
        <w:t>股权于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019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年完成收购，其红一煤矿、红二煤矿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分别于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2022 </w:t>
      </w:r>
      <w:r>
        <w:rPr>
          <w:spacing w:val="-4"/>
          <w:sz w:val="21"/>
          <w:szCs w:val="21"/>
        </w:rPr>
        <w:t>年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月底和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2023 </w:t>
      </w:r>
      <w:r>
        <w:rPr>
          <w:spacing w:val="-4"/>
          <w:sz w:val="21"/>
          <w:szCs w:val="21"/>
        </w:rPr>
        <w:t>年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12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月初投产。截至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2023 </w:t>
      </w:r>
      <w:r>
        <w:rPr>
          <w:spacing w:val="-4"/>
          <w:sz w:val="21"/>
          <w:szCs w:val="21"/>
        </w:rPr>
        <w:t>年末，公司煤</w:t>
      </w:r>
      <w:r>
        <w:rPr>
          <w:spacing w:val="-5"/>
          <w:sz w:val="21"/>
          <w:szCs w:val="21"/>
        </w:rPr>
        <w:t>炭核定产能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1930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万吨，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权益产能</w:t>
      </w:r>
      <w:r>
        <w:rPr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1328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万吨。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2024 </w:t>
      </w:r>
      <w:r>
        <w:rPr>
          <w:spacing w:val="-4"/>
          <w:sz w:val="21"/>
          <w:szCs w:val="21"/>
        </w:rPr>
        <w:t>年，红二煤矿有望贡献权益产量增</w:t>
      </w:r>
      <w:r>
        <w:rPr>
          <w:spacing w:val="-5"/>
          <w:sz w:val="21"/>
          <w:szCs w:val="21"/>
        </w:rPr>
        <w:t>量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130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万吨，增幅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达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11%</w:t>
      </w:r>
      <w:r>
        <w:rPr>
          <w:spacing w:val="-5"/>
          <w:sz w:val="21"/>
          <w:szCs w:val="21"/>
        </w:rPr>
        <w:t>。</w:t>
      </w:r>
      <w:r>
        <w:rPr>
          <w:spacing w:val="-4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同时，</w:t>
      </w:r>
      <w:r>
        <w:rPr>
          <w:spacing w:val="-3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公司确定了“十四五”末实现煤炭产能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3000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万吨的规划目标，正积极</w:t>
      </w:r>
    </w:p>
    <w:p>
      <w:pPr>
        <w:pStyle w:val="BodyText"/>
        <w:spacing w:before="1" w:line="185" w:lineRule="auto"/>
        <w:ind w:left="3124"/>
        <w:rPr>
          <w:sz w:val="21"/>
          <w:szCs w:val="21"/>
        </w:rPr>
      </w:pPr>
      <w:r>
        <w:rPr>
          <w:sz w:val="21"/>
          <w:szCs w:val="21"/>
        </w:rPr>
        <w:t>在煤炭资源富集区寻找优质煤矿项目，未来两年产能规模有望大幅提升。</w:t>
      </w:r>
    </w:p>
    <w:p>
      <w:pPr>
        <w:spacing w:line="185" w:lineRule="auto"/>
        <w:rPr>
          <w:sz w:val="21"/>
          <w:szCs w:val="21"/>
        </w:rPr>
        <w:sectPr>
          <w:headerReference w:type="default" r:id="rId51"/>
          <w:footerReference w:type="default" r:id="rId52"/>
          <w:type w:val="nextPage"/>
          <w:pgSz w:w="11907" w:h="16839"/>
          <w:pgMar w:top="992" w:right="0" w:bottom="1179" w:left="0" w:header="454" w:footer="10" w:gutter="0"/>
          <w:pgNumType w:start="13"/>
          <w:cols w:num="1" w:space="708" w:equalWidth="0">
            <w:col w:w="11906" w:space="0"/>
          </w:cols>
          <w:titlePg w:val="0"/>
        </w:sectPr>
      </w:pPr>
    </w:p>
    <w:p>
      <w:pPr>
        <w:spacing w:line="450" w:lineRule="auto"/>
        <w:rPr>
          <w:rFonts w:ascii="Arial"/>
          <w:sz w:val="21"/>
        </w:rPr>
      </w:pPr>
      <w:r>
        <w:pict>
          <v:shape id="_x0000_s1092" style="width:397.05pt;height:1pt;margin-top:296.21pt;margin-left:156.02pt;mso-position-horizontal-relative:page;mso-position-vertical-relative:page;position:absolute;z-index:251694080" coordorigin="0,0" coordsize="7940,20" o:allowincell="f" path="m,19l7940,19l7940,l,l,19xe" filled="t" fillcolor="black" stroked="f"/>
        </w:pict>
      </w:r>
      <w:r>
        <w:pict>
          <v:shape id="_x0000_s1093" style="width:397.05pt;height:1pt;margin-top:468.91pt;margin-left:156.02pt;mso-position-horizontal-relative:page;mso-position-vertical-relative:page;position:absolute;z-index:251693056" coordorigin="0,0" coordsize="7940,20" o:allowincell="f" path="m,19l7940,19l7940,l,l,19xe" filled="t" fillcolor="black" stroked="f"/>
        </w:pict>
      </w:r>
    </w:p>
    <w:p>
      <w:pPr>
        <w:pStyle w:val="BodyText"/>
        <w:spacing w:before="61" w:line="221" w:lineRule="auto"/>
        <w:ind w:left="963"/>
        <w:rPr>
          <w:sz w:val="19"/>
          <w:szCs w:val="19"/>
        </w:rPr>
      </w:pPr>
      <w:bookmarkStart w:id="8" w:name="bookmark36"/>
      <w:bookmarkEnd w:id="8"/>
      <w:r>
        <w:rPr>
          <w:color w:val="17365D"/>
          <w:spacing w:val="5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7365D"/>
          <w:spacing w:val="5"/>
          <w:sz w:val="19"/>
          <w:szCs w:val="19"/>
        </w:rPr>
        <w:t>1</w:t>
      </w:r>
      <w:r>
        <w:rPr>
          <w:color w:val="17365D"/>
          <w:spacing w:val="5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：截至</w:t>
      </w:r>
      <w:r>
        <w:rPr>
          <w:color w:val="17365D"/>
          <w:spacing w:val="-3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5"/>
          <w:sz w:val="19"/>
          <w:szCs w:val="19"/>
        </w:rPr>
        <w:t xml:space="preserve">2023 </w:t>
      </w:r>
      <w:r>
        <w:rPr>
          <w:color w:val="17365D"/>
          <w:spacing w:val="5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年，</w:t>
      </w:r>
      <w:r>
        <w:rPr>
          <w:color w:val="17365D"/>
          <w:spacing w:val="-15"/>
          <w:sz w:val="19"/>
          <w:szCs w:val="19"/>
        </w:rPr>
        <w:t xml:space="preserve"> </w:t>
      </w:r>
      <w:r>
        <w:rPr>
          <w:color w:val="17365D"/>
          <w:spacing w:val="5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公司拥有国内矿</w:t>
      </w:r>
      <w:r>
        <w:rPr>
          <w:color w:val="17365D"/>
          <w:spacing w:val="4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权情况</w:t>
      </w:r>
    </w:p>
    <w:p>
      <w:pPr>
        <w:spacing w:line="59" w:lineRule="exact"/>
      </w:pPr>
    </w:p>
    <w:tbl>
      <w:tblPr>
        <w:tblStyle w:val="TableNormal1"/>
        <w:tblW w:w="10206" w:type="dxa"/>
        <w:tblInd w:w="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04"/>
        <w:gridCol w:w="2993"/>
        <w:gridCol w:w="1364"/>
        <w:gridCol w:w="1111"/>
        <w:gridCol w:w="1109"/>
        <w:gridCol w:w="1112"/>
        <w:gridCol w:w="1113"/>
      </w:tblGrid>
      <w:tr>
        <w:tblPrEx>
          <w:tblW w:w="10206" w:type="dxa"/>
          <w:tblInd w:w="8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79"/>
        </w:trPr>
        <w:tc>
          <w:tcPr>
            <w:tcW w:w="140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146" w:line="220" w:lineRule="auto"/>
              <w:ind w:left="10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矿井名称</w:t>
            </w:r>
          </w:p>
        </w:tc>
        <w:tc>
          <w:tcPr>
            <w:tcW w:w="299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147" w:line="217" w:lineRule="auto"/>
              <w:ind w:left="117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煤种</w:t>
            </w:r>
          </w:p>
        </w:tc>
        <w:tc>
          <w:tcPr>
            <w:tcW w:w="136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29" w:line="239" w:lineRule="auto"/>
              <w:ind w:left="11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可采储量</w:t>
            </w:r>
          </w:p>
          <w:p>
            <w:pPr>
              <w:spacing w:line="211" w:lineRule="auto"/>
              <w:ind w:left="10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（亿吨）</w:t>
            </w:r>
          </w:p>
        </w:tc>
        <w:tc>
          <w:tcPr>
            <w:tcW w:w="111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29" w:line="239" w:lineRule="auto"/>
              <w:ind w:left="11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剩余可采</w:t>
            </w:r>
          </w:p>
          <w:p>
            <w:pPr>
              <w:pStyle w:val="TableText"/>
              <w:spacing w:line="211" w:lineRule="auto"/>
              <w:ind w:left="113"/>
            </w:pP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年限</w:t>
            </w:r>
            <w:r>
              <w:rPr>
                <w:b/>
                <w:bCs/>
                <w:color w:val="FFFFFF"/>
                <w:spacing w:val="-1"/>
              </w:rPr>
              <w:t>(</w:t>
            </w: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b/>
                <w:bCs/>
                <w:color w:val="FFFFFF"/>
                <w:spacing w:val="-1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29" w:line="215" w:lineRule="auto"/>
              <w:ind w:left="11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年产能</w:t>
            </w:r>
          </w:p>
          <w:p>
            <w:pPr>
              <w:pStyle w:val="TableText"/>
              <w:spacing w:before="22" w:line="212" w:lineRule="auto"/>
              <w:ind w:left="115"/>
            </w:pPr>
            <w:r>
              <w:rPr>
                <w:b/>
                <w:bCs/>
                <w:color w:val="FFFFFF"/>
                <w:spacing w:val="-1"/>
              </w:rPr>
              <w:t>(</w:t>
            </w: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万吨</w:t>
            </w:r>
            <w:r>
              <w:rPr>
                <w:b/>
                <w:bCs/>
                <w:color w:val="FFFFFF"/>
                <w:spacing w:val="-1"/>
              </w:rPr>
              <w:t>/</w:t>
            </w: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b/>
                <w:bCs/>
                <w:color w:val="FFFFFF"/>
                <w:spacing w:val="-1"/>
              </w:rPr>
              <w:t>)</w:t>
            </w:r>
          </w:p>
        </w:tc>
        <w:tc>
          <w:tcPr>
            <w:tcW w:w="111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29" w:line="239" w:lineRule="auto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权益占比</w:t>
            </w:r>
          </w:p>
          <w:p>
            <w:pPr>
              <w:pStyle w:val="TableText"/>
              <w:spacing w:line="211" w:lineRule="auto"/>
              <w:ind w:left="108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color w:val="FFFFFF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b/>
                <w:bCs/>
                <w:color w:val="FFFFFF"/>
              </w:rPr>
              <w:t>%</w:t>
            </w:r>
            <w:r>
              <w:rPr>
                <w:rFonts w:ascii="KaiTi" w:eastAsia="KaiTi" w:hAnsi="KaiTi" w:cs="KaiTi"/>
                <w:color w:val="FFFFFF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113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spacing w:before="29" w:line="239" w:lineRule="auto"/>
              <w:ind w:left="11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权益产能</w:t>
            </w:r>
          </w:p>
          <w:p>
            <w:pPr>
              <w:pStyle w:val="TableText"/>
              <w:spacing w:line="211" w:lineRule="auto"/>
              <w:ind w:left="115"/>
            </w:pPr>
            <w:r>
              <w:rPr>
                <w:b/>
                <w:bCs/>
                <w:color w:val="FFFFFF"/>
                <w:spacing w:val="-1"/>
              </w:rPr>
              <w:t>(</w:t>
            </w: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万吨</w:t>
            </w:r>
            <w:r>
              <w:rPr>
                <w:b/>
                <w:bCs/>
                <w:color w:val="FFFFFF"/>
                <w:spacing w:val="-1"/>
              </w:rPr>
              <w:t>/</w:t>
            </w:r>
            <w:r>
              <w:rPr>
                <w:rFonts w:ascii="KaiTi" w:eastAsia="KaiTi" w:hAnsi="KaiTi" w:cs="KaiTi"/>
                <w:color w:val="FFFFFF"/>
                <w:spacing w:val="-1"/>
                <w14:textOutline w14:w="3265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b/>
                <w:bCs/>
                <w:color w:val="FFFFFF"/>
                <w:spacing w:val="-1"/>
              </w:rPr>
              <w:t>)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06"/>
        </w:trPr>
        <w:tc>
          <w:tcPr>
            <w:tcW w:w="10206" w:type="dxa"/>
            <w:gridSpan w:val="7"/>
            <w:tcBorders>
              <w:top w:val="single" w:sz="6" w:space="0" w:color="000000"/>
            </w:tcBorders>
            <w:shd w:val="clear" w:color="auto" w:fill="FFECCC"/>
            <w:vAlign w:val="top"/>
          </w:tcPr>
          <w:p>
            <w:pPr>
              <w:spacing w:before="75" w:line="217" w:lineRule="auto"/>
              <w:ind w:left="477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内蒙矿区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64"/>
        </w:trPr>
        <w:tc>
          <w:tcPr>
            <w:tcW w:w="1404" w:type="dxa"/>
            <w:vAlign w:val="top"/>
          </w:tcPr>
          <w:p>
            <w:pPr>
              <w:spacing w:before="110" w:line="214" w:lineRule="auto"/>
              <w:ind w:left="13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高家梁煤矿</w:t>
            </w:r>
          </w:p>
        </w:tc>
        <w:tc>
          <w:tcPr>
            <w:tcW w:w="2993" w:type="dxa"/>
            <w:vAlign w:val="top"/>
          </w:tcPr>
          <w:p>
            <w:pPr>
              <w:spacing w:before="110" w:line="217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不粘煤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spacing w:before="143" w:line="186" w:lineRule="auto"/>
              <w:ind w:left="111"/>
            </w:pPr>
            <w:r>
              <w:rPr>
                <w:spacing w:val="-1"/>
              </w:rPr>
              <w:t>4.18</w:t>
            </w:r>
          </w:p>
        </w:tc>
        <w:tc>
          <w:tcPr>
            <w:tcW w:w="1111" w:type="dxa"/>
            <w:vAlign w:val="top"/>
          </w:tcPr>
          <w:p>
            <w:pPr>
              <w:pStyle w:val="TableText"/>
              <w:spacing w:before="143" w:line="186" w:lineRule="auto"/>
              <w:ind w:left="111"/>
            </w:pPr>
            <w:r>
              <w:rPr>
                <w:spacing w:val="-1"/>
              </w:rPr>
              <w:t>49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43" w:line="186" w:lineRule="auto"/>
              <w:ind w:left="119"/>
            </w:pPr>
            <w:r>
              <w:rPr>
                <w:spacing w:val="-2"/>
              </w:rPr>
              <w:t>850</w:t>
            </w:r>
          </w:p>
        </w:tc>
        <w:tc>
          <w:tcPr>
            <w:tcW w:w="1112" w:type="dxa"/>
            <w:vAlign w:val="top"/>
          </w:tcPr>
          <w:p>
            <w:pPr>
              <w:pStyle w:val="TableText"/>
              <w:spacing w:before="143" w:line="186" w:lineRule="auto"/>
              <w:ind w:left="119"/>
            </w:pPr>
            <w:r>
              <w:rPr>
                <w:spacing w:val="-4"/>
              </w:rPr>
              <w:t>80%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143" w:line="186" w:lineRule="auto"/>
              <w:ind w:left="115"/>
            </w:pPr>
            <w:r>
              <w:rPr>
                <w:spacing w:val="-2"/>
              </w:rPr>
              <w:t>680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39"/>
        </w:trPr>
        <w:tc>
          <w:tcPr>
            <w:tcW w:w="1404" w:type="dxa"/>
            <w:shd w:val="clear" w:color="auto" w:fill="EDEDED"/>
            <w:vAlign w:val="top"/>
          </w:tcPr>
          <w:p>
            <w:pPr>
              <w:spacing w:before="87" w:line="214" w:lineRule="auto"/>
              <w:ind w:left="12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红庆梁煤矿</w:t>
            </w:r>
          </w:p>
        </w:tc>
        <w:tc>
          <w:tcPr>
            <w:tcW w:w="2993" w:type="dxa"/>
            <w:shd w:val="clear" w:color="auto" w:fill="EDEDED"/>
            <w:vAlign w:val="top"/>
          </w:tcPr>
          <w:p>
            <w:pPr>
              <w:spacing w:before="87" w:line="217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不粘煤和长焰煤</w:t>
            </w:r>
          </w:p>
        </w:tc>
        <w:tc>
          <w:tcPr>
            <w:tcW w:w="1364" w:type="dxa"/>
            <w:shd w:val="clear" w:color="auto" w:fill="EDEDED"/>
            <w:vAlign w:val="top"/>
          </w:tcPr>
          <w:p>
            <w:pPr>
              <w:pStyle w:val="TableText"/>
              <w:spacing w:before="120" w:line="186" w:lineRule="auto"/>
              <w:ind w:left="116"/>
            </w:pPr>
            <w:r>
              <w:rPr>
                <w:spacing w:val="-2"/>
              </w:rPr>
              <w:t>3.91</w:t>
            </w:r>
          </w:p>
        </w:tc>
        <w:tc>
          <w:tcPr>
            <w:tcW w:w="1111" w:type="dxa"/>
            <w:shd w:val="clear" w:color="auto" w:fill="EDEDED"/>
            <w:vAlign w:val="top"/>
          </w:tcPr>
          <w:p>
            <w:pPr>
              <w:pStyle w:val="TableText"/>
              <w:spacing w:before="120" w:line="186" w:lineRule="auto"/>
              <w:ind w:left="116"/>
            </w:pPr>
            <w:r>
              <w:rPr>
                <w:spacing w:val="-2"/>
              </w:rPr>
              <w:t>65</w:t>
            </w:r>
          </w:p>
        </w:tc>
        <w:tc>
          <w:tcPr>
            <w:tcW w:w="1109" w:type="dxa"/>
            <w:shd w:val="clear" w:color="auto" w:fill="EDEDED"/>
            <w:vAlign w:val="top"/>
          </w:tcPr>
          <w:p>
            <w:pPr>
              <w:pStyle w:val="TableText"/>
              <w:spacing w:before="120" w:line="186" w:lineRule="auto"/>
              <w:ind w:left="116"/>
            </w:pPr>
            <w:r>
              <w:rPr>
                <w:spacing w:val="-2"/>
              </w:rPr>
              <w:t>600</w:t>
            </w:r>
          </w:p>
        </w:tc>
        <w:tc>
          <w:tcPr>
            <w:tcW w:w="1112" w:type="dxa"/>
            <w:shd w:val="clear" w:color="auto" w:fill="EDEDED"/>
            <w:vAlign w:val="top"/>
          </w:tcPr>
          <w:p>
            <w:pPr>
              <w:pStyle w:val="TableText"/>
              <w:spacing w:before="120" w:line="186" w:lineRule="auto"/>
              <w:ind w:left="116"/>
            </w:pPr>
            <w:r>
              <w:rPr>
                <w:spacing w:val="-3"/>
              </w:rPr>
              <w:t>60%</w:t>
            </w:r>
          </w:p>
        </w:tc>
        <w:tc>
          <w:tcPr>
            <w:tcW w:w="1113" w:type="dxa"/>
            <w:shd w:val="clear" w:color="auto" w:fill="EDEDED"/>
            <w:vAlign w:val="top"/>
          </w:tcPr>
          <w:p>
            <w:pPr>
              <w:pStyle w:val="TableText"/>
              <w:spacing w:before="120" w:line="186" w:lineRule="auto"/>
              <w:ind w:left="115"/>
            </w:pPr>
            <w:r>
              <w:rPr>
                <w:spacing w:val="-2"/>
              </w:rPr>
              <w:t>360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39"/>
        </w:trPr>
        <w:tc>
          <w:tcPr>
            <w:tcW w:w="10206" w:type="dxa"/>
            <w:gridSpan w:val="7"/>
            <w:shd w:val="clear" w:color="auto" w:fill="FFECCC"/>
            <w:vAlign w:val="top"/>
          </w:tcPr>
          <w:p>
            <w:pPr>
              <w:spacing w:before="86" w:line="219" w:lineRule="auto"/>
              <w:ind w:left="4759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5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宁夏矿区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68"/>
        </w:trPr>
        <w:tc>
          <w:tcPr>
            <w:tcW w:w="1404" w:type="dxa"/>
            <w:vAlign w:val="top"/>
          </w:tcPr>
          <w:p>
            <w:pPr>
              <w:spacing w:before="88" w:line="217" w:lineRule="auto"/>
              <w:ind w:left="12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红一煤矿</w:t>
            </w:r>
          </w:p>
        </w:tc>
        <w:tc>
          <w:tcPr>
            <w:tcW w:w="2993" w:type="dxa"/>
            <w:vAlign w:val="top"/>
          </w:tcPr>
          <w:p>
            <w:pPr>
              <w:pStyle w:val="TableText"/>
              <w:spacing w:before="88" w:line="212" w:lineRule="auto"/>
              <w:ind w:left="127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5"/>
              </w:rPr>
              <w:t>以气煤为主，少量</w:t>
            </w:r>
            <w:r>
              <w:rPr>
                <w:rFonts w:ascii="KaiTi" w:eastAsia="KaiTi" w:hAnsi="KaiTi" w:cs="KaiTi"/>
                <w:spacing w:val="-13"/>
              </w:rPr>
              <w:t xml:space="preserve"> </w:t>
            </w:r>
            <w:r>
              <w:rPr>
                <w:spacing w:val="-5"/>
              </w:rPr>
              <w:t>1/2</w:t>
            </w:r>
            <w:r>
              <w:rPr>
                <w:spacing w:val="28"/>
                <w:w w:val="102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</w:rPr>
              <w:t>中粘煤</w:t>
            </w:r>
          </w:p>
        </w:tc>
        <w:tc>
          <w:tcPr>
            <w:tcW w:w="1364" w:type="dxa"/>
            <w:vAlign w:val="top"/>
          </w:tcPr>
          <w:p>
            <w:pPr>
              <w:pStyle w:val="TableText"/>
              <w:spacing w:before="121" w:line="186" w:lineRule="auto"/>
              <w:ind w:left="129"/>
            </w:pPr>
            <w:r>
              <w:rPr>
                <w:spacing w:val="-5"/>
              </w:rPr>
              <w:t>1.68</w:t>
            </w:r>
          </w:p>
        </w:tc>
        <w:tc>
          <w:tcPr>
            <w:tcW w:w="1111" w:type="dxa"/>
            <w:vAlign w:val="top"/>
          </w:tcPr>
          <w:p>
            <w:pPr>
              <w:pStyle w:val="TableText"/>
              <w:spacing w:before="121" w:line="186" w:lineRule="auto"/>
              <w:ind w:left="115"/>
            </w:pPr>
            <w:r>
              <w:rPr>
                <w:spacing w:val="-3"/>
              </w:rPr>
              <w:t>70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spacing w:before="121" w:line="186" w:lineRule="auto"/>
              <w:ind w:left="112"/>
            </w:pPr>
            <w:r>
              <w:rPr>
                <w:spacing w:val="-1"/>
              </w:rPr>
              <w:t>240</w:t>
            </w:r>
          </w:p>
        </w:tc>
        <w:tc>
          <w:tcPr>
            <w:tcW w:w="1112" w:type="dxa"/>
            <w:vAlign w:val="top"/>
          </w:tcPr>
          <w:p>
            <w:pPr>
              <w:pStyle w:val="TableText"/>
              <w:spacing w:before="121" w:line="186" w:lineRule="auto"/>
              <w:ind w:left="116"/>
            </w:pPr>
            <w:r>
              <w:rPr>
                <w:spacing w:val="-3"/>
              </w:rPr>
              <w:t>60%</w:t>
            </w:r>
          </w:p>
        </w:tc>
        <w:tc>
          <w:tcPr>
            <w:tcW w:w="1113" w:type="dxa"/>
            <w:vAlign w:val="top"/>
          </w:tcPr>
          <w:p>
            <w:pPr>
              <w:pStyle w:val="TableText"/>
              <w:spacing w:before="121" w:line="186" w:lineRule="auto"/>
              <w:ind w:left="129"/>
            </w:pPr>
            <w:r>
              <w:rPr>
                <w:spacing w:val="-5"/>
              </w:rPr>
              <w:t>144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287"/>
        </w:trPr>
        <w:tc>
          <w:tcPr>
            <w:tcW w:w="1404" w:type="dxa"/>
            <w:shd w:val="clear" w:color="auto" w:fill="EDEDED"/>
            <w:vAlign w:val="top"/>
          </w:tcPr>
          <w:p>
            <w:pPr>
              <w:spacing w:before="61" w:line="217" w:lineRule="auto"/>
              <w:ind w:left="12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红二煤矿</w:t>
            </w:r>
          </w:p>
        </w:tc>
        <w:tc>
          <w:tcPr>
            <w:tcW w:w="2993" w:type="dxa"/>
            <w:shd w:val="clear" w:color="auto" w:fill="EDEDED"/>
            <w:vAlign w:val="top"/>
          </w:tcPr>
          <w:p>
            <w:pPr>
              <w:pStyle w:val="TableText"/>
              <w:spacing w:before="61" w:line="212" w:lineRule="auto"/>
              <w:ind w:left="127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5"/>
              </w:rPr>
              <w:t>以气煤为主，少量</w:t>
            </w:r>
            <w:r>
              <w:rPr>
                <w:rFonts w:ascii="KaiTi" w:eastAsia="KaiTi" w:hAnsi="KaiTi" w:cs="KaiTi"/>
                <w:spacing w:val="-13"/>
              </w:rPr>
              <w:t xml:space="preserve"> </w:t>
            </w:r>
            <w:r>
              <w:rPr>
                <w:spacing w:val="-5"/>
              </w:rPr>
              <w:t>1/2</w:t>
            </w:r>
            <w:r>
              <w:rPr>
                <w:spacing w:val="28"/>
                <w:w w:val="102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</w:rPr>
              <w:t>中粘煤</w:t>
            </w:r>
          </w:p>
        </w:tc>
        <w:tc>
          <w:tcPr>
            <w:tcW w:w="1364" w:type="dxa"/>
            <w:shd w:val="clear" w:color="auto" w:fill="EDEDED"/>
            <w:vAlign w:val="top"/>
          </w:tcPr>
          <w:p>
            <w:pPr>
              <w:pStyle w:val="TableText"/>
              <w:spacing w:before="94" w:line="186" w:lineRule="auto"/>
              <w:ind w:left="129"/>
            </w:pPr>
            <w:r>
              <w:rPr>
                <w:spacing w:val="-5"/>
              </w:rPr>
              <w:t>1.65</w:t>
            </w:r>
          </w:p>
        </w:tc>
        <w:tc>
          <w:tcPr>
            <w:tcW w:w="1111" w:type="dxa"/>
            <w:shd w:val="clear" w:color="auto" w:fill="EDEDED"/>
            <w:vAlign w:val="top"/>
          </w:tcPr>
          <w:p>
            <w:pPr>
              <w:pStyle w:val="TableText"/>
              <w:spacing w:before="94" w:line="186" w:lineRule="auto"/>
              <w:ind w:left="116"/>
            </w:pPr>
            <w:r>
              <w:rPr>
                <w:spacing w:val="-2"/>
              </w:rPr>
              <w:t>69</w:t>
            </w:r>
          </w:p>
        </w:tc>
        <w:tc>
          <w:tcPr>
            <w:tcW w:w="1109" w:type="dxa"/>
            <w:shd w:val="clear" w:color="auto" w:fill="EDEDED"/>
            <w:vAlign w:val="top"/>
          </w:tcPr>
          <w:p>
            <w:pPr>
              <w:pStyle w:val="TableText"/>
              <w:spacing w:before="94" w:line="186" w:lineRule="auto"/>
              <w:ind w:left="112"/>
            </w:pPr>
            <w:r>
              <w:rPr>
                <w:spacing w:val="-1"/>
              </w:rPr>
              <w:t>240</w:t>
            </w:r>
          </w:p>
        </w:tc>
        <w:tc>
          <w:tcPr>
            <w:tcW w:w="1112" w:type="dxa"/>
            <w:shd w:val="clear" w:color="auto" w:fill="EDEDED"/>
            <w:vAlign w:val="top"/>
          </w:tcPr>
          <w:p>
            <w:pPr>
              <w:pStyle w:val="TableText"/>
              <w:spacing w:before="94" w:line="186" w:lineRule="auto"/>
              <w:ind w:left="116"/>
            </w:pPr>
            <w:r>
              <w:rPr>
                <w:spacing w:val="-3"/>
              </w:rPr>
              <w:t>60%</w:t>
            </w:r>
          </w:p>
        </w:tc>
        <w:tc>
          <w:tcPr>
            <w:tcW w:w="1113" w:type="dxa"/>
            <w:shd w:val="clear" w:color="auto" w:fill="EDEDED"/>
            <w:vAlign w:val="top"/>
          </w:tcPr>
          <w:p>
            <w:pPr>
              <w:pStyle w:val="TableText"/>
              <w:spacing w:before="94" w:line="186" w:lineRule="auto"/>
              <w:ind w:left="129"/>
            </w:pPr>
            <w:r>
              <w:rPr>
                <w:spacing w:val="-5"/>
              </w:rPr>
              <w:t>144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79"/>
        </w:trPr>
        <w:tc>
          <w:tcPr>
            <w:tcW w:w="1404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spacing w:before="112" w:line="222" w:lineRule="auto"/>
              <w:ind w:left="10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2993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pStyle w:val="TableText"/>
              <w:spacing w:before="147" w:line="186" w:lineRule="auto"/>
              <w:ind w:left="120"/>
            </w:pPr>
            <w:r>
              <w:rPr>
                <w:b/>
                <w:bCs/>
                <w:spacing w:val="-3"/>
              </w:rPr>
              <w:t>11.41</w:t>
            </w:r>
          </w:p>
        </w:tc>
        <w:tc>
          <w:tcPr>
            <w:tcW w:w="1111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pStyle w:val="TableText"/>
              <w:spacing w:before="147" w:line="186" w:lineRule="auto"/>
              <w:ind w:left="120"/>
            </w:pPr>
            <w:r>
              <w:rPr>
                <w:b/>
                <w:bCs/>
                <w:spacing w:val="-3"/>
              </w:rPr>
              <w:t>1930</w:t>
            </w:r>
          </w:p>
        </w:tc>
        <w:tc>
          <w:tcPr>
            <w:tcW w:w="1112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3" w:type="dxa"/>
            <w:tcBorders>
              <w:bottom w:val="single" w:sz="6" w:space="0" w:color="000000"/>
            </w:tcBorders>
            <w:shd w:val="clear" w:color="auto" w:fill="FFDFCC"/>
            <w:vAlign w:val="top"/>
          </w:tcPr>
          <w:p>
            <w:pPr>
              <w:pStyle w:val="TableText"/>
              <w:spacing w:before="147" w:line="186" w:lineRule="auto"/>
              <w:ind w:left="120"/>
            </w:pPr>
            <w:r>
              <w:rPr>
                <w:b/>
                <w:bCs/>
                <w:spacing w:val="-3"/>
              </w:rPr>
              <w:t>1328</w:t>
            </w:r>
          </w:p>
        </w:tc>
      </w:tr>
    </w:tbl>
    <w:p>
      <w:pPr>
        <w:pStyle w:val="BodyText"/>
        <w:spacing w:before="61" w:line="221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62" w:line="224" w:lineRule="auto"/>
        <w:ind w:left="3256"/>
        <w:rPr>
          <w:sz w:val="19"/>
          <w:szCs w:val="19"/>
        </w:rPr>
      </w:pPr>
      <w:bookmarkStart w:id="9" w:name="bookmark16"/>
      <w:bookmarkEnd w:id="9"/>
      <w:r>
        <w:rPr>
          <w:color w:val="17365D"/>
          <w:spacing w:val="4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4"/>
          <w:sz w:val="19"/>
          <w:szCs w:val="19"/>
        </w:rPr>
        <w:t>6</w:t>
      </w:r>
      <w:r>
        <w:rPr>
          <w:color w:val="17365D"/>
          <w:spacing w:val="4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color w:val="17365D"/>
          <w:spacing w:val="-43"/>
          <w:sz w:val="19"/>
          <w:szCs w:val="19"/>
        </w:rPr>
        <w:t xml:space="preserve"> </w:t>
      </w:r>
      <w:r>
        <w:rPr>
          <w:color w:val="17365D"/>
          <w:spacing w:val="4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国内矿区产能占比变化</w:t>
      </w:r>
    </w:p>
    <w:p>
      <w:pPr>
        <w:spacing w:before="25"/>
      </w:pPr>
    </w:p>
    <w:p>
      <w:pPr>
        <w:sectPr>
          <w:headerReference w:type="default" r:id="rId53"/>
          <w:footerReference w:type="default" r:id="rId54"/>
          <w:pgSz w:w="11907" w:h="16839"/>
          <w:pgMar w:top="992" w:right="0" w:bottom="1179" w:left="0" w:header="454" w:footer="10" w:gutter="0"/>
          <w:pgNumType w:start="14"/>
          <w:cols w:num="1" w:space="708" w:equalWidth="0">
            <w:col w:w="11906" w:space="0"/>
          </w:cols>
        </w:sectPr>
      </w:pPr>
    </w:p>
    <w:p>
      <w:pPr>
        <w:spacing w:before="2" w:line="382" w:lineRule="auto"/>
        <w:ind w:left="3834" w:hanging="55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100%</w:t>
      </w:r>
      <w:r>
        <w:rPr>
          <w:rFonts w:ascii="Times New Roman" w:eastAsia="Times New Roman" w:hAnsi="Times New Roman" w:cs="Times New Roman"/>
          <w:spacing w:val="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90%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80%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70%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13"/>
          <w:szCs w:val="13"/>
        </w:rPr>
        <w:t>60%</w:t>
      </w:r>
      <w:r>
        <w:rPr>
          <w:rFonts w:ascii="Times New Roman" w:eastAsia="Times New Roman" w:hAnsi="Times New Roman" w:cs="Times New Roman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50%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40%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30%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20%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13"/>
          <w:szCs w:val="13"/>
        </w:rPr>
        <w:t>10%</w:t>
      </w:r>
    </w:p>
    <w:p>
      <w:pPr>
        <w:spacing w:line="196" w:lineRule="auto"/>
        <w:ind w:right="1"/>
        <w:jc w:val="right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3" w:line="2428" w:lineRule="exact"/>
      </w:pPr>
      <w:r>
        <w:rPr>
          <w:position w:val="-48"/>
        </w:rPr>
        <w:pict>
          <v:group id="_x0000_i1094" style="width:308.3pt;height:121.4pt;mso-position-horizontal-relative:char;mso-position-vertical-relative:line" coordorigin="0,0" coordsize="6165,2428" filled="f" stroked="f">
            <v:shape id="_x0000_s1095" type="#_x0000_t75" style="width:5657;height:2381;left:271;position:absolute;top:5" filled="f" stroked="f">
              <v:imagedata r:id="rId55" o:title=""/>
            </v:shape>
            <v:shape id="_x0000_s1096" type="#_x0000_t202" style="width:6205;height:2338;left:-20;position:absolute;top:109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4921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13"/>
                        <w:szCs w:val="13"/>
                      </w:rPr>
                      <w:t>14%</w:t>
                    </w:r>
                  </w:p>
                  <w:p>
                    <w:pPr>
                      <w:spacing w:before="20" w:line="197" w:lineRule="auto"/>
                      <w:ind w:left="3378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sz w:val="13"/>
                        <w:szCs w:val="13"/>
                      </w:rPr>
                      <w:t>26%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1"/>
                        <w:sz w:val="13"/>
                        <w:szCs w:val="13"/>
                      </w:rPr>
                      <w:t xml:space="preserve">               </w:t>
                    </w: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sz w:val="13"/>
                        <w:szCs w:val="13"/>
                      </w:rPr>
                      <w:t>26%</w:t>
                    </w:r>
                  </w:p>
                  <w:p>
                    <w:pPr>
                      <w:spacing w:before="202" w:line="159" w:lineRule="auto"/>
                      <w:ind w:left="324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54%</w:t>
                    </w:r>
                  </w:p>
                  <w:p>
                    <w:pPr>
                      <w:spacing w:line="196" w:lineRule="auto"/>
                      <w:ind w:left="1087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62%</w:t>
                    </w:r>
                  </w:p>
                  <w:p>
                    <w:pPr>
                      <w:spacing w:before="164" w:line="197" w:lineRule="auto"/>
                      <w:ind w:left="1855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86%</w:t>
                    </w:r>
                  </w:p>
                  <w:p>
                    <w:pPr>
                      <w:spacing w:before="44" w:line="197" w:lineRule="auto"/>
                      <w:ind w:left="2591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1"/>
                        <w:sz w:val="13"/>
                        <w:szCs w:val="13"/>
                      </w:rPr>
                      <w:t>100%</w:t>
                    </w:r>
                  </w:p>
                  <w:p>
                    <w:pPr>
                      <w:spacing w:before="47" w:line="197" w:lineRule="auto"/>
                      <w:ind w:left="4914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86%</w:t>
                    </w:r>
                  </w:p>
                  <w:p>
                    <w:pPr>
                      <w:spacing w:before="20" w:line="197" w:lineRule="auto"/>
                      <w:ind w:left="338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2"/>
                        <w:sz w:val="13"/>
                        <w:szCs w:val="13"/>
                      </w:rPr>
                      <w:t>74%               74%</w:t>
                    </w:r>
                  </w:p>
                  <w:p>
                    <w:pPr>
                      <w:spacing w:before="203" w:line="159" w:lineRule="auto"/>
                      <w:ind w:left="319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sz w:val="13"/>
                        <w:szCs w:val="13"/>
                      </w:rPr>
                      <w:t>46%</w:t>
                    </w:r>
                  </w:p>
                  <w:p>
                    <w:pPr>
                      <w:spacing w:before="1" w:line="196" w:lineRule="auto"/>
                      <w:ind w:left="1087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38%</w:t>
                    </w:r>
                  </w:p>
                  <w:p>
                    <w:pPr>
                      <w:spacing w:before="164" w:line="197" w:lineRule="auto"/>
                      <w:ind w:left="1862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z w:val="13"/>
                        <w:szCs w:val="13"/>
                      </w:rPr>
                      <w:t>14%</w:t>
                    </w:r>
                  </w:p>
                  <w:p>
                    <w:pPr>
                      <w:spacing w:before="81" w:line="49" w:lineRule="exact"/>
                      <w:ind w:firstLine="20"/>
                    </w:pPr>
                    <w:r>
                      <w:drawing>
                        <wp:inline distT="0" distB="0" distL="0" distR="0">
                          <wp:extent cx="3914965" cy="31178"/>
                          <wp:effectExtent l="0" t="0" r="0" b="0"/>
                          <wp:docPr id="62" name="IM 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" name="IM 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5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914965" cy="3117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097" style="width:46;height:2386;position:absolute" coordorigin="0,0" coordsize="46,2386" path="m41,2386l41,5m,2147l41,2147m,1910l41,1910m,1672l41,1672m,1432l41,1432m,1195l41,1195m,957l41,957m,720l41,720m,482l41,482m,242l41,242m,5l41,5e" filled="f" strokecolor="black" strokeweight="0.5pt"/>
            <v:shape id="_x0000_s1098" type="#_x0000_t202" style="width:292;height:138;left:5633;position:absolute;top:236" filled="f" stroked="f">
              <o:lock v:ext="edit" aspectratio="f"/>
              <v:textbox inset="0,0,0,0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4"/>
                        <w:sz w:val="13"/>
                        <w:szCs w:val="13"/>
                      </w:rPr>
                      <w:t>25%</w:t>
                    </w:r>
                  </w:p>
                </w:txbxContent>
              </v:textbox>
            </v:shape>
            <v:shape id="_x0000_s1099" type="#_x0000_t202" style="width:291;height:138;left:5635;position:absolute;top:1427" filled="f" stroked="f">
              <o:lock v:ext="edit" aspectratio="f"/>
              <v:textbox inset="0,0,0,0">
                <w:txbxContent>
                  <w:p>
                    <w:pPr>
                      <w:spacing w:before="19" w:line="197" w:lineRule="auto"/>
                      <w:ind w:left="20"/>
                      <w:rPr>
                        <w:rFonts w:ascii="Times New Roman" w:eastAsia="Times New Roman" w:hAnsi="Times New Roman" w:cs="Times New Roman"/>
                        <w:sz w:val="13"/>
                        <w:szCs w:val="1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3"/>
                        <w:sz w:val="13"/>
                        <w:szCs w:val="13"/>
                      </w:rPr>
                      <w:t>75%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5" w:line="354" w:lineRule="exact"/>
        <w:ind w:left="982"/>
        <w:rPr>
          <w:sz w:val="13"/>
          <w:szCs w:val="13"/>
        </w:rPr>
      </w:pPr>
      <w:r>
        <w:pict>
          <v:shape id="_x0000_s1100" type="#_x0000_t202" style="width:22.75pt;height:10.15pt;margin-top:2.24pt;margin-left:9.91pt;position:absolute;z-index:251696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2015</w:t>
                  </w:r>
                  <w:r>
                    <w:rPr>
                      <w:spacing w:val="4"/>
                      <w:sz w:val="13"/>
                      <w:szCs w:val="13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101" type="#_x0000_t202" style="width:180.7pt;height:27.85pt;margin-top:2.24pt;margin-left:119.59pt;position:absolute;z-index:2516951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0" w:lineRule="auto"/>
                    <w:ind w:right="20"/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>2019</w:t>
                  </w:r>
                  <w:r>
                    <w:rPr>
                      <w:spacing w:val="5"/>
                      <w:sz w:val="13"/>
                      <w:szCs w:val="13"/>
                    </w:rPr>
                    <w:t>年</w:t>
                  </w:r>
                  <w:r>
                    <w:rPr>
                      <w:spacing w:val="5"/>
                      <w:sz w:val="13"/>
                      <w:szCs w:val="1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>2020</w:t>
                  </w:r>
                  <w:r>
                    <w:rPr>
                      <w:spacing w:val="5"/>
                      <w:sz w:val="13"/>
                      <w:szCs w:val="13"/>
                    </w:rPr>
                    <w:t>年</w:t>
                  </w:r>
                  <w:r>
                    <w:rPr>
                      <w:spacing w:val="5"/>
                      <w:sz w:val="13"/>
                      <w:szCs w:val="1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>2021</w:t>
                  </w:r>
                  <w:r>
                    <w:rPr>
                      <w:spacing w:val="5"/>
                      <w:sz w:val="13"/>
                      <w:szCs w:val="13"/>
                    </w:rPr>
                    <w:t>年</w:t>
                  </w:r>
                  <w:r>
                    <w:rPr>
                      <w:spacing w:val="5"/>
                      <w:sz w:val="13"/>
                      <w:szCs w:val="1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>2022</w:t>
                  </w:r>
                  <w:r>
                    <w:rPr>
                      <w:spacing w:val="5"/>
                      <w:sz w:val="13"/>
                      <w:szCs w:val="13"/>
                    </w:rPr>
                    <w:t>年</w:t>
                  </w:r>
                  <w:r>
                    <w:rPr>
                      <w:spacing w:val="5"/>
                      <w:sz w:val="13"/>
                      <w:szCs w:val="1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13"/>
                      <w:szCs w:val="13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23</w:t>
                  </w:r>
                  <w:r>
                    <w:rPr>
                      <w:spacing w:val="4"/>
                      <w:sz w:val="13"/>
                      <w:szCs w:val="13"/>
                    </w:rPr>
                    <w:t>年</w:t>
                  </w:r>
                </w:p>
                <w:p>
                  <w:pPr>
                    <w:pStyle w:val="BodyText"/>
                    <w:spacing w:before="192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44320" cy="44320"/>
                        <wp:effectExtent l="0" t="0" r="0" b="0"/>
                        <wp:docPr id="64" name="IM 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320" cy="44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6"/>
                      <w:sz w:val="13"/>
                      <w:szCs w:val="13"/>
                    </w:rPr>
                    <w:t>内蒙古矿区占比</w:t>
                  </w:r>
                  <w:r>
                    <w:rPr>
                      <w:spacing w:val="1"/>
                      <w:sz w:val="13"/>
                      <w:szCs w:val="13"/>
                    </w:rPr>
                    <w:t xml:space="preserve">   </w:t>
                  </w: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44320" cy="44320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320" cy="44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6"/>
                      <w:sz w:val="13"/>
                      <w:szCs w:val="13"/>
                    </w:rPr>
                    <w:t>宁夏矿区占比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4"/>
          <w:position w:val="17"/>
          <w:sz w:val="13"/>
          <w:szCs w:val="13"/>
        </w:rPr>
        <w:t>2017</w:t>
      </w:r>
      <w:r>
        <w:rPr>
          <w:spacing w:val="4"/>
          <w:position w:val="17"/>
          <w:sz w:val="13"/>
          <w:szCs w:val="13"/>
        </w:rPr>
        <w:t>年</w:t>
      </w:r>
      <w:r>
        <w:rPr>
          <w:spacing w:val="4"/>
          <w:position w:val="17"/>
          <w:sz w:val="13"/>
          <w:szCs w:val="13"/>
        </w:rPr>
        <w:t xml:space="preserve">     </w:t>
      </w:r>
      <w:r>
        <w:rPr>
          <w:rFonts w:ascii="Times New Roman" w:eastAsia="Times New Roman" w:hAnsi="Times New Roman" w:cs="Times New Roman"/>
          <w:spacing w:val="4"/>
          <w:position w:val="17"/>
          <w:sz w:val="13"/>
          <w:szCs w:val="13"/>
        </w:rPr>
        <w:t>2018</w:t>
      </w:r>
      <w:r>
        <w:rPr>
          <w:spacing w:val="4"/>
          <w:position w:val="17"/>
          <w:sz w:val="13"/>
          <w:szCs w:val="13"/>
        </w:rPr>
        <w:t>年</w:t>
      </w:r>
    </w:p>
    <w:p>
      <w:pPr>
        <w:pStyle w:val="BodyText"/>
        <w:spacing w:before="1" w:line="197" w:lineRule="auto"/>
        <w:ind w:left="1278"/>
        <w:rPr>
          <w:sz w:val="13"/>
          <w:szCs w:val="13"/>
        </w:rPr>
      </w:pPr>
      <w:r>
        <w:rPr>
          <w:position w:val="1"/>
          <w:sz w:val="13"/>
          <w:szCs w:val="13"/>
        </w:rPr>
        <w:drawing>
          <wp:inline distT="0" distB="0" distL="0" distR="0">
            <wp:extent cx="44320" cy="4432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京西四矿占比</w:t>
      </w:r>
    </w:p>
    <w:p>
      <w:pPr>
        <w:spacing w:line="197" w:lineRule="auto"/>
        <w:rPr>
          <w:sz w:val="13"/>
          <w:szCs w:val="13"/>
        </w:rPr>
        <w:sectPr>
          <w:headerReference w:type="default" r:id="rId60"/>
          <w:footerReference w:type="default" r:id="rId61"/>
          <w:type w:val="continuous"/>
          <w:pgSz w:w="11907" w:h="16839"/>
          <w:pgMar w:top="992" w:right="0" w:bottom="1179" w:left="0" w:header="454" w:footer="10" w:gutter="0"/>
          <w:pgNumType w:start="15"/>
          <w:cols w:num="2" w:space="708" w:equalWidth="0">
            <w:col w:w="4090" w:space="76"/>
            <w:col w:w="7740" w:space="0"/>
          </w:cols>
        </w:sectPr>
      </w:pPr>
    </w:p>
    <w:p>
      <w:pPr>
        <w:pStyle w:val="BodyText"/>
        <w:spacing w:before="303" w:line="221" w:lineRule="auto"/>
        <w:ind w:left="3232"/>
        <w:rPr>
          <w:sz w:val="19"/>
          <w:szCs w:val="19"/>
        </w:rPr>
      </w:pPr>
      <w:r>
        <w:rPr>
          <w:spacing w:val="-6"/>
          <w:sz w:val="19"/>
          <w:szCs w:val="19"/>
        </w:rPr>
        <w:t>数据来源：公司公告，</w:t>
      </w:r>
      <w:r>
        <w:rPr>
          <w:spacing w:val="86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国家能源局，</w:t>
      </w:r>
      <w:r>
        <w:rPr>
          <w:spacing w:val="83"/>
          <w:w w:val="101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东吴证券研究所</w:t>
      </w:r>
    </w:p>
    <w:p>
      <w:pPr>
        <w:pStyle w:val="BodyText"/>
        <w:spacing w:before="281" w:line="329" w:lineRule="auto"/>
        <w:ind w:left="3126" w:right="842" w:firstLine="447"/>
        <w:jc w:val="both"/>
        <w:rPr>
          <w:sz w:val="21"/>
          <w:szCs w:val="21"/>
        </w:rPr>
        <w:sectPr>
          <w:headerReference w:type="default" r:id="rId62"/>
          <w:footerReference w:type="default" r:id="rId63"/>
          <w:type w:val="continuous"/>
          <w:pgSz w:w="11907" w:h="16839"/>
          <w:pgMar w:top="992" w:right="0" w:bottom="1179" w:left="0" w:header="454" w:footer="10" w:gutter="0"/>
          <w:pgNumType w:start="16"/>
          <w:cols w:num="1" w:space="708" w:equalWidth="0">
            <w:col w:w="11906" w:space="0"/>
          </w:cols>
        </w:sectPr>
      </w:pPr>
      <w:r>
        <w:rPr>
          <w:spacing w:val="-1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高家梁煤矿：</w:t>
      </w:r>
      <w:r>
        <w:rPr>
          <w:spacing w:val="44"/>
          <w:sz w:val="21"/>
          <w:szCs w:val="21"/>
        </w:rPr>
        <w:t xml:space="preserve"> </w:t>
      </w:r>
      <w:r>
        <w:rPr>
          <w:spacing w:val="-1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煤质优异叠加智能化加持，</w:t>
      </w:r>
      <w:r>
        <w:rPr>
          <w:spacing w:val="31"/>
          <w:sz w:val="21"/>
          <w:szCs w:val="21"/>
        </w:rPr>
        <w:t xml:space="preserve"> </w:t>
      </w:r>
      <w:r>
        <w:rPr>
          <w:spacing w:val="-1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逐步成为利润贡献</w:t>
      </w:r>
      <w:r>
        <w:rPr>
          <w:spacing w:val="-1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主力。</w:t>
      </w:r>
      <w:r>
        <w:rPr>
          <w:spacing w:val="50"/>
          <w:sz w:val="21"/>
          <w:szCs w:val="21"/>
        </w:rPr>
        <w:t xml:space="preserve"> </w:t>
      </w:r>
      <w:r>
        <w:rPr>
          <w:spacing w:val="-15"/>
          <w:sz w:val="21"/>
          <w:szCs w:val="21"/>
        </w:rPr>
        <w:t>高家梁煤矿位于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内蒙古，主产低灰分、低硫、</w:t>
      </w:r>
      <w:r>
        <w:rPr>
          <w:spacing w:val="-3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特低磷、发热量高的不粘煤，是优质的动力煤</w:t>
      </w:r>
      <w:r>
        <w:rPr>
          <w:spacing w:val="-4"/>
          <w:sz w:val="21"/>
          <w:szCs w:val="21"/>
        </w:rPr>
        <w:t>品种；高家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梁煤矿初始设计产能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600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万吨，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2010 </w:t>
      </w:r>
      <w:r>
        <w:rPr>
          <w:spacing w:val="-4"/>
          <w:sz w:val="21"/>
          <w:szCs w:val="21"/>
        </w:rPr>
        <w:t>年投产，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2013 </w:t>
      </w:r>
      <w:r>
        <w:rPr>
          <w:spacing w:val="-4"/>
          <w:sz w:val="21"/>
          <w:szCs w:val="21"/>
        </w:rPr>
        <w:t>年达到满产状态。</w:t>
      </w:r>
      <w:r>
        <w:rPr>
          <w:spacing w:val="-6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高家梁煤矿在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建设之初就按照建设高产高效现代化矿井的模式进行设计，技术</w:t>
      </w:r>
      <w:r>
        <w:rPr>
          <w:spacing w:val="-2"/>
          <w:sz w:val="21"/>
          <w:szCs w:val="21"/>
        </w:rPr>
        <w:t>和装备属世界一流，矿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井采煤综合机械化程度达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100%</w:t>
      </w:r>
      <w:r>
        <w:rPr>
          <w:sz w:val="21"/>
          <w:szCs w:val="21"/>
        </w:rPr>
        <w:t>。而随着智能化开采技术的全面</w:t>
      </w:r>
      <w:r>
        <w:rPr>
          <w:spacing w:val="-1"/>
          <w:sz w:val="21"/>
          <w:szCs w:val="21"/>
        </w:rPr>
        <w:t>应用，高家梁煤矿单产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单进效率显著提高，产能持续向上突破。</w:t>
      </w:r>
      <w:r>
        <w:rPr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2019</w:t>
      </w:r>
      <w:r>
        <w:rPr>
          <w:rFonts w:ascii="Times New Roman" w:eastAsia="Times New Roman" w:hAnsi="Times New Roman" w:cs="Times New Roman"/>
          <w:spacing w:val="2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</w:t>
      </w:r>
      <w:r>
        <w:rPr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4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月，高家梁</w:t>
      </w:r>
      <w:r>
        <w:rPr>
          <w:spacing w:val="-4"/>
          <w:sz w:val="21"/>
          <w:szCs w:val="21"/>
        </w:rPr>
        <w:t>煤矿产能核增至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750</w:t>
      </w:r>
      <w:r>
        <w:rPr>
          <w:rFonts w:ascii="Times New Roman" w:eastAsia="Times New Roman" w:hAnsi="Times New Roman" w:cs="Times New Roman"/>
          <w:spacing w:val="3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</w:t>
      </w:r>
    </w:p>
    <w:p>
      <w:pPr>
        <w:pStyle w:val="BodyText"/>
        <w:spacing w:line="213" w:lineRule="auto"/>
        <w:ind w:left="3126"/>
        <w:rPr>
          <w:sz w:val="21"/>
          <w:szCs w:val="21"/>
        </w:rPr>
      </w:pPr>
      <w:r>
        <w:rPr>
          <w:spacing w:val="-11"/>
          <w:sz w:val="21"/>
          <w:szCs w:val="21"/>
        </w:rPr>
        <w:t>吨；</w:t>
      </w:r>
      <w:r>
        <w:rPr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 xml:space="preserve">2022 </w:t>
      </w:r>
      <w:r>
        <w:rPr>
          <w:spacing w:val="-11"/>
          <w:sz w:val="21"/>
          <w:szCs w:val="21"/>
        </w:rPr>
        <w:t>年，</w:t>
      </w:r>
      <w:r>
        <w:rPr>
          <w:spacing w:val="-12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产能进一步增至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850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万吨。</w:t>
      </w:r>
    </w:p>
    <w:p>
      <w:pPr>
        <w:pStyle w:val="BodyText"/>
        <w:spacing w:before="290" w:line="329" w:lineRule="auto"/>
        <w:ind w:left="3121" w:right="842" w:firstLine="439"/>
        <w:jc w:val="both"/>
        <w:rPr>
          <w:sz w:val="21"/>
          <w:szCs w:val="21"/>
        </w:rPr>
      </w:pP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红庆梁煤矿：</w:t>
      </w:r>
      <w:r>
        <w:rPr>
          <w:spacing w:val="69"/>
          <w:sz w:val="21"/>
          <w:szCs w:val="21"/>
        </w:rPr>
        <w:t xml:space="preserve"> </w: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当期稳定贡献盈利，</w:t>
      </w:r>
      <w:r>
        <w:rPr>
          <w:spacing w:val="-11"/>
          <w:sz w:val="21"/>
          <w:szCs w:val="21"/>
        </w:rPr>
        <w:t xml:space="preserve"> </w:t>
      </w:r>
      <w:r>
        <w:rPr>
          <w:spacing w:val="-1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未来产能扩张可期。</w:t>
      </w:r>
      <w:r>
        <w:rPr>
          <w:spacing w:val="-36"/>
          <w:sz w:val="21"/>
          <w:szCs w:val="21"/>
        </w:rPr>
        <w:t xml:space="preserve"> </w:t>
      </w:r>
      <w:r>
        <w:rPr>
          <w:spacing w:val="-11"/>
          <w:sz w:val="21"/>
          <w:szCs w:val="21"/>
        </w:rPr>
        <w:t>红庆梁井田煤矿位于鄂尔多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斯市塔然高勒矿区，</w:t>
      </w:r>
      <w:r>
        <w:rPr>
          <w:spacing w:val="-3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生产低灰、特低硫、特低磷、高发热量的不粘煤和长焰煤。公司于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2010 </w:t>
      </w:r>
      <w:r>
        <w:rPr>
          <w:spacing w:val="-3"/>
          <w:sz w:val="21"/>
          <w:szCs w:val="21"/>
        </w:rPr>
        <w:t>年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25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月收购西部能源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60%</w:t>
      </w:r>
      <w:r>
        <w:rPr>
          <w:spacing w:val="-3"/>
          <w:sz w:val="21"/>
          <w:szCs w:val="21"/>
        </w:rPr>
        <w:t>股权，</w:t>
      </w:r>
      <w:r>
        <w:rPr>
          <w:spacing w:val="-2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取得红庆梁煤矿的建设经营权。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2018 </w:t>
      </w:r>
      <w:r>
        <w:rPr>
          <w:spacing w:val="-3"/>
          <w:sz w:val="21"/>
          <w:szCs w:val="21"/>
        </w:rPr>
        <w:t>年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月，红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庆梁煤矿顺利进入试生产，并于当年</w:t>
      </w:r>
      <w:r>
        <w:rPr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7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月转固，</w:t>
      </w:r>
      <w:r>
        <w:rPr>
          <w:spacing w:val="-6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核定产能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600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万吨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/</w:t>
      </w:r>
      <w:r>
        <w:rPr>
          <w:spacing w:val="-5"/>
          <w:sz w:val="21"/>
          <w:szCs w:val="21"/>
        </w:rPr>
        <w:t>年。随着智能化矿山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建设逐步开展，红庆梁煤矿未来有望实现产能核增，目前正在积极准备申请产</w:t>
      </w:r>
      <w:r>
        <w:rPr>
          <w:spacing w:val="-2"/>
          <w:sz w:val="21"/>
          <w:szCs w:val="21"/>
        </w:rPr>
        <w:t>能核增的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相关工作。</w:t>
      </w:r>
      <w:r>
        <w:rPr>
          <w:spacing w:val="-3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自供给侧改革以来，红庆梁煤矿所在的鄂尔多斯地区煤价中枢明显抬升，随</w:t>
      </w:r>
    </w:p>
    <w:p>
      <w:pPr>
        <w:pStyle w:val="BodyText"/>
        <w:spacing w:line="185" w:lineRule="auto"/>
        <w:ind w:left="3132"/>
        <w:rPr>
          <w:sz w:val="21"/>
          <w:szCs w:val="21"/>
        </w:rPr>
      </w:pPr>
      <w:r>
        <w:rPr>
          <w:spacing w:val="-3"/>
          <w:sz w:val="21"/>
          <w:szCs w:val="21"/>
        </w:rPr>
        <w:t>着供需持续紧张，煤价有望持续高企。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2023 </w:t>
      </w:r>
      <w:r>
        <w:rPr>
          <w:spacing w:val="-3"/>
          <w:sz w:val="21"/>
          <w:szCs w:val="21"/>
        </w:rPr>
        <w:t>年红庆梁煤矿预计生产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600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万吨，有</w:t>
      </w:r>
      <w:r>
        <w:rPr>
          <w:spacing w:val="-4"/>
          <w:sz w:val="21"/>
          <w:szCs w:val="21"/>
        </w:rPr>
        <w:t>望保障</w:t>
      </w:r>
    </w:p>
    <w:p>
      <w:pPr>
        <w:spacing w:line="185" w:lineRule="auto"/>
        <w:rPr>
          <w:sz w:val="21"/>
          <w:szCs w:val="21"/>
        </w:rPr>
        <w:sectPr>
          <w:headerReference w:type="default" r:id="rId64"/>
          <w:footerReference w:type="default" r:id="rId65"/>
          <w:type w:val="nextPage"/>
          <w:pgSz w:w="11907" w:h="16839"/>
          <w:pgMar w:top="992" w:right="0" w:bottom="1179" w:left="0" w:header="454" w:footer="10" w:gutter="0"/>
          <w:pgNumType w:start="17"/>
          <w:cols w:num="1" w:space="708" w:equalWidth="0">
            <w:col w:w="11906" w:space="0"/>
          </w:cols>
          <w:titlePg w:val="0"/>
        </w:sectPr>
      </w:pPr>
    </w:p>
    <w:p>
      <w:pPr>
        <w:spacing w:line="438" w:lineRule="auto"/>
        <w:rPr>
          <w:rFonts w:ascii="Arial"/>
          <w:sz w:val="21"/>
        </w:rPr>
      </w:pPr>
      <w:r>
        <w:pict>
          <v:shape id="_x0000_s1102" style="width:397.05pt;height:1pt;margin-top:108.38pt;margin-left:156.02pt;mso-position-horizontal-relative:page;mso-position-vertical-relative:page;position:absolute;z-index:251699200" coordorigin="0,0" coordsize="7940,20" o:allowincell="f" path="m,19l7940,19l7940,l,l,19xe" filled="t" fillcolor="black" stroked="f"/>
        </w:pict>
      </w:r>
      <w:r>
        <w:pict>
          <v:shape id="_x0000_s1103" style="width:397.05pt;height:1pt;margin-top:296.57pt;margin-left:156.02pt;mso-position-horizontal-relative:page;mso-position-vertical-relative:page;position:absolute;z-index:251700224" coordorigin="0,0" coordsize="7940,20" o:allowincell="f" path="m,19l7940,19l7940,l,l,19xe" filled="t" fillcolor="black" stroked="f"/>
        </w:pict>
      </w:r>
      <w:r>
        <w:pict>
          <v:shape id="_x0000_s1104" style="width:511.2pt;height:1pt;margin-top:664.06pt;margin-left:41.88pt;mso-position-horizontal-relative:page;mso-position-vertical-relative:page;position:absolute;z-index:251698176" coordorigin="0,0" coordsize="10224,20" o:allowincell="f" path="m,19l5000,19l5000,l,l,19xem5220,19l10223,19l10223,l5220,l5220,19xe" filled="t" fillcolor="black" stroked="f"/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2407030</wp:posOffset>
            </wp:positionH>
            <wp:positionV relativeFrom="page">
              <wp:posOffset>1528064</wp:posOffset>
            </wp:positionV>
            <wp:extent cx="4411345" cy="1736978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411345" cy="1736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8" w:line="213" w:lineRule="auto"/>
        <w:ind w:left="3136"/>
        <w:rPr>
          <w:sz w:val="21"/>
          <w:szCs w:val="21"/>
        </w:rPr>
      </w:pPr>
      <w:r>
        <w:rPr>
          <w:spacing w:val="-1"/>
          <w:sz w:val="21"/>
          <w:szCs w:val="21"/>
        </w:rPr>
        <w:t>红庆梁煤矿的盈利能力，为公司贡献稳定利润。</w:t>
      </w:r>
    </w:p>
    <w:p>
      <w:pPr>
        <w:pStyle w:val="BodyText"/>
        <w:spacing w:before="137" w:line="238" w:lineRule="auto"/>
        <w:ind w:left="3256"/>
        <w:rPr>
          <w:sz w:val="19"/>
          <w:szCs w:val="19"/>
        </w:rPr>
      </w:pPr>
      <w:bookmarkStart w:id="10" w:name="bookmark17"/>
      <w:bookmarkEnd w:id="10"/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7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：红庆梁煤矿产地煤价（元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/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吨）</w:t>
      </w:r>
    </w:p>
    <w:p>
      <w:pPr>
        <w:spacing w:before="232" w:line="214" w:lineRule="auto"/>
        <w:ind w:left="338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1,700</w:t>
      </w:r>
    </w:p>
    <w:p>
      <w:pPr>
        <w:spacing w:before="202" w:line="214" w:lineRule="auto"/>
        <w:ind w:left="338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1,500</w:t>
      </w:r>
    </w:p>
    <w:p>
      <w:pPr>
        <w:spacing w:before="203" w:line="214" w:lineRule="auto"/>
        <w:ind w:left="338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1,300</w:t>
      </w:r>
    </w:p>
    <w:p>
      <w:pPr>
        <w:spacing w:before="203" w:line="214" w:lineRule="auto"/>
        <w:ind w:left="338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1,100</w:t>
      </w:r>
    </w:p>
    <w:p>
      <w:pPr>
        <w:spacing w:before="205" w:line="196" w:lineRule="auto"/>
        <w:ind w:left="347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900</w:t>
      </w:r>
    </w:p>
    <w:p>
      <w:pPr>
        <w:spacing w:before="215" w:line="196" w:lineRule="auto"/>
        <w:ind w:left="347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700</w:t>
      </w:r>
    </w:p>
    <w:p>
      <w:pPr>
        <w:spacing w:before="213" w:line="196" w:lineRule="auto"/>
        <w:ind w:left="347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500</w:t>
      </w:r>
    </w:p>
    <w:p>
      <w:pPr>
        <w:spacing w:before="214" w:line="196" w:lineRule="auto"/>
        <w:ind w:left="347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300</w:t>
      </w:r>
    </w:p>
    <w:p>
      <w:pPr>
        <w:spacing w:before="215" w:line="196" w:lineRule="auto"/>
        <w:ind w:left="348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100</w:t>
      </w:r>
    </w:p>
    <w:p>
      <w:pPr>
        <w:spacing w:before="42" w:line="196" w:lineRule="auto"/>
        <w:ind w:left="360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4"/>
          <w:sz w:val="13"/>
          <w:szCs w:val="13"/>
        </w:rPr>
        <w:t xml:space="preserve">2014-09        2015-09       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 xml:space="preserve"> 2016-09        2017-09        2018-09        2019-09        2020-09        2021-09        2022-09        2023-09</w:t>
      </w:r>
    </w:p>
    <w:p>
      <w:pPr>
        <w:pStyle w:val="BodyText"/>
        <w:spacing w:before="115" w:line="230" w:lineRule="auto"/>
        <w:ind w:left="6071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2890" cy="1905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2890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鄂尔多斯</w:t>
      </w:r>
      <w:r>
        <w:rPr>
          <w:rFonts w:ascii="Times New Roman" w:eastAsia="Times New Roman" w:hAnsi="Times New Roman" w:cs="Times New Roman"/>
          <w:spacing w:val="7"/>
          <w:sz w:val="13"/>
          <w:szCs w:val="13"/>
        </w:rPr>
        <w:t>Q5500</w:t>
      </w:r>
      <w:r>
        <w:rPr>
          <w:spacing w:val="7"/>
          <w:sz w:val="13"/>
          <w:szCs w:val="13"/>
        </w:rPr>
        <w:t>车板含税价</w:t>
      </w: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62" w:line="221" w:lineRule="auto"/>
        <w:ind w:left="3232"/>
        <w:rPr>
          <w:sz w:val="19"/>
          <w:szCs w:val="19"/>
        </w:rPr>
      </w:pPr>
      <w:r>
        <w:rPr>
          <w:spacing w:val="9"/>
          <w:sz w:val="19"/>
          <w:szCs w:val="19"/>
        </w:rPr>
        <w:t>数据来源：中国煤炭市场网，东吴证券研究所</w:t>
      </w:r>
    </w:p>
    <w:p>
      <w:pPr>
        <w:pStyle w:val="BodyText"/>
        <w:spacing w:before="282" w:line="329" w:lineRule="auto"/>
        <w:ind w:left="3121" w:right="842" w:firstLine="439"/>
        <w:rPr>
          <w:sz w:val="21"/>
          <w:szCs w:val="21"/>
        </w:rPr>
      </w:pP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红墩子煤矿：</w:t>
      </w:r>
      <w:r>
        <w:rPr>
          <w:spacing w:val="63"/>
          <w:sz w:val="21"/>
          <w:szCs w:val="21"/>
        </w:rPr>
        <w:t xml:space="preserve"> 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新矿建设稳步推进，</w:t>
      </w:r>
      <w:r>
        <w:rPr>
          <w:spacing w:val="-12"/>
          <w:sz w:val="21"/>
          <w:szCs w:val="21"/>
        </w:rPr>
        <w:t xml:space="preserve"> </w:t>
      </w:r>
      <w:r>
        <w:rPr>
          <w:spacing w:val="-12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新增产能贡献增量。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2019 </w:t>
      </w:r>
      <w:r>
        <w:rPr>
          <w:spacing w:val="-12"/>
          <w:sz w:val="21"/>
          <w:szCs w:val="21"/>
        </w:rPr>
        <w:t>年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spacing w:val="-12"/>
          <w:sz w:val="21"/>
          <w:szCs w:val="21"/>
        </w:rPr>
        <w:t>月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27  </w:t>
      </w:r>
      <w:r>
        <w:rPr>
          <w:spacing w:val="-12"/>
          <w:sz w:val="21"/>
          <w:szCs w:val="21"/>
        </w:rPr>
        <w:t>日，</w:t>
      </w:r>
      <w:r>
        <w:rPr>
          <w:spacing w:val="-42"/>
          <w:sz w:val="21"/>
          <w:szCs w:val="21"/>
        </w:rPr>
        <w:t xml:space="preserve"> </w:t>
      </w:r>
      <w:r>
        <w:rPr>
          <w:spacing w:val="-12"/>
          <w:sz w:val="21"/>
          <w:szCs w:val="21"/>
        </w:rPr>
        <w:t>昊华能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源出资</w:t>
      </w:r>
      <w:r>
        <w:rPr>
          <w:spacing w:val="-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31.58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亿元，</w:t>
      </w:r>
      <w:r>
        <w:rPr>
          <w:spacing w:val="-2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通过承债收购方式收购宁夏红墩子煤业有限公司</w:t>
      </w:r>
      <w:r>
        <w:rPr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0%</w:t>
      </w:r>
      <w:r>
        <w:rPr>
          <w:spacing w:val="-4"/>
          <w:sz w:val="21"/>
          <w:szCs w:val="21"/>
        </w:rPr>
        <w:t>股权和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19.36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亿债权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。</w:t>
      </w:r>
      <w:r>
        <w:rPr>
          <w:spacing w:val="-1"/>
          <w:sz w:val="21"/>
          <w:szCs w:val="21"/>
        </w:rPr>
        <w:t>红墩子煤业煤炭项目含红墩子矿区红一煤矿、红二煤矿和配套选煤厂</w:t>
      </w:r>
      <w:r>
        <w:rPr>
          <w:spacing w:val="-2"/>
          <w:sz w:val="21"/>
          <w:szCs w:val="21"/>
        </w:rPr>
        <w:t>。红墩子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矿区煤层赋存稳定，</w:t>
      </w:r>
      <w:r>
        <w:rPr>
          <w:spacing w:val="-38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构造简单，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煤层瓦斯含量低，</w:t>
      </w:r>
      <w:r>
        <w:rPr>
          <w:spacing w:val="-3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煤种</w:t>
      </w:r>
      <w:r>
        <w:rPr>
          <w:spacing w:val="-8"/>
          <w:sz w:val="21"/>
          <w:szCs w:val="21"/>
        </w:rPr>
        <w:t>以气煤为主，原煤经洗选可用作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炼焦配煤、气化原料或动力煤。具体来看，红墩子煤矿包含红一煤矿（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240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万吨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/</w:t>
      </w:r>
      <w:r>
        <w:rPr>
          <w:spacing w:val="-7"/>
          <w:sz w:val="21"/>
          <w:szCs w:val="21"/>
        </w:rPr>
        <w:t>年）、红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二煤矿（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240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/</w:t>
      </w:r>
      <w:r>
        <w:rPr>
          <w:spacing w:val="-3"/>
          <w:sz w:val="21"/>
          <w:szCs w:val="21"/>
        </w:rPr>
        <w:t>年）和选煤一厂（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500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/</w:t>
      </w:r>
      <w:r>
        <w:rPr>
          <w:spacing w:val="-3"/>
          <w:sz w:val="21"/>
          <w:szCs w:val="21"/>
        </w:rPr>
        <w:t>年）。红一煤矿、红</w:t>
      </w:r>
      <w:r>
        <w:rPr>
          <w:spacing w:val="-4"/>
          <w:sz w:val="21"/>
          <w:szCs w:val="21"/>
        </w:rPr>
        <w:t>二煤矿已分别于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2022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年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月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28  </w:t>
      </w:r>
      <w:r>
        <w:rPr>
          <w:spacing w:val="-7"/>
          <w:sz w:val="21"/>
          <w:szCs w:val="21"/>
        </w:rPr>
        <w:t>日、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2023 </w:t>
      </w:r>
      <w:r>
        <w:rPr>
          <w:spacing w:val="-7"/>
          <w:sz w:val="21"/>
          <w:szCs w:val="21"/>
        </w:rPr>
        <w:t>年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12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月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5  </w:t>
      </w:r>
      <w:r>
        <w:rPr>
          <w:spacing w:val="-7"/>
          <w:sz w:val="21"/>
          <w:szCs w:val="21"/>
        </w:rPr>
        <w:t>日投入联合试运转。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未来随着红一、红二煤矿逐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步达产，</w:t>
      </w:r>
    </w:p>
    <w:p>
      <w:pPr>
        <w:pStyle w:val="BodyText"/>
        <w:spacing w:line="213" w:lineRule="auto"/>
        <w:ind w:left="3120"/>
        <w:rPr>
          <w:sz w:val="21"/>
          <w:szCs w:val="21"/>
        </w:rPr>
      </w:pP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公司煤矿产能有望进一步释放，叠加煤价持续高位运行，将为公</w:t>
      </w: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司带来主要盈利增量。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79" w:line="212" w:lineRule="auto"/>
        <w:ind w:left="3018"/>
        <w:outlineLvl w:val="1"/>
        <w:rPr>
          <w:sz w:val="24"/>
          <w:szCs w:val="24"/>
        </w:rPr>
      </w:pPr>
      <w:bookmarkStart w:id="11" w:name="bookmark4"/>
      <w:bookmarkEnd w:id="11"/>
      <w:r>
        <w:rPr>
          <w:rFonts w:ascii="Times New Roman" w:eastAsia="Times New Roman" w:hAnsi="Times New Roman" w:cs="Times New Roman"/>
          <w:b/>
          <w:bCs/>
          <w:color w:val="17365D"/>
          <w:spacing w:val="-4"/>
          <w:sz w:val="24"/>
          <w:szCs w:val="24"/>
        </w:rPr>
        <w:t xml:space="preserve">2.2.   </w:t>
      </w:r>
      <w:r>
        <w:rPr>
          <w:color w:val="17365D"/>
          <w:spacing w:val="-4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动力煤核心驱动，</w:t>
      </w:r>
      <w:r>
        <w:rPr>
          <w:color w:val="17365D"/>
          <w:spacing w:val="-19"/>
          <w:sz w:val="24"/>
          <w:szCs w:val="24"/>
        </w:rPr>
        <w:t xml:space="preserve"> </w:t>
      </w:r>
      <w:r>
        <w:rPr>
          <w:color w:val="17365D"/>
          <w:spacing w:val="-4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低成本优势凸显</w:t>
      </w:r>
    </w:p>
    <w:p>
      <w:pPr>
        <w:pStyle w:val="BodyText"/>
        <w:spacing w:before="271" w:line="329" w:lineRule="auto"/>
        <w:ind w:left="3120" w:right="844" w:firstLine="429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2017 </w:t>
      </w:r>
      <w:r>
        <w:rPr>
          <w:spacing w:val="-3"/>
          <w:sz w:val="21"/>
          <w:szCs w:val="21"/>
        </w:rPr>
        <w:t>年以来，随着主产无烟煤的京西四矿逐步退出，叠加主产动力煤的高家梁及红</w:t>
      </w:r>
      <w:r>
        <w:rPr>
          <w:spacing w:val="1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庆梁煤矿的投产扩产，公司动力煤占比逐步升高。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2022 </w:t>
      </w:r>
      <w:r>
        <w:rPr>
          <w:spacing w:val="-1"/>
          <w:sz w:val="21"/>
          <w:szCs w:val="21"/>
        </w:rPr>
        <w:t>年，公司全年生产煤炭</w:t>
      </w:r>
      <w:r>
        <w:rPr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1490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万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吨，其中动力煤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1490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万吨，占比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100%</w:t>
      </w:r>
      <w:r>
        <w:rPr>
          <w:spacing w:val="-4"/>
          <w:sz w:val="21"/>
          <w:szCs w:val="21"/>
        </w:rPr>
        <w:t>；</w:t>
      </w:r>
      <w:r>
        <w:rPr>
          <w:spacing w:val="-5"/>
          <w:sz w:val="21"/>
          <w:szCs w:val="21"/>
        </w:rPr>
        <w:t>销售煤炭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1489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万吨，其中销售动力煤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1488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万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吨，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占比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99.97%</w:t>
      </w:r>
      <w:r>
        <w:rPr>
          <w:spacing w:val="-6"/>
          <w:sz w:val="21"/>
          <w:szCs w:val="21"/>
        </w:rPr>
        <w:t>；销售无烟煤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4771 </w:t>
      </w:r>
      <w:r>
        <w:rPr>
          <w:spacing w:val="-6"/>
          <w:sz w:val="21"/>
          <w:szCs w:val="21"/>
        </w:rPr>
        <w:t>吨，占比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0.03%</w:t>
      </w:r>
      <w:r>
        <w:rPr>
          <w:spacing w:val="-6"/>
          <w:sz w:val="21"/>
          <w:szCs w:val="21"/>
        </w:rPr>
        <w:t>。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从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1"/>
          <w:szCs w:val="21"/>
        </w:rPr>
        <w:t xml:space="preserve">2020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年开始，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公司煤炭业务发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展重心成功完成由京西四矿到西部矿区、由无烟煤到动力煤的过渡，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动力煤已成为驱动</w:t>
      </w:r>
    </w:p>
    <w:p>
      <w:pPr>
        <w:pStyle w:val="BodyText"/>
        <w:spacing w:before="1" w:line="216" w:lineRule="auto"/>
        <w:ind w:left="3120"/>
        <w:rPr>
          <w:sz w:val="21"/>
          <w:szCs w:val="21"/>
        </w:rPr>
      </w:pPr>
      <w:bookmarkStart w:id="12" w:name="bookmark18"/>
      <w:bookmarkEnd w:id="12"/>
      <w:bookmarkStart w:id="13" w:name="bookmark19"/>
      <w:bookmarkEnd w:id="13"/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公司业绩发展的核心。</w:t>
      </w:r>
    </w:p>
    <w:p>
      <w:pPr>
        <w:pStyle w:val="BodyText"/>
        <w:spacing w:before="134" w:line="224" w:lineRule="auto"/>
        <w:ind w:left="988"/>
        <w:rPr>
          <w:sz w:val="19"/>
          <w:szCs w:val="19"/>
        </w:rPr>
      </w:pP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9"/>
          <w:sz w:val="19"/>
          <w:szCs w:val="19"/>
        </w:rPr>
        <w:t>8</w:t>
      </w: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：公司煤炭产量构成及动力煤占比（万吨）</w:t>
      </w:r>
      <w:r>
        <w:rPr>
          <w:color w:val="17365D"/>
          <w:spacing w:val="9"/>
          <w:sz w:val="19"/>
          <w:szCs w:val="19"/>
        </w:rPr>
        <w:t xml:space="preserve">           </w:t>
      </w: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9"/>
          <w:sz w:val="19"/>
          <w:szCs w:val="19"/>
        </w:rPr>
        <w:t>9</w:t>
      </w: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：公司煤炭销量构</w:t>
      </w:r>
      <w:r>
        <w:rPr>
          <w:color w:val="17365D"/>
          <w:spacing w:val="8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成及动力煤占比（万吨）</w:t>
      </w:r>
    </w:p>
    <w:p>
      <w:pPr>
        <w:spacing w:line="224" w:lineRule="auto"/>
        <w:rPr>
          <w:sz w:val="19"/>
          <w:szCs w:val="19"/>
        </w:rPr>
        <w:sectPr>
          <w:headerReference w:type="default" r:id="rId68"/>
          <w:footerReference w:type="default" r:id="rId69"/>
          <w:pgSz w:w="11907" w:h="16839"/>
          <w:pgMar w:top="992" w:right="0" w:bottom="1179" w:left="0" w:header="454" w:footer="10" w:gutter="0"/>
          <w:pgNumType w:start="18"/>
          <w:cols w:space="708"/>
        </w:sectPr>
      </w:pPr>
    </w:p>
    <w:p>
      <w:pPr>
        <w:spacing w:before="184"/>
      </w:pPr>
      <w:r>
        <w:pict>
          <v:shape id="_x0000_s1105" style="width:249.3pt;height:1pt;margin-top:70.92pt;margin-left:42.6pt;mso-position-horizontal-relative:page;mso-position-vertical-relative:page;position:absolute;z-index:251707392" coordorigin="0,0" coordsize="4986,20" o:allowincell="f" path="m,19l4985,19l4985,l,l,19xe" filled="t" fillcolor="black" stroked="f"/>
        </w:pict>
      </w:r>
      <w:r>
        <w:pict>
          <v:shape id="_x0000_s1106" style="width:249.3pt;height:1pt;margin-top:243.5pt;margin-left:42.6pt;mso-position-horizontal-relative:page;mso-position-vertical-relative:page;position:absolute;z-index:251708416" coordorigin="0,0" coordsize="4986,20" o:allowincell="f" path="m,19l4985,19l4985,l,l,19xe" filled="t" fillcolor="black" stroked="f"/>
        </w:pict>
      </w:r>
      <w:r>
        <w:pict>
          <v:shape id="_x0000_s1107" style="width:249.45pt;height:1pt;margin-top:70.92pt;margin-left:303.65pt;mso-position-horizontal-relative:page;mso-position-vertical-relative:page;position:absolute;z-index:251703296" coordorigin="0,0" coordsize="4988,20" o:allowincell="f" path="m,19l4988,19l4988,l,l,19xe" filled="t" fillcolor="black" stroked="f"/>
        </w:pict>
      </w:r>
      <w:r>
        <w:pict>
          <v:shape id="_x0000_s1108" style="width:249.45pt;height:1pt;margin-top:243.5pt;margin-left:303.65pt;mso-position-horizontal-relative:page;mso-position-vertical-relative:page;position:absolute;z-index:251704320" coordorigin="0,0" coordsize="4988,20" o:allowincell="f" path="m,19l4988,19l4988,l,l,19xe" filled="t" fillcolor="black" stroked="f"/>
        </w:pict>
      </w:r>
      <w:r>
        <w:pict>
          <v:shape id="_x0000_s1109" style="width:249.3pt;height:1pt;margin-top:437.81pt;margin-left:42.6pt;mso-position-horizontal-relative:page;mso-position-vertical-relative:page;position:absolute;z-index:251709440" coordorigin="0,0" coordsize="4986,20" o:allowincell="f" path="m,19l4985,19l4985,l,l,19xe" filled="t" fillcolor="black" stroked="f"/>
        </w:pict>
      </w:r>
      <w:r>
        <w:pict>
          <v:shape id="_x0000_s1110" style="width:249.3pt;height:1pt;margin-top:610.39pt;margin-left:42.6pt;mso-position-horizontal-relative:page;mso-position-vertical-relative:page;position:absolute;z-index:251710464" coordorigin="0,0" coordsize="4986,20" o:allowincell="f" path="m,19l4985,19l4985,l,l,19xe" filled="t" fillcolor="black" stroked="f"/>
        </w:pict>
      </w:r>
      <w:r>
        <w:pict>
          <v:group id="_x0000_s1111" style="width:204.95pt;height:110pt;margin-top:449pt;margin-left:68.83pt;mso-position-horizontal-relative:page;mso-position-vertical-relative:page;position:absolute;z-index:251702272" coordorigin="0,0" coordsize="4098,2200" o:allowincell="f" filled="f" stroked="f">
            <v:shape id="_x0000_s1112" style="width:46;height:2163;position:absolute" coordorigin="0,0" coordsize="46,2163" path="m41,2157l41,5m,2157l41,2157m,1798l41,1798m,1440l41,1440m,1080l41,1080m,723l41,723m,363l41,363m,5l41,5e" filled="f" strokecolor="black" strokeweight="0.5pt"/>
            <v:shape id="_x0000_s1113" style="width:4065;height:50;left:34;position:absolute;top:2149" coordorigin="0,0" coordsize="4065,50" path="m7,7l4057,7m7,7l7,49m816,7l816,49m1627,7l1627,49m2436,7l2436,49m3247,7l3247,49m4057,7l4057,49e" filled="f" strokecolor="black" strokeweight="0.75pt"/>
          </v:group>
        </w:pict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900518</wp:posOffset>
            </wp:positionH>
            <wp:positionV relativeFrom="page">
              <wp:posOffset>5811774</wp:posOffset>
            </wp:positionV>
            <wp:extent cx="2571660" cy="1260475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571660" cy="1260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4" style="width:249.45pt;height:1pt;margin-top:437.81pt;margin-left:303.65pt;mso-position-horizontal-relative:page;mso-position-vertical-relative:page;position:absolute;z-index:251705344" coordorigin="0,0" coordsize="4988,20" o:allowincell="f" path="m,19l4988,19l4988,l,l,19xe" filled="t" fillcolor="black" stroked="f"/>
        </w:pict>
      </w:r>
      <w:r>
        <w:pict>
          <v:shape id="_x0000_s1115" style="width:249.45pt;height:1pt;margin-top:610.39pt;margin-left:303.65pt;mso-position-horizontal-relative:page;mso-position-vertical-relative:page;position:absolute;z-index:251706368" coordorigin="0,0" coordsize="4988,20" o:allowincell="f" path="m,19l4988,19l4988,l,l,19xe" filled="t" fillcolor="black" stroked="f"/>
        </w:pict>
      </w:r>
    </w:p>
    <w:p>
      <w:pPr>
        <w:sectPr>
          <w:headerReference w:type="default" r:id="rId71"/>
          <w:footerReference w:type="default" r:id="rId72"/>
          <w:pgSz w:w="11907" w:h="16839"/>
          <w:pgMar w:top="992" w:right="0" w:bottom="1179" w:left="0" w:header="454" w:footer="10" w:gutter="0"/>
          <w:pgNumType w:start="19"/>
          <w:cols w:num="1" w:space="708" w:equalWidth="0">
            <w:col w:w="11906" w:space="0"/>
          </w:cols>
        </w:sectPr>
      </w:pPr>
    </w:p>
    <w:p>
      <w:pPr>
        <w:spacing w:line="230" w:lineRule="exact"/>
      </w:pPr>
    </w:p>
    <w:tbl>
      <w:tblPr>
        <w:tblStyle w:val="TableNormal2"/>
        <w:tblW w:w="4693" w:type="dxa"/>
        <w:tblInd w:w="100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2"/>
        <w:gridCol w:w="4026"/>
        <w:gridCol w:w="365"/>
      </w:tblGrid>
      <w:tr>
        <w:tblPrEx>
          <w:tblW w:w="4693" w:type="dxa"/>
          <w:tblInd w:w="100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91"/>
        </w:trPr>
        <w:tc>
          <w:tcPr>
            <w:tcW w:w="302" w:type="dxa"/>
            <w:vAlign w:val="top"/>
          </w:tcPr>
          <w:p>
            <w:pPr>
              <w:pStyle w:val="TableText"/>
              <w:spacing w:line="196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1600</w:t>
            </w:r>
          </w:p>
          <w:p>
            <w:pPr>
              <w:pStyle w:val="TableText"/>
              <w:spacing w:before="165" w:line="196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1400</w:t>
            </w:r>
          </w:p>
          <w:p>
            <w:pPr>
              <w:pStyle w:val="TableText"/>
              <w:spacing w:before="165" w:line="196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1200</w:t>
            </w:r>
          </w:p>
          <w:p>
            <w:pPr>
              <w:pStyle w:val="TableText"/>
              <w:spacing w:before="166" w:line="196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1000</w:t>
            </w:r>
          </w:p>
          <w:p>
            <w:pPr>
              <w:pStyle w:val="TableText"/>
              <w:spacing w:before="166" w:line="196" w:lineRule="auto"/>
              <w:ind w:left="62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800</w:t>
            </w:r>
          </w:p>
          <w:p>
            <w:pPr>
              <w:pStyle w:val="TableText"/>
              <w:spacing w:before="166" w:line="196" w:lineRule="auto"/>
              <w:ind w:left="59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600</w:t>
            </w:r>
          </w:p>
          <w:p>
            <w:pPr>
              <w:pStyle w:val="TableText"/>
              <w:spacing w:before="166" w:line="196" w:lineRule="auto"/>
              <w:ind w:left="56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400</w:t>
            </w:r>
          </w:p>
          <w:p>
            <w:pPr>
              <w:pStyle w:val="TableText"/>
              <w:spacing w:before="166" w:line="196" w:lineRule="auto"/>
              <w:ind w:left="56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200</w:t>
            </w:r>
          </w:p>
          <w:p>
            <w:pPr>
              <w:pStyle w:val="TableText"/>
              <w:spacing w:before="166" w:line="196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026" w:type="dxa"/>
            <w:vAlign w:val="top"/>
          </w:tcPr>
          <w:p>
            <w:pPr>
              <w:spacing w:before="45" w:line="2351" w:lineRule="exact"/>
              <w:ind w:firstLine="38"/>
            </w:pPr>
            <w:r>
              <w:pict>
                <v:rect id="_x0000_s1116" style="width:19.25pt;height:3.5pt;margin-top:139.49pt;margin-left:-186.54pt;mso-position-horizontal-relative:right-margin-area;mso-position-vertical-relative:top-margin-area;position:absolute;z-index:251712512" filled="t" fillcolor="#17375d" stroked="f"/>
              </w:pict>
            </w:r>
            <w:r>
              <w:rPr>
                <w:position w:val="-47"/>
              </w:rPr>
              <w:drawing>
                <wp:inline distT="0" distB="0" distL="0" distR="0">
                  <wp:extent cx="2506510" cy="1493012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6510" cy="1493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2" w:line="196" w:lineRule="auto"/>
              <w:ind w:left="158"/>
              <w:rPr>
                <w:sz w:val="13"/>
                <w:szCs w:val="13"/>
              </w:rPr>
            </w:pPr>
            <w:r>
              <w:rPr>
                <w:spacing w:val="5"/>
                <w:sz w:val="13"/>
                <w:szCs w:val="13"/>
              </w:rPr>
              <w:t>2014    2015    2016    2017</w:t>
            </w:r>
            <w:r>
              <w:rPr>
                <w:spacing w:val="6"/>
                <w:sz w:val="13"/>
                <w:szCs w:val="13"/>
              </w:rPr>
              <w:t xml:space="preserve">    </w:t>
            </w:r>
            <w:r>
              <w:rPr>
                <w:spacing w:val="4"/>
                <w:sz w:val="13"/>
                <w:szCs w:val="13"/>
              </w:rPr>
              <w:t>2018</w:t>
            </w:r>
            <w:r>
              <w:rPr>
                <w:spacing w:val="5"/>
                <w:sz w:val="13"/>
                <w:szCs w:val="13"/>
              </w:rPr>
              <w:t xml:space="preserve">    </w:t>
            </w:r>
            <w:r>
              <w:rPr>
                <w:spacing w:val="4"/>
                <w:sz w:val="13"/>
                <w:szCs w:val="13"/>
              </w:rPr>
              <w:t>2019</w:t>
            </w:r>
            <w:r>
              <w:rPr>
                <w:spacing w:val="6"/>
                <w:sz w:val="13"/>
                <w:szCs w:val="13"/>
              </w:rPr>
              <w:t xml:space="preserve">    </w:t>
            </w:r>
            <w:r>
              <w:rPr>
                <w:spacing w:val="4"/>
                <w:sz w:val="13"/>
                <w:szCs w:val="13"/>
              </w:rPr>
              <w:t>2020</w:t>
            </w:r>
            <w:r>
              <w:rPr>
                <w:spacing w:val="5"/>
                <w:sz w:val="13"/>
                <w:szCs w:val="13"/>
              </w:rPr>
              <w:t xml:space="preserve">    </w:t>
            </w:r>
            <w:r>
              <w:rPr>
                <w:spacing w:val="4"/>
                <w:sz w:val="13"/>
                <w:szCs w:val="13"/>
              </w:rPr>
              <w:t>2021</w:t>
            </w:r>
            <w:r>
              <w:rPr>
                <w:spacing w:val="6"/>
                <w:sz w:val="13"/>
                <w:szCs w:val="13"/>
              </w:rPr>
              <w:t xml:space="preserve">    </w:t>
            </w:r>
            <w:r>
              <w:rPr>
                <w:spacing w:val="4"/>
                <w:sz w:val="13"/>
                <w:szCs w:val="13"/>
              </w:rPr>
              <w:t>2022</w:t>
            </w:r>
          </w:p>
          <w:p>
            <w:pPr>
              <w:pStyle w:val="TableText"/>
              <w:spacing w:before="160" w:line="183" w:lineRule="auto"/>
              <w:ind w:left="72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动力煤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 xml:space="preserve">   </w:t>
            </w:r>
            <w:r>
              <w:rPr>
                <w:position w:val="1"/>
                <w:sz w:val="13"/>
                <w:szCs w:val="13"/>
              </w:rPr>
              <w:drawing>
                <wp:inline distT="0" distB="0" distL="0" distR="0">
                  <wp:extent cx="243839" cy="40968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40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无烟煤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 xml:space="preserve">  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3479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3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8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动力煤占比</w:t>
            </w:r>
            <w:r>
              <w:rPr>
                <w:spacing w:val="6"/>
                <w:sz w:val="13"/>
                <w:szCs w:val="13"/>
              </w:rPr>
              <w:t>-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右轴</w:t>
            </w:r>
          </w:p>
        </w:tc>
        <w:tc>
          <w:tcPr>
            <w:tcW w:w="365" w:type="dxa"/>
            <w:vAlign w:val="top"/>
          </w:tcPr>
          <w:p>
            <w:pPr>
              <w:pStyle w:val="TableText"/>
              <w:spacing w:before="44" w:line="197" w:lineRule="auto"/>
              <w:jc w:val="right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100%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7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80%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7" w:lineRule="auto"/>
              <w:ind w:left="44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60%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0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40%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7" w:lineRule="auto"/>
              <w:ind w:left="41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20%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8" w:line="197" w:lineRule="auto"/>
              <w:ind w:left="43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0%</w:t>
            </w:r>
          </w:p>
        </w:tc>
      </w:tr>
    </w:tbl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62" w:line="194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16" w:lineRule="exact"/>
      </w:pPr>
    </w:p>
    <w:tbl>
      <w:tblPr>
        <w:tblStyle w:val="TableNormal2"/>
        <w:tblW w:w="4593" w:type="dxa"/>
        <w:tblInd w:w="2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7"/>
        <w:gridCol w:w="3891"/>
        <w:gridCol w:w="365"/>
      </w:tblGrid>
      <w:tr>
        <w:tblPrEx>
          <w:tblW w:w="4593" w:type="dxa"/>
          <w:tblInd w:w="25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33"/>
        </w:trPr>
        <w:tc>
          <w:tcPr>
            <w:tcW w:w="337" w:type="dxa"/>
            <w:vAlign w:val="top"/>
          </w:tcPr>
          <w:p>
            <w:pPr>
              <w:pStyle w:val="TableText"/>
              <w:spacing w:line="213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1,600</w:t>
            </w:r>
          </w:p>
          <w:p>
            <w:pPr>
              <w:pStyle w:val="TableText"/>
              <w:spacing w:before="155" w:line="214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1,400</w:t>
            </w:r>
          </w:p>
          <w:p>
            <w:pPr>
              <w:pStyle w:val="TableText"/>
              <w:spacing w:before="155" w:line="214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1,200</w:t>
            </w:r>
          </w:p>
          <w:p>
            <w:pPr>
              <w:pStyle w:val="TableText"/>
              <w:spacing w:before="155" w:line="214" w:lineRule="auto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1,000</w:t>
            </w:r>
          </w:p>
          <w:p>
            <w:pPr>
              <w:pStyle w:val="TableText"/>
              <w:spacing w:before="157" w:line="197" w:lineRule="auto"/>
              <w:ind w:left="97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800</w:t>
            </w:r>
          </w:p>
          <w:p>
            <w:pPr>
              <w:pStyle w:val="TableText"/>
              <w:spacing w:before="166" w:line="196" w:lineRule="auto"/>
              <w:ind w:left="94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600</w:t>
            </w:r>
          </w:p>
          <w:p>
            <w:pPr>
              <w:pStyle w:val="TableText"/>
              <w:spacing w:before="166" w:line="196" w:lineRule="auto"/>
              <w:ind w:left="91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400</w:t>
            </w:r>
          </w:p>
          <w:p>
            <w:pPr>
              <w:pStyle w:val="TableText"/>
              <w:spacing w:before="167" w:line="196" w:lineRule="auto"/>
              <w:ind w:left="91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200</w:t>
            </w:r>
          </w:p>
          <w:p>
            <w:pPr>
              <w:pStyle w:val="TableText"/>
              <w:spacing w:before="167" w:line="196" w:lineRule="auto"/>
              <w:ind w:left="23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3891" w:type="dxa"/>
            <w:vAlign w:val="top"/>
          </w:tcPr>
          <w:p>
            <w:pPr>
              <w:spacing w:before="214" w:line="2147" w:lineRule="exact"/>
              <w:ind w:firstLine="218"/>
            </w:pPr>
            <w:r>
              <w:pict>
                <v:rect id="_x0000_s1117" style="width:19.25pt;height:3.5pt;margin-top:141.59pt;margin-left:-133.3pt;mso-position-horizontal-relative:right-margin-area;mso-position-vertical-relative:top-margin-area;position:absolute;z-index:251711488" filled="t" fillcolor="#a5a5a5" stroked="f"/>
              </w:pict>
            </w:r>
            <w: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rightMargin">
                    <wp:posOffset>-2446456</wp:posOffset>
                  </wp:positionH>
                  <wp:positionV relativeFrom="topMargin">
                    <wp:posOffset>30140</wp:posOffset>
                  </wp:positionV>
                  <wp:extent cx="2420746" cy="1495932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0746" cy="1495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42"/>
              </w:rPr>
              <w:drawing>
                <wp:inline distT="0" distB="0" distL="0" distR="0">
                  <wp:extent cx="2191512" cy="1363472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512" cy="1363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14" w:line="196" w:lineRule="auto"/>
              <w:ind w:left="177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2015     2016</w:t>
            </w:r>
            <w:r>
              <w:rPr>
                <w:spacing w:val="8"/>
                <w:w w:val="102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2017</w:t>
            </w:r>
            <w:r>
              <w:rPr>
                <w:spacing w:val="5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2018</w:t>
            </w:r>
            <w:r>
              <w:rPr>
                <w:spacing w:val="5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2019</w:t>
            </w:r>
            <w:r>
              <w:rPr>
                <w:spacing w:val="5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2020</w:t>
            </w:r>
            <w:r>
              <w:rPr>
                <w:spacing w:val="6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2021</w:t>
            </w:r>
            <w:r>
              <w:rPr>
                <w:spacing w:val="5"/>
                <w:sz w:val="13"/>
                <w:szCs w:val="13"/>
              </w:rPr>
              <w:t xml:space="preserve">     </w:t>
            </w:r>
            <w:r>
              <w:rPr>
                <w:spacing w:val="4"/>
                <w:sz w:val="13"/>
                <w:szCs w:val="13"/>
              </w:rPr>
              <w:t>2022</w:t>
            </w:r>
          </w:p>
          <w:p>
            <w:pPr>
              <w:pStyle w:val="TableText"/>
              <w:spacing w:before="195" w:line="183" w:lineRule="auto"/>
              <w:ind w:left="159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position w:val="1"/>
                <w:sz w:val="13"/>
                <w:szCs w:val="13"/>
              </w:rPr>
              <w:drawing>
                <wp:inline distT="0" distB="0" distL="0" distR="0">
                  <wp:extent cx="243840" cy="40906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40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11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动力煤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         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无烟煤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 xml:space="preserve">  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3443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36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动力煤占比</w:t>
            </w:r>
            <w:r>
              <w:rPr>
                <w:spacing w:val="7"/>
                <w:sz w:val="13"/>
                <w:szCs w:val="13"/>
              </w:rPr>
              <w:t>-</w:t>
            </w:r>
            <w:r>
              <w:rPr>
                <w:rFonts w:ascii="KaiTi" w:eastAsia="KaiTi" w:hAnsi="KaiTi" w:cs="KaiTi"/>
                <w:spacing w:val="7"/>
                <w:sz w:val="13"/>
                <w:szCs w:val="13"/>
              </w:rPr>
              <w:t>右轴</w:t>
            </w:r>
          </w:p>
        </w:tc>
        <w:tc>
          <w:tcPr>
            <w:tcW w:w="365" w:type="dxa"/>
            <w:vAlign w:val="top"/>
          </w:tcPr>
          <w:p>
            <w:pPr>
              <w:pStyle w:val="TableText"/>
              <w:spacing w:before="111" w:line="197" w:lineRule="auto"/>
              <w:jc w:val="right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100%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7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80%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4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60%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0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40%</w:t>
            </w: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7" w:line="197" w:lineRule="auto"/>
              <w:ind w:left="41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>20%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9" w:line="197" w:lineRule="auto"/>
              <w:ind w:left="43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0%</w:t>
            </w:r>
          </w:p>
        </w:tc>
      </w:tr>
    </w:tbl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62" w:line="194" w:lineRule="auto"/>
        <w:ind w:left="111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94" w:lineRule="auto"/>
        <w:rPr>
          <w:sz w:val="19"/>
          <w:szCs w:val="19"/>
        </w:rPr>
        <w:sectPr>
          <w:headerReference w:type="default" r:id="rId80"/>
          <w:footerReference w:type="default" r:id="rId81"/>
          <w:type w:val="continuous"/>
          <w:pgSz w:w="11907" w:h="16839"/>
          <w:pgMar w:top="992" w:right="0" w:bottom="1179" w:left="0" w:header="454" w:footer="10" w:gutter="0"/>
          <w:pgNumType w:start="20"/>
          <w:cols w:num="2" w:space="708" w:equalWidth="0">
            <w:col w:w="5973" w:space="100"/>
            <w:col w:w="5833" w:space="0"/>
          </w:cols>
        </w:sectPr>
      </w:pPr>
    </w:p>
    <w:p>
      <w:pPr>
        <w:rPr>
          <w:rFonts w:ascii="Arial"/>
          <w:sz w:val="21"/>
        </w:rPr>
      </w:pPr>
    </w:p>
    <w:p>
      <w:pPr>
        <w:pStyle w:val="BodyText"/>
        <w:spacing w:before="69" w:line="329" w:lineRule="auto"/>
        <w:ind w:left="3125" w:right="787" w:firstLine="426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吨煤成本整体呈下降趋势，低成本优势凸显。</w:t>
      </w:r>
      <w:r>
        <w:rPr>
          <w:spacing w:val="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17 </w:t>
      </w:r>
      <w:r>
        <w:rPr>
          <w:spacing w:val="-6"/>
          <w:sz w:val="21"/>
          <w:szCs w:val="21"/>
        </w:rPr>
        <w:t>年至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2021 </w:t>
      </w:r>
      <w:r>
        <w:rPr>
          <w:spacing w:val="-6"/>
          <w:sz w:val="21"/>
          <w:szCs w:val="21"/>
        </w:rPr>
        <w:t>年，</w:t>
      </w:r>
      <w:r>
        <w:rPr>
          <w:spacing w:val="-35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公司吨煤生产成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本下降显著，从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276.68 </w:t>
      </w:r>
      <w:r>
        <w:rPr>
          <w:spacing w:val="-4"/>
          <w:sz w:val="21"/>
          <w:szCs w:val="21"/>
        </w:rPr>
        <w:t>元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/</w:t>
      </w:r>
      <w:r>
        <w:rPr>
          <w:spacing w:val="-4"/>
          <w:sz w:val="21"/>
          <w:szCs w:val="21"/>
        </w:rPr>
        <w:t>吨降至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156.82 </w:t>
      </w:r>
      <w:r>
        <w:rPr>
          <w:spacing w:val="-4"/>
          <w:sz w:val="21"/>
          <w:szCs w:val="21"/>
        </w:rPr>
        <w:t>元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/</w:t>
      </w:r>
      <w:r>
        <w:rPr>
          <w:spacing w:val="-5"/>
          <w:sz w:val="21"/>
          <w:szCs w:val="21"/>
        </w:rPr>
        <w:t>吨，</w:t>
      </w:r>
      <w:r>
        <w:rPr>
          <w:spacing w:val="-42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降幅达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43.32%</w:t>
      </w:r>
      <w:r>
        <w:rPr>
          <w:spacing w:val="-5"/>
          <w:sz w:val="21"/>
          <w:szCs w:val="21"/>
        </w:rPr>
        <w:t>。究其原因，一方面京西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高成本矿区产能不断去化，大量人员分流安置，</w:t>
      </w:r>
      <w:r>
        <w:rPr>
          <w:spacing w:val="-37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使得公司煤炭生产成本不断下降；另一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方面蒙西地区产能投产，低成本煤炭产量持续增加，使得公司平均吨</w:t>
      </w:r>
      <w:r>
        <w:rPr>
          <w:spacing w:val="-2"/>
          <w:sz w:val="21"/>
          <w:szCs w:val="21"/>
        </w:rPr>
        <w:t>煤生产成本不断下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滑。而</w:t>
      </w:r>
      <w:r>
        <w:rPr>
          <w:spacing w:val="-6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2022 </w:t>
      </w:r>
      <w:r>
        <w:rPr>
          <w:spacing w:val="-6"/>
          <w:sz w:val="21"/>
          <w:szCs w:val="21"/>
        </w:rPr>
        <w:t>年公司吨煤生产成本有所</w:t>
      </w:r>
      <w:r>
        <w:rPr>
          <w:spacing w:val="-7"/>
          <w:sz w:val="21"/>
          <w:szCs w:val="21"/>
        </w:rPr>
        <w:t>回升，主要系</w:t>
      </w:r>
      <w:r>
        <w:rPr>
          <w:spacing w:val="-6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2022 </w:t>
      </w:r>
      <w:r>
        <w:rPr>
          <w:spacing w:val="-7"/>
          <w:sz w:val="21"/>
          <w:szCs w:val="21"/>
        </w:rPr>
        <w:t>年矿用材料价格出现大幅上涨，</w:t>
      </w:r>
      <w:r>
        <w:rPr>
          <w:sz w:val="21"/>
          <w:szCs w:val="21"/>
        </w:rPr>
        <w:t xml:space="preserve">  </w:t>
      </w:r>
      <w:r>
        <w:rPr>
          <w:spacing w:val="-7"/>
          <w:sz w:val="21"/>
          <w:szCs w:val="21"/>
        </w:rPr>
        <w:t>且红一煤矿投入试运营，产生较多材料成本和电力成本；此外，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202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2 </w:t>
      </w:r>
      <w:r>
        <w:rPr>
          <w:spacing w:val="-8"/>
          <w:sz w:val="21"/>
          <w:szCs w:val="21"/>
        </w:rPr>
        <w:t>年运输费单价上涨，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叠加红一煤矿位于宁夏，无法通过公司自有东铜铁路运输，运输成本增幅较大</w:t>
      </w:r>
      <w:r>
        <w:rPr>
          <w:spacing w:val="-5"/>
          <w:sz w:val="21"/>
          <w:szCs w:val="21"/>
        </w:rPr>
        <w:t>。</w:t>
      </w:r>
      <w:r>
        <w:rPr>
          <w:spacing w:val="63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未来，</w:t>
      </w:r>
    </w:p>
    <w:p>
      <w:pPr>
        <w:pStyle w:val="BodyText"/>
        <w:spacing w:line="213" w:lineRule="auto"/>
        <w:ind w:left="3140"/>
        <w:rPr>
          <w:sz w:val="21"/>
          <w:szCs w:val="21"/>
        </w:rPr>
      </w:pPr>
      <w:bookmarkStart w:id="14" w:name="bookmark21"/>
      <w:bookmarkEnd w:id="14"/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随着红一、红二煤矿的逐步达产将对成本形成摊薄，公司吨煤生产成本有望继续回落。</w:t>
      </w:r>
    </w:p>
    <w:p>
      <w:pPr>
        <w:spacing w:line="94" w:lineRule="exact"/>
      </w:pPr>
    </w:p>
    <w:p>
      <w:pPr>
        <w:spacing w:line="94" w:lineRule="exact"/>
        <w:sectPr>
          <w:headerReference w:type="default" r:id="rId82"/>
          <w:footerReference w:type="default" r:id="rId83"/>
          <w:type w:val="continuous"/>
          <w:pgSz w:w="11907" w:h="16839"/>
          <w:pgMar w:top="992" w:right="0" w:bottom="1179" w:left="0" w:header="454" w:footer="10" w:gutter="0"/>
          <w:pgNumType w:start="21"/>
          <w:cols w:num="1" w:space="708" w:equalWidth="0">
            <w:col w:w="11906" w:space="0"/>
          </w:cols>
        </w:sectPr>
      </w:pPr>
    </w:p>
    <w:p>
      <w:pPr>
        <w:pStyle w:val="BodyText"/>
        <w:spacing w:before="42" w:line="239" w:lineRule="auto"/>
        <w:ind w:left="988"/>
        <w:rPr>
          <w:sz w:val="19"/>
          <w:szCs w:val="19"/>
        </w:rPr>
      </w:pPr>
      <w:bookmarkStart w:id="15" w:name="bookmark20"/>
      <w:bookmarkEnd w:id="15"/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10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 xml:space="preserve">2017-2022 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年公司吨煤生产成本构成（元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/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吨）</w:t>
      </w:r>
    </w:p>
    <w:p>
      <w:pPr>
        <w:spacing w:before="221" w:line="196" w:lineRule="auto"/>
        <w:ind w:left="109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300</w:t>
      </w:r>
    </w:p>
    <w:p>
      <w:pPr>
        <w:spacing w:before="236" w:line="196" w:lineRule="auto"/>
        <w:ind w:left="1092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250</w:t>
      </w:r>
    </w:p>
    <w:p>
      <w:pPr>
        <w:spacing w:before="237" w:line="196" w:lineRule="auto"/>
        <w:ind w:left="1092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200</w:t>
      </w:r>
    </w:p>
    <w:p>
      <w:pPr>
        <w:spacing w:before="237" w:line="196" w:lineRule="auto"/>
        <w:ind w:left="110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150</w:t>
      </w:r>
    </w:p>
    <w:p>
      <w:pPr>
        <w:spacing w:before="237" w:line="196" w:lineRule="auto"/>
        <w:ind w:left="110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100</w:t>
      </w:r>
    </w:p>
    <w:p>
      <w:pPr>
        <w:spacing w:before="236" w:line="196" w:lineRule="auto"/>
        <w:ind w:left="1165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50</w:t>
      </w:r>
    </w:p>
    <w:p>
      <w:pPr>
        <w:spacing w:before="237" w:line="196" w:lineRule="auto"/>
        <w:ind w:left="123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z w:val="13"/>
          <w:szCs w:val="13"/>
        </w:rPr>
        <w:t>0</w:t>
      </w:r>
    </w:p>
    <w:p>
      <w:pPr>
        <w:spacing w:before="42" w:line="196" w:lineRule="auto"/>
        <w:ind w:left="1281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2017               2018</w:t>
      </w:r>
      <w:r>
        <w:rPr>
          <w:rFonts w:ascii="Times New Roman" w:eastAsia="Times New Roman" w:hAnsi="Times New Roman" w:cs="Times New Roman"/>
          <w:sz w:val="13"/>
          <w:szCs w:val="13"/>
        </w:rPr>
        <w:t xml:space="preserve">               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2019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              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2020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               </w:t>
      </w:r>
      <w:r>
        <w:rPr>
          <w:rFonts w:ascii="Times New Roman" w:eastAsia="Times New Roman" w:hAnsi="Times New Roman" w:cs="Times New Roman"/>
          <w:spacing w:val="4"/>
          <w:sz w:val="13"/>
          <w:szCs w:val="13"/>
        </w:rPr>
        <w:t>20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21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                </w:t>
      </w: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2022</w:t>
      </w:r>
    </w:p>
    <w:p>
      <w:pPr>
        <w:pStyle w:val="BodyText"/>
        <w:spacing w:before="186" w:line="259" w:lineRule="exact"/>
        <w:ind w:left="1869"/>
        <w:rPr>
          <w:sz w:val="13"/>
          <w:szCs w:val="13"/>
        </w:rPr>
      </w:pPr>
      <w:r>
        <w:rPr>
          <w:position w:val="10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position w:val="9"/>
          <w:sz w:val="13"/>
          <w:szCs w:val="13"/>
        </w:rPr>
        <w:t xml:space="preserve"> </w:t>
      </w:r>
      <w:r>
        <w:rPr>
          <w:spacing w:val="8"/>
          <w:position w:val="9"/>
          <w:sz w:val="13"/>
          <w:szCs w:val="13"/>
        </w:rPr>
        <w:t>材料成本</w:t>
      </w:r>
      <w:r>
        <w:rPr>
          <w:spacing w:val="8"/>
          <w:position w:val="9"/>
          <w:sz w:val="13"/>
          <w:szCs w:val="13"/>
        </w:rPr>
        <w:t xml:space="preserve"> </w:t>
      </w:r>
      <w:r>
        <w:rPr>
          <w:position w:val="10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position w:val="9"/>
          <w:sz w:val="13"/>
          <w:szCs w:val="13"/>
        </w:rPr>
        <w:t xml:space="preserve"> </w:t>
      </w:r>
      <w:r>
        <w:rPr>
          <w:spacing w:val="8"/>
          <w:position w:val="9"/>
          <w:sz w:val="13"/>
          <w:szCs w:val="13"/>
        </w:rPr>
        <w:t>人工成本</w:t>
      </w:r>
      <w:r>
        <w:rPr>
          <w:spacing w:val="20"/>
          <w:position w:val="9"/>
          <w:sz w:val="13"/>
          <w:szCs w:val="13"/>
        </w:rPr>
        <w:t xml:space="preserve"> </w:t>
      </w:r>
      <w:r>
        <w:rPr>
          <w:position w:val="10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position w:val="9"/>
          <w:sz w:val="13"/>
          <w:szCs w:val="13"/>
        </w:rPr>
        <w:t xml:space="preserve"> </w:t>
      </w:r>
      <w:r>
        <w:rPr>
          <w:spacing w:val="8"/>
          <w:position w:val="9"/>
          <w:sz w:val="13"/>
          <w:szCs w:val="13"/>
        </w:rPr>
        <w:t>电力成本</w:t>
      </w:r>
      <w:r>
        <w:rPr>
          <w:spacing w:val="19"/>
          <w:w w:val="101"/>
          <w:position w:val="9"/>
          <w:sz w:val="13"/>
          <w:szCs w:val="13"/>
        </w:rPr>
        <w:t xml:space="preserve"> </w:t>
      </w:r>
      <w:r>
        <w:rPr>
          <w:position w:val="10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position w:val="9"/>
          <w:sz w:val="13"/>
          <w:szCs w:val="13"/>
        </w:rPr>
        <w:t xml:space="preserve"> </w:t>
      </w:r>
      <w:r>
        <w:rPr>
          <w:spacing w:val="8"/>
          <w:position w:val="9"/>
          <w:sz w:val="13"/>
          <w:szCs w:val="13"/>
        </w:rPr>
        <w:t>折旧费</w:t>
      </w:r>
    </w:p>
    <w:p>
      <w:pPr>
        <w:pStyle w:val="BodyText"/>
        <w:spacing w:line="230" w:lineRule="auto"/>
        <w:ind w:left="1869"/>
        <w:rPr>
          <w:sz w:val="13"/>
          <w:szCs w:val="13"/>
        </w:rPr>
      </w:pP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专项储备</w:t>
      </w:r>
      <w:r>
        <w:rPr>
          <w:spacing w:val="19"/>
          <w:w w:val="101"/>
          <w:sz w:val="13"/>
          <w:szCs w:val="13"/>
        </w:rPr>
        <w:t xml:space="preserve"> </w:t>
      </w: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7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运输成本</w:t>
      </w:r>
      <w:r>
        <w:rPr>
          <w:spacing w:val="20"/>
          <w:sz w:val="13"/>
          <w:szCs w:val="13"/>
        </w:rPr>
        <w:t xml:space="preserve"> </w:t>
      </w:r>
      <w:r>
        <w:rPr>
          <w:position w:val="1"/>
          <w:sz w:val="13"/>
          <w:szCs w:val="13"/>
        </w:rPr>
        <w:drawing>
          <wp:inline distT="0" distB="0" distL="0" distR="0">
            <wp:extent cx="44320" cy="44319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4320" cy="4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其他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63" w:line="194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36" w:lineRule="auto"/>
        <w:ind w:left="136"/>
        <w:rPr>
          <w:sz w:val="19"/>
          <w:szCs w:val="19"/>
        </w:rPr>
      </w:pPr>
      <w:r>
        <w:rPr>
          <w:color w:val="17365D"/>
          <w:spacing w:val="3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3"/>
          <w:sz w:val="19"/>
          <w:szCs w:val="19"/>
        </w:rPr>
        <w:t>11</w:t>
      </w:r>
      <w:r>
        <w:rPr>
          <w:color w:val="17365D"/>
          <w:spacing w:val="3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7365D"/>
          <w:spacing w:val="3"/>
          <w:sz w:val="19"/>
          <w:szCs w:val="19"/>
        </w:rPr>
        <w:t xml:space="preserve">2015-2023 </w:t>
      </w:r>
      <w:r>
        <w:rPr>
          <w:color w:val="17365D"/>
          <w:spacing w:val="3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年公司吨煤毛利润（元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3"/>
          <w:sz w:val="19"/>
          <w:szCs w:val="19"/>
        </w:rPr>
        <w:t>/</w:t>
      </w:r>
      <w:r>
        <w:rPr>
          <w:color w:val="17365D"/>
          <w:spacing w:val="3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吨，</w:t>
      </w:r>
      <w:r>
        <w:rPr>
          <w:color w:val="17365D"/>
          <w:spacing w:val="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7365D"/>
          <w:spacing w:val="3"/>
          <w:sz w:val="19"/>
          <w:szCs w:val="19"/>
        </w:rPr>
        <w:t>%</w:t>
      </w:r>
      <w:r>
        <w:rPr>
          <w:color w:val="17365D"/>
          <w:spacing w:val="3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）</w:t>
      </w:r>
    </w:p>
    <w:p>
      <w:pPr>
        <w:spacing w:line="180" w:lineRule="exact"/>
      </w:pPr>
    </w:p>
    <w:tbl>
      <w:tblPr>
        <w:tblStyle w:val="TableNormal2"/>
        <w:tblW w:w="4506" w:type="dxa"/>
        <w:tblInd w:w="2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63"/>
        <w:gridCol w:w="3774"/>
        <w:gridCol w:w="469"/>
      </w:tblGrid>
      <w:tr>
        <w:tblPrEx>
          <w:tblW w:w="4506" w:type="dxa"/>
          <w:tblInd w:w="24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71"/>
        </w:trPr>
        <w:tc>
          <w:tcPr>
            <w:tcW w:w="263" w:type="dxa"/>
            <w:vAlign w:val="top"/>
          </w:tcPr>
          <w:p>
            <w:pPr>
              <w:pStyle w:val="TableText"/>
              <w:spacing w:before="104"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400</w:t>
            </w:r>
          </w:p>
          <w:p>
            <w:pPr>
              <w:pStyle w:val="TableText"/>
              <w:spacing w:before="170" w:line="197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350</w:t>
            </w:r>
          </w:p>
          <w:p>
            <w:pPr>
              <w:pStyle w:val="TableText"/>
              <w:spacing w:before="171" w:line="196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300</w:t>
            </w:r>
          </w:p>
          <w:p>
            <w:pPr>
              <w:pStyle w:val="TableText"/>
              <w:spacing w:before="171"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250</w:t>
            </w:r>
          </w:p>
          <w:p>
            <w:pPr>
              <w:pStyle w:val="TableText"/>
              <w:spacing w:before="170"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200</w:t>
            </w:r>
          </w:p>
          <w:p>
            <w:pPr>
              <w:pStyle w:val="TableText"/>
              <w:spacing w:before="171" w:line="196" w:lineRule="auto"/>
              <w:ind w:left="1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150</w:t>
            </w:r>
          </w:p>
          <w:p>
            <w:pPr>
              <w:pStyle w:val="TableText"/>
              <w:spacing w:before="170" w:line="196" w:lineRule="auto"/>
              <w:ind w:left="1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100</w:t>
            </w:r>
          </w:p>
          <w:p>
            <w:pPr>
              <w:pStyle w:val="TableText"/>
              <w:spacing w:before="172" w:line="196" w:lineRule="auto"/>
              <w:ind w:left="74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50</w:t>
            </w:r>
          </w:p>
          <w:p>
            <w:pPr>
              <w:pStyle w:val="TableText"/>
              <w:spacing w:before="170" w:line="196" w:lineRule="auto"/>
              <w:ind w:left="14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3774" w:type="dxa"/>
            <w:vAlign w:val="top"/>
          </w:tcPr>
          <w:p>
            <w:pPr>
              <w:pStyle w:val="TableText"/>
              <w:spacing w:line="3061" w:lineRule="exact"/>
              <w:ind w:firstLine="56"/>
            </w:pPr>
            <w:r>
              <w:rPr>
                <w:position w:val="-62"/>
              </w:rPr>
              <w:pict>
                <v:group id="_x0000_i1118" style="width:183.9pt;height:153.6pt;mso-position-horizontal-relative:char;mso-position-vertical-relative:line" coordorigin="0,0" coordsize="3677,3072" filled="f" stroked="f">
                  <v:shape id="_x0000_s1119" type="#_x0000_t75" style="width:3356;height:2300;left:161;position:absolute;top:198" filled="f" stroked="f">
                    <v:imagedata r:id="rId91" o:title=""/>
                  </v:shape>
                  <v:shape id="_x0000_s1120" style="width:3235;height:1693;left:221;position:absolute;top:407" coordorigin="0,0" coordsize="3235,1693" path="m20,1673l418,1421l819,434l1217,367l1618,271l2016,837l2415,20l2815,333l3214,381e" filled="f" strokecolor="#a5a5a5" strokeweight="2pt">
                    <v:stroke endcap="round"/>
                  </v:shape>
                  <v:group id="_x0000_s1121" style="width:3677;height:2391;position:absolute;top:149" coordorigin="0,0" coordsize="3677,2391" filled="f" stroked="f">
                    <v:shape id="_x0000_s1122" style="width:3677;height:2355;position:absolute" coordorigin="0,0" coordsize="3677,2355" path="m3635,2349l3635,5m3635,2349l3677,2349m3635,2055l3677,2055m3635,1763l3677,1763m3635,1470l3677,1470m3635,1177l3677,1177m3635,884l3677,884m3635,591l3677,591m3635,296l3677,296m3635,5l3677,5m41,2349l41,5m,2349l41,2349m,2055l41,2055m,1763l41,1763m,1470l41,1470m,1177l41,1177m,884l41,884m,591l41,591m,296l41,296m,5l41,5e" filled="f" strokecolor="black" strokeweight="0.5pt"/>
                    <v:shape id="_x0000_s1123" style="width:3610;height:50;left:34;position:absolute;top:2341" coordorigin="0,0" coordsize="3610,50" path="m7,7l3601,7m7,7l7,49m406,7l406,49m806,7l806,49m1205,7l1205,49m1603,7l1603,49m2004,7l2004,49m2402,7l2402,49m2803,7l2803,49m3202,7l3202,49m3601,7l3601,49e" filled="f" strokecolor="black" strokeweight="0.75pt"/>
                  </v:group>
                  <v:shape id="_x0000_s1124" type="#_x0000_t202" style="width:3547;height:3112;left:66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7" w:lineRule="auto"/>
                            <w:ind w:left="2384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392.17</w:t>
                          </w:r>
                        </w:p>
                        <w:p>
                          <w:pPr>
                            <w:spacing w:before="140" w:line="196" w:lineRule="auto"/>
                            <w:ind w:left="2783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344.82</w:t>
                          </w:r>
                        </w:p>
                        <w:p>
                          <w:pPr>
                            <w:spacing w:line="32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7" w:line="196" w:lineRule="auto"/>
                            <w:ind w:left="3215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261.6</w:t>
                          </w:r>
                        </w:p>
                        <w:p>
                          <w:pPr>
                            <w:spacing w:before="136" w:line="201" w:lineRule="auto"/>
                            <w:ind w:left="783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5"/>
                              <w:sz w:val="13"/>
                              <w:szCs w:val="13"/>
                            </w:rPr>
                            <w:t>211.41217.41</w:t>
                          </w:r>
                        </w:p>
                        <w:p>
                          <w:pPr>
                            <w:spacing w:before="1" w:line="186" w:lineRule="auto"/>
                            <w:ind w:left="1595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"/>
                              <w:sz w:val="13"/>
                              <w:szCs w:val="13"/>
                            </w:rPr>
                            <w:t>197.05</w:t>
                          </w:r>
                        </w:p>
                        <w:p>
                          <w:pPr>
                            <w:spacing w:line="24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8" w:line="196" w:lineRule="auto"/>
                            <w:ind w:left="1995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"/>
                              <w:sz w:val="13"/>
                              <w:szCs w:val="13"/>
                            </w:rPr>
                            <w:t>127.23</w:t>
                          </w:r>
                        </w:p>
                        <w:p>
                          <w:pPr>
                            <w:spacing w:before="188" w:line="196" w:lineRule="auto"/>
                            <w:ind w:left="422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74.28</w:t>
                          </w:r>
                        </w:p>
                        <w:p>
                          <w:pPr>
                            <w:spacing w:before="50" w:line="19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3"/>
                              <w:sz w:val="13"/>
                              <w:szCs w:val="13"/>
                            </w:rPr>
                            <w:t>44.84</w:t>
                          </w:r>
                        </w:p>
                        <w:p>
                          <w:pPr>
                            <w:spacing w:line="43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8" w:line="196" w:lineRule="auto"/>
                            <w:ind w:left="38"/>
                            <w:rPr>
                              <w:rFonts w:ascii="Times New Roman" w:eastAsia="Times New Roman" w:hAnsi="Times New Roman" w:cs="Times New Roman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13"/>
                              <w:szCs w:val="13"/>
                            </w:rPr>
                            <w:t xml:space="preserve">2015   2016    2017   2018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13"/>
                              <w:szCs w:val="13"/>
                            </w:rPr>
                            <w:t>2019   2020    2021   2022    2023</w:t>
                          </w:r>
                        </w:p>
                        <w:p>
                          <w:pPr>
                            <w:spacing w:before="197" w:line="230" w:lineRule="auto"/>
                            <w:ind w:left="925"/>
                            <w:rPr>
                              <w:rFonts w:ascii="KaiTi" w:eastAsia="KaiTi" w:hAnsi="KaiTi" w:cs="KaiTi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pacing w:val="7"/>
                              <w:sz w:val="13"/>
                              <w:szCs w:val="13"/>
                            </w:rPr>
                            <w:t>吨煤毛利润</w:t>
                          </w:r>
                          <w:r>
                            <w:rPr>
                              <w:rFonts w:ascii="KaiTi" w:eastAsia="KaiTi" w:hAnsi="KaiTi" w:cs="KaiTi"/>
                              <w:spacing w:val="7"/>
                              <w:sz w:val="13"/>
                              <w:szCs w:val="13"/>
                            </w:rPr>
                            <w:t xml:space="preserve">   </w:t>
                          </w:r>
                          <w:r>
                            <w:rPr>
                              <w:rFonts w:ascii="KaiTi" w:eastAsia="KaiTi" w:hAnsi="KaiTi" w:cs="KaiTi"/>
                              <w:strike/>
                              <w:spacing w:val="7"/>
                              <w:sz w:val="13"/>
                              <w:szCs w:val="13"/>
                            </w:rPr>
                            <w:t xml:space="preserve">      </w:t>
                          </w:r>
                          <w:r>
                            <w:rPr>
                              <w:rFonts w:ascii="KaiTi" w:eastAsia="KaiTi" w:hAnsi="KaiTi" w:cs="KaiTi"/>
                              <w:spacing w:val="-34"/>
                              <w:sz w:val="13"/>
                              <w:szCs w:val="13"/>
                            </w:rPr>
                            <w:t xml:space="preserve"> </w:t>
                          </w:r>
                          <w:r>
                            <w:rPr>
                              <w:rFonts w:ascii="KaiTi" w:eastAsia="KaiTi" w:hAnsi="KaiTi" w:cs="KaiTi"/>
                              <w:spacing w:val="7"/>
                              <w:sz w:val="13"/>
                              <w:szCs w:val="13"/>
                            </w:rPr>
                            <w:t>吨煤毛利率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7"/>
                              <w:sz w:val="13"/>
                              <w:szCs w:val="13"/>
                            </w:rPr>
                            <w:t>-</w:t>
                          </w:r>
                          <w:r>
                            <w:rPr>
                              <w:rFonts w:ascii="KaiTi" w:eastAsia="KaiTi" w:hAnsi="KaiTi" w:cs="KaiTi"/>
                              <w:spacing w:val="7"/>
                              <w:sz w:val="13"/>
                              <w:szCs w:val="13"/>
                            </w:rPr>
                            <w:t>右轴</w:t>
                          </w:r>
                        </w:p>
                      </w:txbxContent>
                    </v:textbox>
                  </v:shape>
                  <v:rect id="_x0000_s1125" style="width:385;height:70;left:562;position:absolute;top:2968" filled="t" fillcolor="#17375d" stroked="f"/>
                  <w10:wrap type="none"/>
                </v:group>
              </w:pic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spacing w:before="101" w:line="443" w:lineRule="auto"/>
              <w:ind w:left="41" w:firstLine="6"/>
              <w:jc w:val="both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80.00%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70.00%</w:t>
            </w:r>
            <w:r>
              <w:rPr>
                <w:spacing w:val="2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60.00%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50.00%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40.00%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30.00%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20.00%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10.00%</w:t>
            </w:r>
            <w:r>
              <w:rPr>
                <w:spacing w:val="1"/>
                <w:sz w:val="13"/>
                <w:szCs w:val="13"/>
              </w:rPr>
              <w:t xml:space="preserve"> </w:t>
            </w:r>
            <w:r>
              <w:rPr>
                <w:spacing w:val="4"/>
                <w:sz w:val="13"/>
                <w:szCs w:val="13"/>
              </w:rPr>
              <w:t>0.00%</w:t>
            </w:r>
          </w:p>
        </w:tc>
      </w:tr>
    </w:tbl>
    <w:p>
      <w:pPr>
        <w:spacing w:line="272" w:lineRule="auto"/>
        <w:rPr>
          <w:rFonts w:ascii="Arial"/>
          <w:sz w:val="21"/>
        </w:rPr>
        <w:sectPr>
          <w:headerReference w:type="default" r:id="rId92"/>
          <w:footerReference w:type="default" r:id="rId93"/>
          <w:type w:val="continuous"/>
          <w:pgSz w:w="11907" w:h="16839"/>
          <w:pgMar w:top="992" w:right="0" w:bottom="1179" w:left="0" w:header="454" w:footer="10" w:gutter="0"/>
          <w:pgNumType w:start="22"/>
          <w:cols w:num="2" w:space="708" w:equalWidth="0">
            <w:col w:w="5973" w:space="100"/>
            <w:col w:w="5833" w:space="0"/>
          </w:cols>
        </w:sectPr>
      </w:pPr>
    </w:p>
    <w:p>
      <w:pPr>
        <w:pStyle w:val="BodyText"/>
        <w:spacing w:before="63" w:line="194" w:lineRule="auto"/>
        <w:ind w:left="111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94" w:lineRule="auto"/>
        <w:rPr>
          <w:sz w:val="19"/>
          <w:szCs w:val="19"/>
        </w:rPr>
        <w:sectPr>
          <w:headerReference w:type="default" r:id="rId94"/>
          <w:footerReference w:type="default" r:id="rId95"/>
          <w:type w:val="nextPage"/>
          <w:pgSz w:w="11907" w:h="16839"/>
          <w:pgMar w:top="992" w:right="0" w:bottom="1179" w:left="0" w:header="454" w:footer="10" w:gutter="0"/>
          <w:pgNumType w:start="23"/>
          <w:cols w:num="2" w:space="708" w:equalWidth="0">
            <w:col w:w="5973" w:space="100"/>
            <w:col w:w="5833" w:space="0"/>
          </w:cols>
          <w:titlePg w:val="0"/>
        </w:sectPr>
      </w:pP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62" w:line="241" w:lineRule="auto"/>
        <w:ind w:left="963"/>
        <w:rPr>
          <w:sz w:val="19"/>
          <w:szCs w:val="19"/>
        </w:rPr>
      </w:pPr>
      <w:bookmarkStart w:id="16" w:name="bookmark37"/>
      <w:bookmarkEnd w:id="16"/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7365D"/>
          <w:spacing w:val="9"/>
          <w:sz w:val="19"/>
          <w:szCs w:val="19"/>
        </w:rPr>
        <w:t>2</w:t>
      </w: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：公司煤炭业务吨煤指标（元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9"/>
          <w:sz w:val="19"/>
          <w:szCs w:val="19"/>
        </w:rPr>
        <w:t>/</w:t>
      </w:r>
      <w:r>
        <w:rPr>
          <w:color w:val="17365D"/>
          <w:spacing w:val="9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吨）</w:t>
      </w:r>
    </w:p>
    <w:p>
      <w:pPr>
        <w:spacing w:line="38" w:lineRule="exact"/>
      </w:pPr>
    </w:p>
    <w:tbl>
      <w:tblPr>
        <w:tblStyle w:val="TableNormal3"/>
        <w:tblW w:w="10206" w:type="dxa"/>
        <w:tblInd w:w="8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05"/>
        <w:gridCol w:w="871"/>
        <w:gridCol w:w="972"/>
        <w:gridCol w:w="1042"/>
        <w:gridCol w:w="1042"/>
        <w:gridCol w:w="1044"/>
        <w:gridCol w:w="1042"/>
        <w:gridCol w:w="1042"/>
        <w:gridCol w:w="1046"/>
      </w:tblGrid>
      <w:tr>
        <w:tblPrEx>
          <w:tblW w:w="10206" w:type="dxa"/>
          <w:tblInd w:w="8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54"/>
        </w:trPr>
        <w:tc>
          <w:tcPr>
            <w:tcW w:w="210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407"/>
            </w:pPr>
            <w:r>
              <w:rPr>
                <w:b/>
                <w:bCs/>
                <w:color w:val="FFFFFF"/>
                <w:spacing w:val="-1"/>
              </w:rPr>
              <w:t>2015</w:t>
            </w:r>
          </w:p>
        </w:tc>
        <w:tc>
          <w:tcPr>
            <w:tcW w:w="97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09"/>
            </w:pPr>
            <w:r>
              <w:rPr>
                <w:b/>
                <w:bCs/>
                <w:color w:val="FFFFFF"/>
                <w:spacing w:val="-1"/>
              </w:rPr>
              <w:t>2016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81"/>
            </w:pPr>
            <w:r>
              <w:rPr>
                <w:b/>
                <w:bCs/>
                <w:color w:val="FFFFFF"/>
                <w:spacing w:val="-1"/>
              </w:rPr>
              <w:t>2017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78"/>
            </w:pPr>
            <w:r>
              <w:rPr>
                <w:b/>
                <w:bCs/>
                <w:color w:val="FFFFFF"/>
                <w:spacing w:val="-1"/>
              </w:rPr>
              <w:t>2018</w:t>
            </w:r>
          </w:p>
        </w:tc>
        <w:tc>
          <w:tcPr>
            <w:tcW w:w="104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78"/>
            </w:pPr>
            <w:r>
              <w:rPr>
                <w:b/>
                <w:bCs/>
                <w:color w:val="FFFFFF"/>
                <w:spacing w:val="-1"/>
              </w:rPr>
              <w:t>2019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78"/>
            </w:pPr>
            <w:r>
              <w:rPr>
                <w:b/>
                <w:bCs/>
                <w:color w:val="FFFFFF"/>
                <w:spacing w:val="-1"/>
              </w:rPr>
              <w:t>2020</w:t>
            </w:r>
          </w:p>
        </w:tc>
        <w:tc>
          <w:tcPr>
            <w:tcW w:w="10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78"/>
            </w:pPr>
            <w:r>
              <w:rPr>
                <w:b/>
                <w:bCs/>
                <w:color w:val="FFFFFF"/>
                <w:spacing w:val="-1"/>
              </w:rPr>
              <w:t>2021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17375D"/>
            <w:vAlign w:val="top"/>
          </w:tcPr>
          <w:p>
            <w:pPr>
              <w:pStyle w:val="TableText"/>
              <w:spacing w:before="117" w:line="186" w:lineRule="auto"/>
              <w:ind w:left="580"/>
            </w:pPr>
            <w:r>
              <w:rPr>
                <w:b/>
                <w:bCs/>
                <w:color w:val="FFFFFF"/>
                <w:spacing w:val="-1"/>
              </w:rPr>
              <w:t>2022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35"/>
        </w:trPr>
        <w:tc>
          <w:tcPr>
            <w:tcW w:w="2105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5" w:line="231" w:lineRule="auto"/>
              <w:ind w:left="11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吨煤销售价格（元</w:t>
            </w:r>
            <w:r>
              <w:rPr>
                <w:spacing w:val="-1"/>
              </w:rPr>
              <w:t>/</w:t>
            </w:r>
            <w:r>
              <w:rPr>
                <w:rFonts w:ascii="KaiTi" w:eastAsia="KaiTi" w:hAnsi="KaiTi" w:cs="KaiTi"/>
                <w:spacing w:val="-1"/>
              </w:rPr>
              <w:t>吨）</w:t>
            </w:r>
          </w:p>
        </w:tc>
        <w:tc>
          <w:tcPr>
            <w:tcW w:w="87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499"/>
            </w:pPr>
            <w:r>
              <w:rPr>
                <w:spacing w:val="-2"/>
              </w:rPr>
              <w:t>314</w:t>
            </w:r>
          </w:p>
        </w:tc>
        <w:tc>
          <w:tcPr>
            <w:tcW w:w="97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601"/>
            </w:pPr>
            <w:r>
              <w:rPr>
                <w:spacing w:val="-2"/>
              </w:rPr>
              <w:t>325</w:t>
            </w:r>
          </w:p>
        </w:tc>
        <w:tc>
          <w:tcPr>
            <w:tcW w:w="104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673"/>
            </w:pPr>
            <w:r>
              <w:rPr>
                <w:spacing w:val="-2"/>
              </w:rPr>
              <w:t>374</w:t>
            </w:r>
          </w:p>
        </w:tc>
        <w:tc>
          <w:tcPr>
            <w:tcW w:w="104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670"/>
            </w:pPr>
            <w:r>
              <w:rPr>
                <w:spacing w:val="-2"/>
              </w:rPr>
              <w:t>370</w:t>
            </w:r>
          </w:p>
        </w:tc>
        <w:tc>
          <w:tcPr>
            <w:tcW w:w="104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670"/>
            </w:pPr>
            <w:r>
              <w:rPr>
                <w:spacing w:val="-2"/>
              </w:rPr>
              <w:t>317</w:t>
            </w:r>
          </w:p>
        </w:tc>
        <w:tc>
          <w:tcPr>
            <w:tcW w:w="104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7" w:line="188" w:lineRule="auto"/>
              <w:ind w:left="666"/>
            </w:pPr>
            <w:r>
              <w:rPr>
                <w:spacing w:val="-1"/>
              </w:rPr>
              <w:t>298</w:t>
            </w:r>
          </w:p>
        </w:tc>
        <w:tc>
          <w:tcPr>
            <w:tcW w:w="104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9" w:line="185" w:lineRule="auto"/>
              <w:ind w:left="671"/>
            </w:pPr>
            <w:r>
              <w:rPr>
                <w:spacing w:val="-2"/>
              </w:rPr>
              <w:t>555</w:t>
            </w:r>
          </w:p>
        </w:tc>
        <w:tc>
          <w:tcPr>
            <w:tcW w:w="104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109" w:line="185" w:lineRule="auto"/>
              <w:ind w:left="673"/>
            </w:pPr>
            <w:r>
              <w:rPr>
                <w:spacing w:val="-2"/>
              </w:rPr>
              <w:t>575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41"/>
        </w:trPr>
        <w:tc>
          <w:tcPr>
            <w:tcW w:w="2105" w:type="dxa"/>
            <w:shd w:val="clear" w:color="auto" w:fill="EDEDED"/>
            <w:vAlign w:val="top"/>
          </w:tcPr>
          <w:p>
            <w:pPr>
              <w:spacing w:before="81" w:line="217" w:lineRule="auto"/>
              <w:ind w:left="65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无烟煤</w:t>
            </w:r>
          </w:p>
        </w:tc>
        <w:tc>
          <w:tcPr>
            <w:tcW w:w="871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499"/>
            </w:pPr>
            <w:r>
              <w:rPr>
                <w:spacing w:val="-2"/>
              </w:rPr>
              <w:t>937</w:t>
            </w:r>
          </w:p>
        </w:tc>
        <w:tc>
          <w:tcPr>
            <w:tcW w:w="972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602"/>
            </w:pPr>
            <w:r>
              <w:rPr>
                <w:spacing w:val="-2"/>
              </w:rPr>
              <w:t>516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676"/>
            </w:pPr>
            <w:r>
              <w:rPr>
                <w:spacing w:val="-2"/>
              </w:rPr>
              <w:t>852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549"/>
            </w:pPr>
            <w:r>
              <w:rPr>
                <w:spacing w:val="-4"/>
              </w:rPr>
              <w:t>1,058</w:t>
            </w:r>
          </w:p>
        </w:tc>
        <w:tc>
          <w:tcPr>
            <w:tcW w:w="1044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556"/>
            </w:pPr>
            <w:r>
              <w:rPr>
                <w:spacing w:val="-6"/>
              </w:rPr>
              <w:t>1,117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549"/>
            </w:pPr>
            <w:r>
              <w:rPr>
                <w:spacing w:val="-4"/>
              </w:rPr>
              <w:t>1,028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670"/>
            </w:pPr>
            <w:r>
              <w:rPr>
                <w:spacing w:val="-2"/>
              </w:rPr>
              <w:t>627</w:t>
            </w:r>
          </w:p>
        </w:tc>
        <w:tc>
          <w:tcPr>
            <w:tcW w:w="1046" w:type="dxa"/>
            <w:shd w:val="clear" w:color="auto" w:fill="EDEDED"/>
            <w:vAlign w:val="top"/>
          </w:tcPr>
          <w:p>
            <w:pPr>
              <w:pStyle w:val="TableText"/>
              <w:spacing w:before="112" w:line="188" w:lineRule="auto"/>
              <w:ind w:left="671"/>
            </w:pPr>
            <w:r>
              <w:rPr>
                <w:spacing w:val="-1"/>
              </w:rPr>
              <w:t>717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40"/>
        </w:trPr>
        <w:tc>
          <w:tcPr>
            <w:tcW w:w="2105" w:type="dxa"/>
            <w:vAlign w:val="top"/>
          </w:tcPr>
          <w:p>
            <w:pPr>
              <w:spacing w:before="79" w:line="217" w:lineRule="auto"/>
              <w:ind w:left="65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动力煤</w:t>
            </w:r>
          </w:p>
        </w:tc>
        <w:tc>
          <w:tcPr>
            <w:tcW w:w="871" w:type="dxa"/>
            <w:vAlign w:val="top"/>
          </w:tcPr>
          <w:p>
            <w:pPr>
              <w:pStyle w:val="TableText"/>
              <w:spacing w:before="112" w:line="188" w:lineRule="auto"/>
              <w:ind w:left="499"/>
            </w:pPr>
            <w:r>
              <w:rPr>
                <w:spacing w:val="-2"/>
              </w:rPr>
              <w:t>337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spacing w:before="112" w:line="188" w:lineRule="auto"/>
              <w:ind w:left="597"/>
            </w:pPr>
            <w:r>
              <w:rPr>
                <w:spacing w:val="-1"/>
              </w:rPr>
              <w:t>255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12" w:line="188" w:lineRule="auto"/>
              <w:ind w:left="669"/>
            </w:pPr>
            <w:r>
              <w:rPr>
                <w:spacing w:val="-1"/>
              </w:rPr>
              <w:t>220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12" w:line="188" w:lineRule="auto"/>
              <w:ind w:left="666"/>
            </w:pPr>
            <w:r>
              <w:rPr>
                <w:spacing w:val="-1"/>
              </w:rPr>
              <w:t>237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12" w:line="188" w:lineRule="auto"/>
              <w:ind w:left="666"/>
            </w:pPr>
            <w:r>
              <w:rPr>
                <w:spacing w:val="-1"/>
              </w:rPr>
              <w:t>240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12" w:line="188" w:lineRule="auto"/>
              <w:ind w:left="666"/>
            </w:pPr>
            <w:r>
              <w:rPr>
                <w:spacing w:val="-1"/>
              </w:rPr>
              <w:t>264</w:t>
            </w:r>
          </w:p>
        </w:tc>
        <w:tc>
          <w:tcPr>
            <w:tcW w:w="1042" w:type="dxa"/>
            <w:vAlign w:val="top"/>
          </w:tcPr>
          <w:p>
            <w:pPr>
              <w:pStyle w:val="TableText"/>
              <w:spacing w:before="112" w:line="188" w:lineRule="auto"/>
              <w:ind w:left="671"/>
            </w:pPr>
            <w:r>
              <w:rPr>
                <w:spacing w:val="-2"/>
              </w:rPr>
              <w:t>549</w:t>
            </w:r>
          </w:p>
        </w:tc>
        <w:tc>
          <w:tcPr>
            <w:tcW w:w="1046" w:type="dxa"/>
            <w:vAlign w:val="top"/>
          </w:tcPr>
          <w:p>
            <w:pPr>
              <w:pStyle w:val="TableText"/>
              <w:spacing w:before="115" w:line="185" w:lineRule="auto"/>
              <w:ind w:left="673"/>
            </w:pPr>
            <w:r>
              <w:rPr>
                <w:spacing w:val="-2"/>
              </w:rPr>
              <w:t>575</w:t>
            </w:r>
          </w:p>
        </w:tc>
      </w:tr>
      <w:tr>
        <w:tblPrEx>
          <w:tblW w:w="10206" w:type="dxa"/>
          <w:tblInd w:w="851" w:type="dxa"/>
          <w:tblLayout w:type="fixed"/>
        </w:tblPrEx>
        <w:trPr>
          <w:trHeight w:val="338"/>
        </w:trPr>
        <w:tc>
          <w:tcPr>
            <w:tcW w:w="2105" w:type="dxa"/>
            <w:shd w:val="clear" w:color="auto" w:fill="EDEDED"/>
            <w:vAlign w:val="top"/>
          </w:tcPr>
          <w:p>
            <w:pPr>
              <w:pStyle w:val="TableText"/>
              <w:spacing w:before="79" w:line="231" w:lineRule="auto"/>
              <w:ind w:left="113"/>
              <w:rPr>
                <w:rFonts w:ascii="KaiTi" w:eastAsia="KaiTi" w:hAnsi="KaiTi" w:cs="KaiTi"/>
              </w:rPr>
            </w:pPr>
            <w:r>
              <w:rPr>
                <w:rFonts w:ascii="KaiTi" w:eastAsia="KaiTi" w:hAnsi="KaiTi" w:cs="KaiTi"/>
                <w:spacing w:val="-1"/>
              </w:rPr>
              <w:t>吨煤销售成本（元</w:t>
            </w:r>
            <w:r>
              <w:rPr>
                <w:spacing w:val="-1"/>
              </w:rPr>
              <w:t>/</w:t>
            </w:r>
            <w:r>
              <w:rPr>
                <w:rFonts w:ascii="KaiTi" w:eastAsia="KaiTi" w:hAnsi="KaiTi" w:cs="KaiTi"/>
                <w:spacing w:val="-1"/>
              </w:rPr>
              <w:t>吨）</w:t>
            </w:r>
          </w:p>
        </w:tc>
        <w:tc>
          <w:tcPr>
            <w:tcW w:w="871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495"/>
            </w:pPr>
            <w:r>
              <w:rPr>
                <w:spacing w:val="-1"/>
              </w:rPr>
              <w:t>270</w:t>
            </w:r>
          </w:p>
        </w:tc>
        <w:tc>
          <w:tcPr>
            <w:tcW w:w="972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597"/>
            </w:pPr>
            <w:r>
              <w:rPr>
                <w:spacing w:val="-1"/>
              </w:rPr>
              <w:t>250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86"/>
            </w:pPr>
            <w:r>
              <w:rPr>
                <w:spacing w:val="-5"/>
              </w:rPr>
              <w:t>163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84"/>
            </w:pPr>
            <w:r>
              <w:rPr>
                <w:spacing w:val="-5"/>
              </w:rPr>
              <w:t>152</w:t>
            </w:r>
          </w:p>
        </w:tc>
        <w:tc>
          <w:tcPr>
            <w:tcW w:w="1044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84"/>
            </w:pPr>
            <w:r>
              <w:rPr>
                <w:spacing w:val="-5"/>
              </w:rPr>
              <w:t>120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84"/>
            </w:pPr>
            <w:r>
              <w:rPr>
                <w:spacing w:val="-5"/>
              </w:rPr>
              <w:t>170</w:t>
            </w:r>
          </w:p>
        </w:tc>
        <w:tc>
          <w:tcPr>
            <w:tcW w:w="1042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84"/>
            </w:pPr>
            <w:r>
              <w:rPr>
                <w:spacing w:val="-5"/>
              </w:rPr>
              <w:t>163</w:t>
            </w:r>
          </w:p>
        </w:tc>
        <w:tc>
          <w:tcPr>
            <w:tcW w:w="1046" w:type="dxa"/>
            <w:shd w:val="clear" w:color="auto" w:fill="EDEDED"/>
            <w:vAlign w:val="top"/>
          </w:tcPr>
          <w:p>
            <w:pPr>
              <w:pStyle w:val="TableText"/>
              <w:spacing w:before="110" w:line="188" w:lineRule="auto"/>
              <w:ind w:left="668"/>
            </w:pPr>
            <w:r>
              <w:rPr>
                <w:spacing w:val="-1"/>
              </w:rPr>
              <w:t>230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96"/>
          <w:footerReference w:type="default" r:id="rId97"/>
          <w:type w:val="continuous"/>
          <w:pgSz w:w="11907" w:h="16839"/>
          <w:pgMar w:top="992" w:right="0" w:bottom="1179" w:left="0" w:header="454" w:footer="10" w:gutter="0"/>
          <w:pgNumType w:start="24"/>
          <w:cols w:num="1" w:space="708" w:equalWidth="0">
            <w:col w:w="11906" w:space="0"/>
          </w:cols>
        </w:sectPr>
      </w:pPr>
    </w:p>
    <w:p>
      <w:pPr>
        <w:spacing w:line="443" w:lineRule="auto"/>
        <w:rPr>
          <w:rFonts w:ascii="Arial"/>
          <w:sz w:val="21"/>
        </w:rPr>
      </w:pPr>
      <w:r>
        <w:pict>
          <v:rect id="_x0000_s1126" style="width:249.45pt;height:1pt;margin-top:512.59pt;margin-left:303.65pt;mso-position-horizontal-relative:page;mso-position-vertical-relative:page;position:absolute;z-index:251720704" o:allowincell="f" filled="t" fillcolor="black" stroked="f"/>
        </w:pict>
      </w:r>
      <w:r>
        <w:pict>
          <v:shape id="_x0000_s1127" style="width:510.35pt;height:1pt;margin-top:138.86pt;margin-left:42.6pt;mso-position-horizontal-relative:page;mso-position-vertical-relative:page;position:absolute;z-index:251716608" coordorigin="0,0" coordsize="10207,20" o:allowincell="f" path="m,19l2105,19l2105,l,l,19xem2105,19l2124,19l2124,l2105,l2105,19xem2124,19l2976,19l2976,l2124,l2124,19xem2976,19l2995,19l2995,l2976,l2976,19xem2995,19l3948,19l3948,l2995,l2995,19xem3949,19l3968,19l3968,l3949,l3949,19xem3968,19l4992,19l4992,l3968,l3968,19xem4992,19l5012,19l5012,l4992,l4992,19xem5012,19l6035,19l6035,l5012,l5012,19xem6034,19l6054,19l6054,l6034,l6034,19xem6054,19l7076,19l7076,l6054,l6054,19xem7076,19l7095,19l7095,l7076,l7076,19xem7095,19l8120,19l8120,l7095,l7095,19xem8120,19l8139,19l8139,l8120,l8120,19xem8139,19l9162,19l9162,l8139,l8139,19xem9162,19l9182,19l9182,l9162,l9162,19xem9182,19l10206,19l10206,l9182,l9182,19xe" filled="t" fillcolor="black" stroked="f"/>
        </w:pict>
      </w:r>
      <w:r>
        <w:pict>
          <v:shape id="_x0000_s1128" style="width:249.3pt;height:1pt;margin-top:340.01pt;margin-left:42.6pt;mso-position-horizontal-relative:page;mso-position-vertical-relative:page;position:absolute;z-index:251719680" coordorigin="0,0" coordsize="4986,20" o:allowincell="f" path="m,19l4985,19l4985,l,l,19xe" filled="t" fillcolor="black" stroked="f"/>
        </w:pict>
      </w:r>
      <w:r>
        <w:pict>
          <v:shape id="_x0000_s1129" style="width:249.3pt;height:1pt;margin-top:512.59pt;margin-left:42.6pt;mso-position-horizontal-relative:page;mso-position-vertical-relative:page;position:absolute;z-index:251718656" coordorigin="0,0" coordsize="4986,20" o:allowincell="f" path="m,19l4985,19l4985,l,l,19xe" filled="t" fillcolor="black" stroked="f"/>
        </w:pict>
      </w:r>
      <w:r>
        <w:pict>
          <v:shape id="_x0000_s1130" style="width:249.45pt;height:1pt;margin-top:340.01pt;margin-left:303.65pt;mso-position-horizontal-relative:page;mso-position-vertical-relative:page;position:absolute;z-index:251717632" coordorigin="0,0" coordsize="4988,20" o:allowincell="f" path="m,19l4988,19l4988,l,l,19xe" filled="t" fillcolor="black" stroked="f"/>
        </w:pict>
      </w:r>
      <w:r>
        <w:pict>
          <v:group id="_x0000_s1131" style="width:206.95pt;height:109.5pt;margin-top:360.05pt;margin-left:329.88pt;mso-position-horizontal-relative:page;mso-position-vertical-relative:page;position:absolute;z-index:251715584" coordorigin="0,0" coordsize="4138,2190" o:allowincell="f" filled="f" stroked="f">
            <v:rect id="_x0000_s1132" style="width:205;height:1233;left:1728;position:absolute;top:916" filled="t" fillcolor="#c00000" stroked="f"/>
            <v:group id="_x0000_s1133" style="width:4138;height:2190;position:absolute" coordorigin="0,0" coordsize="4138,2190" filled="f" stroked="f">
              <v:shape id="_x0000_s1134" style="width:46;height:2155;position:absolute" coordorigin="0,0" coordsize="46,2155" path="m41,2149l41,5m,2149l41,2149m,1880l41,1880m,1614l41,1614m,1345l41,1345m,1076l41,1076m,810l41,810m,541l41,541m,272l41,272m,5l41,5e" filled="f" strokecolor="black" strokeweight="0.5pt"/>
              <v:shape id="_x0000_s1135" style="width:4105;height:48;left:34;position:absolute;top:2141" coordorigin="0,0" coordsize="4105,48" path="m7,7l4097,7m7,7l7,47m517,7l517,47m1029,7l1029,47m1540,7l1540,47m2051,7l2051,47m2562,7l2562,47m3073,7l3073,47m3585,7l3585,47m4097,7l4097,47e" filled="f" strokecolor="black" strokeweight="0.75pt"/>
            </v:group>
          </v:group>
        </w:pict>
      </w: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4312920</wp:posOffset>
            </wp:positionH>
            <wp:positionV relativeFrom="page">
              <wp:posOffset>4663440</wp:posOffset>
            </wp:positionV>
            <wp:extent cx="2403347" cy="1273936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403347" cy="1273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9" w:line="217" w:lineRule="auto"/>
        <w:ind w:left="15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sz w:val="18"/>
          <w:szCs w:val="18"/>
        </w:rPr>
        <w:t>无烟煤</w:t>
      </w:r>
      <w:r>
        <w:rPr>
          <w:sz w:val="18"/>
          <w:szCs w:val="18"/>
        </w:rPr>
        <w:t xml:space="preserve">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8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74                350                 423                  411                 619                  705                  627                 717</w:t>
      </w:r>
    </w:p>
    <w:p>
      <w:pPr>
        <w:pStyle w:val="BodyText"/>
        <w:spacing w:before="48" w:line="1020" w:lineRule="exact"/>
        <w:ind w:firstLine="851"/>
      </w:pPr>
      <w:r>
        <w:rPr>
          <w:position w:val="-20"/>
        </w:rPr>
        <w:pict>
          <v:group id="_x0000_i1136" style="width:510.25pt;height:51.05pt;mso-position-horizontal-relative:char;mso-position-vertical-relative:line" coordorigin="0,0" coordsize="10205,1020" filled="f" stroked="f">
            <v:group id="_x0000_s1137" style="width:10205;height:1020;position:absolute" coordorigin="0,0" coordsize="10205,1020" filled="f" stroked="f">
              <v:shape id="_x0000_s1138" style="width:10205;height:342;position:absolute" coordorigin="0,0" coordsize="10205,342" path="m,341l2105,341l2105,l,l,341xem108,288l1997,288l1997,55l108,55l108,288xem2105,341l2976,341l2976,l2105,l2105,341xem2213,274l2868,274l2868,67l2213,67l2213,274xem2976,341l3948,341l3948,l2976,l2976,341xem3085,274l3841,274l3841,67l3085,67l3085,274xem3949,341l4990,341l4990,l3949,l3949,341xem4057,274l4882,274l4882,67l4057,67l4057,274xem4990,341l6032,341l6032,l4990,l4990,341xem5098,274l5924,274l5924,67l5098,67l5098,274xem6032,341l7076,341l7076,l6032,l6032,341xem6140,274l6966,274l6966,67l6140,67l6140,274xem7076,341l8118,341l8118,l7076,l7076,341xem7182,274l8010,274l8010,67l7182,67l7182,274xem8118,341l9160,341l9160,l8118,l8118,341xem8226,274l9052,274l9052,67l8226,67l8226,274xem9160,341l10204,341l10204,l9160,l9160,341xem9268,274l10096,274l10096,67l9268,67l9268,274xe" filled="t" fillcolor="#ededed" stroked="f"/>
              <v:shape id="_x0000_s1139" style="width:10205;height:340;position:absolute;top:341" coordorigin="0,0" coordsize="10205,340" path="m,340l2105,340l2105,l,l,340xem108,288l1997,288l1997,52l108,52l108,288xem2105,340l2976,340l2976,l2105,l2105,340xem2213,273l2868,273l2868,67l2213,67l2213,273xem2976,340l3948,340l3948,l2976,l2976,340xem3085,273l3841,273l3841,67l3085,67l3085,273xem3949,340l4990,340l4990,l3949,l3949,340xem4057,273l4882,273l4882,67l4057,67l4057,273xem4990,340l6032,340l6032,l4990,l4990,340xem5098,273l5924,273l5924,67l5098,67l5098,273xem6032,340l7076,340l7076,l6032,l6032,340xem6140,273l6966,273l6966,67l6140,67l6140,273xem7076,340l8118,340l8118,l7076,l7076,340xem7182,273l8010,273l8010,67l7182,67l7182,273xem8118,340l9160,340l9160,l8118,l8118,340xem8226,273l9052,273l9052,67l8226,67l8226,273xem9160,340l10204,340l10204,l9160,l9160,340xem9268,273l10096,273l10096,67l9268,67l9268,273xe" filled="t" fillcolor="#ffeccc" stroked="f"/>
              <v:shape id="_x0000_s1140" style="width:10205;height:339;position:absolute;top:682" coordorigin="0,0" coordsize="10205,339" path="m,338l2105,338l2105,l,l,338xem108,285l1997,285l1997,52l108,52l108,285xem2105,338l2976,338l2976,l2105,l2105,338xem2213,273l2868,273l2868,67l2213,67l2213,273xem2976,338l3948,338l3948,l2976,l2976,338xem3085,273l3841,273l3841,67l3085,67l3085,273xem3949,338l4990,338l4990,l3949,l3949,338xem4057,273l4882,273l4882,67l4057,67l4057,273xem4990,338l6032,338l6032,l4990,l4990,338xem5098,273l5924,273l5924,67l5098,67l5098,273xem6032,338l7076,338l7076,l6032,l6032,338xem6140,273l6966,273l6966,67l6140,67l6140,273xem7076,338l8118,338l8118,l7076,l7076,338xem7182,273l8010,273l8010,67l7182,67l7182,273xem8118,338l9160,338l9160,l8118,l8118,338xem8226,273l9052,273l9052,67l8226,67l8226,273xem9160,338l10204,338l10204,l9160,l9160,338xem9268,273l10096,273l10096,67l9268,67l9268,273xe" filled="t" fillcolor="#ffdfcc" stroked="f"/>
            </v:group>
            <v:shape id="_x0000_s1141" type="#_x0000_t202" style="width:10025;height:915;left:93;position:absolute;top:61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4"/>
                      <w:tblW w:w="9984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882"/>
                      <w:gridCol w:w="1069"/>
                      <w:gridCol w:w="1009"/>
                      <w:gridCol w:w="1041"/>
                      <w:gridCol w:w="1041"/>
                      <w:gridCol w:w="1042"/>
                      <w:gridCol w:w="1044"/>
                      <w:gridCol w:w="1043"/>
                      <w:gridCol w:w="813"/>
                    </w:tblGrid>
                    <w:tr>
                      <w:tblPrEx>
                        <w:tblW w:w="9984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259"/>
                      </w:trPr>
                      <w:tc>
                        <w:tcPr>
                          <w:tcW w:w="1882" w:type="dxa"/>
                          <w:vAlign w:val="top"/>
                        </w:tcPr>
                        <w:p>
                          <w:pPr>
                            <w:spacing w:line="217" w:lineRule="auto"/>
                            <w:ind w:left="542"/>
                            <w:rPr>
                              <w:rFonts w:ascii="KaiTi" w:eastAsia="KaiTi" w:hAnsi="KaiTi" w:cs="KaiT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pacing w:val="-2"/>
                              <w:sz w:val="18"/>
                              <w:szCs w:val="18"/>
                            </w:rPr>
                            <w:t>动力煤</w:t>
                          </w:r>
                        </w:p>
                      </w:tc>
                      <w:tc>
                        <w:tcPr>
                          <w:tcW w:w="1069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605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242</w:t>
                          </w:r>
                        </w:p>
                      </w:tc>
                      <w:tc>
                        <w:tcPr>
                          <w:tcW w:w="1009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508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214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638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79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559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5"/>
                              <w:sz w:val="18"/>
                              <w:szCs w:val="18"/>
                            </w:rPr>
                            <w:t>102</w:t>
                          </w:r>
                        </w:p>
                      </w:tc>
                      <w:tc>
                        <w:tcPr>
                          <w:tcW w:w="1042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63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72</w:t>
                          </w:r>
                        </w:p>
                      </w:tc>
                      <w:tc>
                        <w:tcPr>
                          <w:tcW w:w="1044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56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5"/>
                              <w:sz w:val="18"/>
                              <w:szCs w:val="18"/>
                            </w:rPr>
                            <w:t>146</w:t>
                          </w:r>
                        </w:p>
                      </w:tc>
                      <w:tc>
                        <w:tcPr>
                          <w:tcW w:w="1043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ind w:left="56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5"/>
                              <w:sz w:val="18"/>
                              <w:szCs w:val="18"/>
                            </w:rPr>
                            <w:t>157</w:t>
                          </w:r>
                        </w:p>
                      </w:tc>
                      <w:tc>
                        <w:tcPr>
                          <w:tcW w:w="813" w:type="dxa"/>
                          <w:vAlign w:val="top"/>
                        </w:tcPr>
                        <w:p>
                          <w:pPr>
                            <w:spacing w:before="31" w:line="188" w:lineRule="auto"/>
                            <w:jc w:val="right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230</w:t>
                          </w:r>
                        </w:p>
                      </w:tc>
                    </w:tr>
                    <w:tr>
                      <w:tblPrEx>
                        <w:tblW w:w="9984" w:type="dxa"/>
                        <w:tblInd w:w="20" w:type="dxa"/>
                        <w:tblLayout w:type="fixed"/>
                      </w:tblPrEx>
                      <w:trPr>
                        <w:trHeight w:val="346"/>
                      </w:trPr>
                      <w:tc>
                        <w:tcPr>
                          <w:tcW w:w="1882" w:type="dxa"/>
                          <w:vAlign w:val="top"/>
                        </w:tcPr>
                        <w:p>
                          <w:pPr>
                            <w:spacing w:before="79" w:line="231" w:lineRule="auto"/>
                            <w:rPr>
                              <w:rFonts w:ascii="KaiTi" w:eastAsia="KaiTi" w:hAnsi="KaiTi" w:cs="KaiT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z w:val="18"/>
                              <w:szCs w:val="18"/>
                              <w14:textOutline w14:w="326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吨煤毛利润（元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/</w:t>
                          </w:r>
                          <w:r>
                            <w:rPr>
                              <w:rFonts w:ascii="KaiTi" w:eastAsia="KaiTi" w:hAnsi="KaiTi" w:cs="KaiTi"/>
                              <w:sz w:val="18"/>
                              <w:szCs w:val="18"/>
                              <w14:textOutline w14:w="326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吨）</w:t>
                          </w:r>
                        </w:p>
                      </w:tc>
                      <w:tc>
                        <w:tcPr>
                          <w:tcW w:w="1069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69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45</w:t>
                          </w:r>
                        </w:p>
                      </w:tc>
                      <w:tc>
                        <w:tcPr>
                          <w:tcW w:w="1009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60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t>74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556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t>211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54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217</w:t>
                          </w:r>
                        </w:p>
                      </w:tc>
                      <w:tc>
                        <w:tcPr>
                          <w:tcW w:w="1042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55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3"/>
                              <w:sz w:val="18"/>
                              <w:szCs w:val="18"/>
                            </w:rPr>
                            <w:t>197</w:t>
                          </w:r>
                        </w:p>
                      </w:tc>
                      <w:tc>
                        <w:tcPr>
                          <w:tcW w:w="1044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553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3"/>
                              <w:sz w:val="18"/>
                              <w:szCs w:val="18"/>
                            </w:rPr>
                            <w:t>127</w:t>
                          </w:r>
                        </w:p>
                      </w:tc>
                      <w:tc>
                        <w:tcPr>
                          <w:tcW w:w="1043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ind w:left="54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392</w:t>
                          </w:r>
                        </w:p>
                      </w:tc>
                      <w:tc>
                        <w:tcPr>
                          <w:tcW w:w="813" w:type="dxa"/>
                          <w:vAlign w:val="top"/>
                        </w:tcPr>
                        <w:p>
                          <w:pPr>
                            <w:spacing w:before="113" w:line="188" w:lineRule="auto"/>
                            <w:jc w:val="right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345</w:t>
                          </w:r>
                        </w:p>
                      </w:tc>
                    </w:tr>
                    <w:tr>
                      <w:tblPrEx>
                        <w:tblW w:w="9984" w:type="dxa"/>
                        <w:tblInd w:w="20" w:type="dxa"/>
                        <w:tblLayout w:type="fixed"/>
                      </w:tblPrEx>
                      <w:trPr>
                        <w:trHeight w:val="270"/>
                      </w:trPr>
                      <w:tc>
                        <w:tcPr>
                          <w:tcW w:w="1882" w:type="dxa"/>
                          <w:vAlign w:val="top"/>
                        </w:tcPr>
                        <w:p>
                          <w:pPr>
                            <w:spacing w:before="73" w:line="191" w:lineRule="auto"/>
                            <w:rPr>
                              <w:rFonts w:ascii="KaiTi" w:eastAsia="KaiTi" w:hAnsi="KaiTi" w:cs="KaiT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KaiTi" w:eastAsia="KaiTi" w:hAnsi="KaiTi" w:cs="KaiTi"/>
                              <w:sz w:val="18"/>
                              <w:szCs w:val="18"/>
                              <w14:textOutline w14:w="326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吨煤毛利率（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%</w:t>
                          </w:r>
                          <w:r>
                            <w:rPr>
                              <w:rFonts w:ascii="KaiTi" w:eastAsia="KaiTi" w:hAnsi="KaiTi" w:cs="KaiTi"/>
                              <w:sz w:val="18"/>
                              <w:szCs w:val="18"/>
                              <w14:textOutline w14:w="3265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）</w:t>
                          </w:r>
                        </w:p>
                      </w:tc>
                      <w:tc>
                        <w:tcPr>
                          <w:tcW w:w="1069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99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2"/>
                              <w:sz w:val="18"/>
                              <w:szCs w:val="18"/>
                            </w:rPr>
                            <w:t>14.26%</w:t>
                          </w:r>
                        </w:p>
                      </w:tc>
                      <w:tc>
                        <w:tcPr>
                          <w:tcW w:w="1009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195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22.89%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3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56.49%</w:t>
                          </w:r>
                        </w:p>
                      </w:tc>
                      <w:tc>
                        <w:tcPr>
                          <w:tcW w:w="1041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3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58.83%</w:t>
                          </w:r>
                        </w:p>
                      </w:tc>
                      <w:tc>
                        <w:tcPr>
                          <w:tcW w:w="1042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3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62.10%</w:t>
                          </w:r>
                        </w:p>
                      </w:tc>
                      <w:tc>
                        <w:tcPr>
                          <w:tcW w:w="1044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3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42.74%</w:t>
                          </w:r>
                        </w:p>
                      </w:tc>
                      <w:tc>
                        <w:tcPr>
                          <w:tcW w:w="1043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ind w:left="23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70.67%</w:t>
                          </w:r>
                        </w:p>
                      </w:tc>
                      <w:tc>
                        <w:tcPr>
                          <w:tcW w:w="813" w:type="dxa"/>
                          <w:vAlign w:val="top"/>
                        </w:tcPr>
                        <w:p>
                          <w:pPr>
                            <w:spacing w:before="107" w:line="177" w:lineRule="auto"/>
                            <w:jc w:val="right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pacing w:val="-1"/>
                              <w:sz w:val="18"/>
                              <w:szCs w:val="18"/>
                            </w:rPr>
                            <w:t>59.95%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81" w:line="221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pStyle w:val="BodyText"/>
        <w:spacing w:before="271" w:line="329" w:lineRule="auto"/>
        <w:ind w:left="3127" w:right="842" w:firstLine="417"/>
        <w:jc w:val="both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公司煤炭业务成本控制处于行业领先水平。</w:t>
      </w:r>
      <w:r>
        <w:rPr>
          <w:spacing w:val="-1"/>
          <w:sz w:val="21"/>
          <w:szCs w:val="21"/>
        </w:rPr>
        <w:t>公司整体吨煤销售</w:t>
      </w:r>
      <w:r>
        <w:rPr>
          <w:spacing w:val="-2"/>
          <w:sz w:val="21"/>
          <w:szCs w:val="21"/>
        </w:rPr>
        <w:t>成本低于行业平均水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平，虽然</w:t>
      </w:r>
      <w:r>
        <w:rPr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2022</w:t>
      </w:r>
      <w:r>
        <w:rPr>
          <w:rFonts w:ascii="Times New Roman" w:eastAsia="Times New Roman" w:hAnsi="Times New Roman" w:cs="Times New Roman"/>
          <w:spacing w:val="4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年受原材料、电力等价格上涨因素影响，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吨煤销售成本有所回升，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但与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大有能源、中煤能源、晋控煤业等同行业中其他公司相比，公司仍有</w:t>
      </w:r>
      <w:r>
        <w:rPr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50-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144</w:t>
      </w:r>
      <w:r>
        <w:rPr>
          <w:rFonts w:ascii="Times New Roman" w:eastAsia="Times New Roman" w:hAnsi="Times New Roman" w:cs="Times New Roman"/>
          <w:spacing w:val="2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元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/</w:t>
      </w:r>
      <w:r>
        <w:rPr>
          <w:spacing w:val="-1"/>
          <w:sz w:val="21"/>
          <w:szCs w:val="21"/>
        </w:rPr>
        <w:t>吨</w:t>
      </w:r>
      <w:r>
        <w:rPr>
          <w:spacing w:val="-2"/>
          <w:sz w:val="21"/>
          <w:szCs w:val="21"/>
        </w:rPr>
        <w:t>的成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本优势，并且未来随着新建的红一、红二煤矿满产摊薄成本</w:t>
      </w:r>
      <w:r>
        <w:rPr>
          <w:spacing w:val="-2"/>
          <w:sz w:val="21"/>
          <w:szCs w:val="21"/>
        </w:rPr>
        <w:t>，公司煤炭业务低成本优势</w:t>
      </w:r>
    </w:p>
    <w:p>
      <w:pPr>
        <w:pStyle w:val="BodyText"/>
        <w:spacing w:line="218" w:lineRule="auto"/>
        <w:ind w:left="3122"/>
        <w:rPr>
          <w:sz w:val="21"/>
          <w:szCs w:val="21"/>
        </w:rPr>
      </w:pPr>
      <w:r>
        <w:rPr>
          <w:sz w:val="21"/>
          <w:szCs w:val="21"/>
        </w:rPr>
        <w:t>有望进一步凸显。</w:t>
      </w:r>
    </w:p>
    <w:p>
      <w:pPr>
        <w:pStyle w:val="BodyText"/>
        <w:spacing w:before="282" w:line="329" w:lineRule="auto"/>
        <w:ind w:left="3137" w:right="844" w:firstLine="423"/>
        <w:jc w:val="both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红墩子煤矿生产炼焦煤，</w:t>
      </w:r>
      <w:r>
        <w:rPr>
          <w:spacing w:val="-22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高溢价贡献利润增量。</w:t>
      </w:r>
      <w:r>
        <w:rPr>
          <w:spacing w:val="-4"/>
          <w:sz w:val="21"/>
          <w:szCs w:val="21"/>
        </w:rPr>
        <w:t>宁夏红墩子一号、二号矿井均为炼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焦煤矿，随着开采的持续推进，将逐步由表层动力煤煤转变为炼焦煤煤层，煤质提升带</w:t>
      </w:r>
    </w:p>
    <w:p>
      <w:pPr>
        <w:pStyle w:val="BodyText"/>
        <w:spacing w:before="1" w:line="227" w:lineRule="auto"/>
        <w:ind w:left="3131"/>
        <w:rPr>
          <w:sz w:val="21"/>
          <w:szCs w:val="21"/>
        </w:rPr>
      </w:pPr>
      <w:r>
        <w:rPr>
          <w:spacing w:val="-3"/>
          <w:sz w:val="21"/>
          <w:szCs w:val="21"/>
        </w:rPr>
        <w:t>来的高溢价有望在未来释放利润增量，截至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2023 </w:t>
      </w:r>
      <w:r>
        <w:rPr>
          <w:spacing w:val="-3"/>
          <w:sz w:val="21"/>
          <w:szCs w:val="21"/>
        </w:rPr>
        <w:t>年，</w:t>
      </w:r>
      <w:r>
        <w:rPr>
          <w:spacing w:val="-3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公司吨煤毛利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261.6 </w:t>
      </w:r>
      <w:r>
        <w:rPr>
          <w:spacing w:val="-3"/>
          <w:sz w:val="21"/>
          <w:szCs w:val="21"/>
        </w:rPr>
        <w:t>元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/</w:t>
      </w:r>
      <w:r>
        <w:rPr>
          <w:spacing w:val="-3"/>
          <w:sz w:val="21"/>
          <w:szCs w:val="21"/>
        </w:rPr>
        <w:t>吨。</w:t>
      </w:r>
    </w:p>
    <w:p>
      <w:pPr>
        <w:spacing w:line="78" w:lineRule="exact"/>
      </w:pPr>
    </w:p>
    <w:p>
      <w:pPr>
        <w:spacing w:line="78" w:lineRule="exact"/>
        <w:sectPr>
          <w:headerReference w:type="default" r:id="rId99"/>
          <w:footerReference w:type="default" r:id="rId100"/>
          <w:pgSz w:w="11907" w:h="16839"/>
          <w:pgMar w:top="992" w:right="0" w:bottom="1179" w:left="0" w:header="454" w:footer="10" w:gutter="0"/>
          <w:pgNumType w:start="25"/>
          <w:cols w:num="1" w:space="708" w:equalWidth="0">
            <w:col w:w="11906" w:space="0"/>
          </w:cols>
        </w:sectPr>
      </w:pPr>
    </w:p>
    <w:p>
      <w:pPr>
        <w:pStyle w:val="BodyText"/>
        <w:spacing w:before="43" w:line="241" w:lineRule="auto"/>
        <w:ind w:left="988"/>
        <w:rPr>
          <w:sz w:val="19"/>
          <w:szCs w:val="19"/>
        </w:rPr>
      </w:pPr>
      <w:bookmarkStart w:id="17" w:name="bookmark22"/>
      <w:bookmarkEnd w:id="17"/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12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 xml:space="preserve">2015-2022 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年行业吨煤销售成本对比（元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/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吨）</w:t>
      </w:r>
    </w:p>
    <w:p>
      <w:pPr>
        <w:spacing w:line="212" w:lineRule="exact"/>
      </w:pPr>
    </w:p>
    <w:tbl>
      <w:tblPr>
        <w:tblStyle w:val="TableNormal4"/>
        <w:tblW w:w="4525" w:type="dxa"/>
        <w:tblInd w:w="109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6"/>
        <w:gridCol w:w="4279"/>
      </w:tblGrid>
      <w:tr>
        <w:tblPrEx>
          <w:tblW w:w="4525" w:type="dxa"/>
          <w:tblInd w:w="109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91"/>
        </w:trPr>
        <w:tc>
          <w:tcPr>
            <w:tcW w:w="246" w:type="dxa"/>
            <w:vAlign w:val="top"/>
          </w:tcPr>
          <w:p>
            <w:pPr>
              <w:pStyle w:val="TableText"/>
              <w:spacing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400</w:t>
            </w:r>
          </w:p>
          <w:p>
            <w:pPr>
              <w:pStyle w:val="TableText"/>
              <w:spacing w:before="147" w:line="196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350</w:t>
            </w:r>
          </w:p>
          <w:p>
            <w:pPr>
              <w:pStyle w:val="TableText"/>
              <w:spacing w:before="146" w:line="196" w:lineRule="auto"/>
              <w:ind w:left="3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300</w:t>
            </w:r>
          </w:p>
          <w:p>
            <w:pPr>
              <w:pStyle w:val="TableText"/>
              <w:spacing w:before="147"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250</w:t>
            </w:r>
          </w:p>
          <w:p>
            <w:pPr>
              <w:pStyle w:val="TableText"/>
              <w:spacing w:before="147" w:line="196" w:lineRule="auto"/>
              <w:rPr>
                <w:sz w:val="13"/>
                <w:szCs w:val="13"/>
              </w:rPr>
            </w:pPr>
            <w:r>
              <w:rPr>
                <w:spacing w:val="3"/>
                <w:sz w:val="13"/>
                <w:szCs w:val="13"/>
              </w:rPr>
              <w:t>200</w:t>
            </w:r>
          </w:p>
          <w:p>
            <w:pPr>
              <w:pStyle w:val="TableText"/>
              <w:spacing w:before="146" w:line="196" w:lineRule="auto"/>
              <w:ind w:left="1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150</w:t>
            </w:r>
          </w:p>
          <w:p>
            <w:pPr>
              <w:pStyle w:val="TableText"/>
              <w:spacing w:before="147" w:line="196" w:lineRule="auto"/>
              <w:ind w:left="1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100</w:t>
            </w:r>
          </w:p>
          <w:p>
            <w:pPr>
              <w:pStyle w:val="TableText"/>
              <w:spacing w:before="146" w:line="197" w:lineRule="auto"/>
              <w:ind w:left="74"/>
              <w:rPr>
                <w:sz w:val="13"/>
                <w:szCs w:val="13"/>
              </w:rPr>
            </w:pPr>
            <w:r>
              <w:rPr>
                <w:spacing w:val="1"/>
                <w:sz w:val="13"/>
                <w:szCs w:val="13"/>
              </w:rPr>
              <w:t>50</w:t>
            </w:r>
          </w:p>
          <w:p>
            <w:pPr>
              <w:pStyle w:val="TableText"/>
              <w:spacing w:before="147" w:line="196" w:lineRule="auto"/>
              <w:ind w:left="142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279" w:type="dxa"/>
            <w:vAlign w:val="top"/>
          </w:tcPr>
          <w:p>
            <w:pPr>
              <w:spacing w:before="44" w:line="2199" w:lineRule="exact"/>
              <w:ind w:firstLine="39"/>
            </w:pPr>
            <w:r>
              <w:rPr>
                <w:position w:val="-43"/>
              </w:rPr>
              <w:pict>
                <v:group id="_x0000_i1142" style="width:212pt;height:110pt;mso-position-horizontal-relative:char;mso-position-vertical-relative:line" coordorigin="0,0" coordsize="4240,2200" filled="f" stroked="f">
                  <v:shape id="_x0000_s1143" style="width:46;height:2163;position:absolute" coordorigin="0,0" coordsize="46,2163" path="m41,2157l41,5m,2157l41,2157m,1888l41,1888m,1619l41,1619m,1350l41,1350m,1082l41,1082m,813l41,813m,544l41,544m,273l41,273m,5l41,5e" filled="f" strokecolor="black" strokeweight="0.5pt"/>
                  <v:shape id="_x0000_s1144" style="width:4206;height:50;left:34;position:absolute;top:2150" coordorigin="0,0" coordsize="4206,50" path="m7,7l4198,7m7,7l7,49m530,7l530,49m1054,7l1054,49m1579,7l1579,49m2102,7l2102,49m2626,7l2626,49m3151,7l3151,49m3674,7l3674,49m4198,7l4198,49e" filled="f" strokecolor="black" strokeweight="0.75pt"/>
                  <v:shape id="_x0000_s1145" style="width:3707;height:955;left:283;position:absolute;top:836" coordorigin="0,0" coordsize="3707,955" path="m20,20l543,171l1068,898l1591,771l2115,934l2638,536l3163,476l3686,82e" filled="f" strokecolor="#c00000" strokeweight="2pt">
                    <v:stroke endcap="round"/>
                  </v:shape>
                  <v:shape id="_x0000_s1146" style="width:3707;height:535;left:283;position:absolute;top:1085" coordorigin="0,0" coordsize="3707,535" path="m20,491l543,426l1068,340l1591,514l2115,453l2638,268l3163,97l3686,20e" filled="f" strokecolor="#bf8f00" strokeweight="2pt">
                    <v:stroke endcap="round"/>
                  </v:shape>
                  <v:shape id="_x0000_s1147" style="width:3707;height:736;left:283;position:absolute;top:855" coordorigin="0,0" coordsize="3707,736" path="m20,478l543,716l1068,661l1591,603l2115,594l2638,433l3163,94l3686,20e" filled="f" strokecolor="#948b54" strokeweight="2pt">
                    <v:stroke endcap="round"/>
                  </v:shape>
                  <v:shape id="_x0000_s1148" style="width:3707;height:870;left:283;position:absolute;top:629" coordorigin="0,0" coordsize="3707,870" path="m20,517l543,553l1068,479l1591,613l2115,849l2638,640l3163,145l3686,20e" filled="f" strokecolor="#c5be97" strokeweight="2pt">
                    <v:stroke endcap="round"/>
                  </v:shape>
                  <v:shape id="_x0000_s1149" style="width:3707;height:918;left:283;position:absolute;top:388" coordorigin="0,0" coordsize="3707,918" path="m20,876l543,897l1068,559l1591,595l2115,573l2638,701l3163,20l3686,31e" filled="f" strokecolor="#00477d" strokeweight="2pt">
                    <v:stroke endcap="round"/>
                  </v:shape>
                  <v:shape id="_x0000_s1150" style="width:3707;height:750;left:283;position:absolute;top:122" coordorigin="0,0" coordsize="3707,750" path="m20,544l543,625l1068,716l1591,726l2115,697l2638,618l3163,729l3686,20e" filled="f" strokecolor="#b59b00" strokeweight="2pt">
                    <v:stroke endcap="round"/>
                  </v:shape>
                  <w10:wrap type="none"/>
                </v:group>
              </w:pict>
            </w:r>
          </w:p>
          <w:p>
            <w:pPr>
              <w:pStyle w:val="TableText"/>
              <w:spacing w:before="73" w:line="196" w:lineRule="auto"/>
              <w:ind w:left="205"/>
              <w:rPr>
                <w:sz w:val="13"/>
                <w:szCs w:val="13"/>
              </w:rPr>
            </w:pPr>
            <w:r>
              <w:rPr>
                <w:spacing w:val="4"/>
                <w:sz w:val="13"/>
                <w:szCs w:val="13"/>
              </w:rPr>
              <w:t xml:space="preserve">2015       2016       2017  </w:t>
            </w:r>
            <w:r>
              <w:rPr>
                <w:spacing w:val="3"/>
                <w:sz w:val="13"/>
                <w:szCs w:val="13"/>
              </w:rPr>
              <w:t xml:space="preserve">     2018       2019       2020       2021       2022</w:t>
            </w:r>
          </w:p>
          <w:p>
            <w:pPr>
              <w:spacing w:before="138" w:line="286" w:lineRule="auto"/>
              <w:ind w:left="539" w:right="656"/>
              <w:rPr>
                <w:rFonts w:ascii="KaiTi" w:eastAsia="KaiTi" w:hAnsi="KaiTi" w:cs="KaiTi"/>
                <w:sz w:val="13"/>
                <w:szCs w:val="13"/>
              </w:rPr>
            </w:pPr>
            <w:r>
              <w:rPr>
                <w:rFonts w:ascii="KaiTi" w:eastAsia="KaiTi" w:hAnsi="KaiTi" w:cs="KaiTi"/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9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昊华能源</w:t>
            </w:r>
            <w:r>
              <w:rPr>
                <w:rFonts w:ascii="KaiTi" w:eastAsia="KaiTi" w:hAnsi="KaiTi" w:cs="KaiTi"/>
                <w:spacing w:val="-27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4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山煤国际</w:t>
            </w:r>
            <w:r>
              <w:rPr>
                <w:rFonts w:ascii="KaiTi" w:eastAsia="KaiTi" w:hAnsi="KaiTi" w:cs="KaiTi"/>
                <w:spacing w:val="-27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8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3"/>
                <w:szCs w:val="13"/>
              </w:rPr>
              <w:t>陕西煤业</w:t>
            </w:r>
            <w:r>
              <w:rPr>
                <w:rFonts w:ascii="KaiTi" w:eastAsia="KaiTi" w:hAnsi="KaiTi" w:cs="KaiTi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41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晋控煤业</w:t>
            </w:r>
            <w:r>
              <w:rPr>
                <w:rFonts w:ascii="KaiTi" w:eastAsia="KaiTi" w:hAnsi="KaiTi" w:cs="KaiTi"/>
                <w:spacing w:val="-26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4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中煤能源</w:t>
            </w:r>
            <w:r>
              <w:rPr>
                <w:rFonts w:ascii="KaiTi" w:eastAsia="KaiTi" w:hAnsi="KaiTi" w:cs="KaiTi"/>
                <w:spacing w:val="-27"/>
                <w:sz w:val="13"/>
                <w:szCs w:val="13"/>
              </w:rPr>
              <w:t xml:space="preserve"> </w:t>
            </w:r>
            <w:r>
              <w:rPr>
                <w:position w:val="2"/>
                <w:sz w:val="13"/>
                <w:szCs w:val="13"/>
              </w:rPr>
              <w:drawing>
                <wp:inline distT="0" distB="0" distL="0" distR="0">
                  <wp:extent cx="269239" cy="24764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39" cy="24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spacing w:val="-29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6"/>
                <w:sz w:val="13"/>
                <w:szCs w:val="13"/>
              </w:rPr>
              <w:t>大有能源</w:t>
            </w:r>
          </w:p>
        </w:tc>
      </w:tr>
    </w:tbl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62" w:line="194" w:lineRule="auto"/>
        <w:ind w:left="963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41" w:lineRule="auto"/>
        <w:ind w:left="136"/>
        <w:rPr>
          <w:sz w:val="19"/>
          <w:szCs w:val="19"/>
        </w:rPr>
      </w:pPr>
      <w:bookmarkStart w:id="18" w:name="bookmark23"/>
      <w:bookmarkEnd w:id="18"/>
      <w:r>
        <w:rPr>
          <w:color w:val="17365D"/>
          <w:spacing w:val="8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7365D"/>
          <w:spacing w:val="8"/>
          <w:sz w:val="19"/>
          <w:szCs w:val="19"/>
        </w:rPr>
        <w:t>13</w:t>
      </w:r>
      <w:r>
        <w:rPr>
          <w:color w:val="17365D"/>
          <w:spacing w:val="8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7365D"/>
          <w:spacing w:val="8"/>
          <w:sz w:val="19"/>
          <w:szCs w:val="19"/>
        </w:rPr>
        <w:t xml:space="preserve">2022 </w:t>
      </w:r>
      <w:r>
        <w:rPr>
          <w:color w:val="17365D"/>
          <w:spacing w:val="8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年煤炭行业吨煤销售成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本对比（元</w:t>
      </w:r>
      <w:r>
        <w:rPr>
          <w:rFonts w:ascii="Times New Roman" w:eastAsia="Times New Roman" w:hAnsi="Times New Roman" w:cs="Times New Roman"/>
          <w:b/>
          <w:bCs/>
          <w:color w:val="17365D"/>
          <w:spacing w:val="7"/>
          <w:sz w:val="19"/>
          <w:szCs w:val="19"/>
        </w:rPr>
        <w:t>/</w:t>
      </w:r>
      <w:r>
        <w:rPr>
          <w:color w:val="17365D"/>
          <w:spacing w:val="7"/>
          <w:sz w:val="19"/>
          <w:szCs w:val="19"/>
          <w14:textOutline w14:w="3614">
            <w14:solidFill>
              <w14:srgbClr w14:val="17365D"/>
            </w14:solidFill>
            <w14:prstDash w14:val="solid"/>
            <w14:miter w14:lim="10"/>
          </w14:textOutline>
        </w:rPr>
        <w:t>吨）</w:t>
      </w:r>
    </w:p>
    <w:p>
      <w:pPr>
        <w:spacing w:line="355" w:lineRule="auto"/>
        <w:rPr>
          <w:rFonts w:ascii="Arial"/>
          <w:sz w:val="21"/>
        </w:rPr>
      </w:pPr>
    </w:p>
    <w:p>
      <w:pPr>
        <w:spacing w:before="38" w:line="196" w:lineRule="auto"/>
        <w:ind w:left="24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400</w:t>
      </w:r>
    </w:p>
    <w:p>
      <w:pPr>
        <w:spacing w:before="146" w:line="196" w:lineRule="auto"/>
        <w:ind w:left="24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350</w:t>
      </w:r>
    </w:p>
    <w:p>
      <w:pPr>
        <w:spacing w:before="146" w:line="196" w:lineRule="auto"/>
        <w:ind w:left="24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2"/>
          <w:sz w:val="13"/>
          <w:szCs w:val="13"/>
        </w:rPr>
        <w:t>300</w:t>
      </w:r>
    </w:p>
    <w:p>
      <w:pPr>
        <w:spacing w:before="145" w:line="197" w:lineRule="auto"/>
        <w:ind w:left="24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250</w:t>
      </w:r>
    </w:p>
    <w:p>
      <w:pPr>
        <w:spacing w:before="146" w:line="196" w:lineRule="auto"/>
        <w:ind w:left="240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3"/>
          <w:sz w:val="13"/>
          <w:szCs w:val="13"/>
        </w:rPr>
        <w:t>200</w:t>
      </w:r>
    </w:p>
    <w:p>
      <w:pPr>
        <w:spacing w:before="146" w:line="196" w:lineRule="auto"/>
        <w:ind w:left="25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150</w:t>
      </w:r>
    </w:p>
    <w:p>
      <w:pPr>
        <w:spacing w:before="146" w:line="196" w:lineRule="auto"/>
        <w:ind w:left="25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>100</w:t>
      </w:r>
    </w:p>
    <w:p>
      <w:pPr>
        <w:spacing w:before="146" w:line="196" w:lineRule="auto"/>
        <w:ind w:left="314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1"/>
          <w:sz w:val="13"/>
          <w:szCs w:val="13"/>
        </w:rPr>
        <w:t>50</w:t>
      </w:r>
    </w:p>
    <w:p>
      <w:pPr>
        <w:spacing w:before="146" w:line="196" w:lineRule="auto"/>
        <w:ind w:left="38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z w:val="13"/>
          <w:szCs w:val="13"/>
        </w:rPr>
        <w:t>0</w:t>
      </w:r>
    </w:p>
    <w:p>
      <w:pPr>
        <w:spacing w:before="57" w:line="444" w:lineRule="exact"/>
        <w:ind w:firstLine="419"/>
      </w:pPr>
      <w:r>
        <w:rPr>
          <w:position w:val="-8"/>
        </w:rPr>
        <w:drawing>
          <wp:inline distT="0" distB="0" distL="0" distR="0">
            <wp:extent cx="2537841" cy="281685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537841" cy="28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62" w:line="194" w:lineRule="auto"/>
        <w:ind w:left="111"/>
        <w:rPr>
          <w:sz w:val="19"/>
          <w:szCs w:val="19"/>
        </w:rPr>
      </w:pPr>
      <w:r>
        <w:rPr>
          <w:spacing w:val="-1"/>
          <w:sz w:val="19"/>
          <w:szCs w:val="19"/>
        </w:rPr>
        <w:t>数据来源：公司公告，</w:t>
      </w:r>
      <w:r>
        <w:rPr>
          <w:spacing w:val="8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东吴证券研究所</w:t>
      </w:r>
    </w:p>
    <w:p>
      <w:pPr>
        <w:spacing w:line="194" w:lineRule="auto"/>
        <w:rPr>
          <w:sz w:val="19"/>
          <w:szCs w:val="19"/>
        </w:rPr>
        <w:sectPr>
          <w:headerReference w:type="default" r:id="rId108"/>
          <w:footerReference w:type="default" r:id="rId109"/>
          <w:type w:val="continuous"/>
          <w:pgSz w:w="11907" w:h="16839"/>
          <w:pgMar w:top="992" w:right="0" w:bottom="1179" w:left="0" w:header="454" w:footer="10" w:gutter="0"/>
          <w:pgNumType w:start="26"/>
          <w:cols w:num="2" w:space="708" w:equalWidth="0">
            <w:col w:w="5973" w:space="100"/>
            <w:col w:w="5833" w:space="0"/>
          </w:cols>
        </w:sectPr>
      </w:pPr>
    </w:p>
    <w:p>
      <w:pPr>
        <w:pStyle w:val="BodyText"/>
        <w:spacing w:before="240" w:line="675" w:lineRule="exact"/>
        <w:ind w:left="3016"/>
        <w:rPr>
          <w:sz w:val="28"/>
          <w:szCs w:val="28"/>
        </w:rPr>
      </w:pPr>
      <w:bookmarkStart w:id="19" w:name="bookmark5"/>
      <w:bookmarkEnd w:id="19"/>
      <w:bookmarkStart w:id="20" w:name="bookmark6"/>
      <w:bookmarkEnd w:id="20"/>
      <w:r>
        <w:rPr>
          <w:rFonts w:ascii="Times New Roman" w:eastAsia="Times New Roman" w:hAnsi="Times New Roman" w:cs="Times New Roman"/>
          <w:b/>
          <w:bCs/>
          <w:color w:val="17365D"/>
          <w:spacing w:val="-6"/>
          <w:position w:val="31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b/>
          <w:bCs/>
          <w:color w:val="17365D"/>
          <w:spacing w:val="15"/>
          <w:position w:val="31"/>
          <w:sz w:val="28"/>
          <w:szCs w:val="28"/>
        </w:rPr>
        <w:t xml:space="preserve">    </w:t>
      </w:r>
      <w:r>
        <w:rPr>
          <w:color w:val="17365D"/>
          <w:spacing w:val="-6"/>
          <w:position w:val="31"/>
          <w:sz w:val="28"/>
          <w:szCs w:val="28"/>
          <w14:textOutline w14:w="5094">
            <w14:solidFill>
              <w14:srgbClr w14:val="17365D"/>
            </w14:solidFill>
            <w14:prstDash w14:val="solid"/>
            <w14:miter w14:lim="10"/>
          </w14:textOutline>
        </w:rPr>
        <w:t>“煤化运”一体运营，产业链优势显著</w:t>
      </w:r>
    </w:p>
    <w:p>
      <w:pPr>
        <w:pStyle w:val="BodyText"/>
        <w:spacing w:before="1" w:line="212" w:lineRule="auto"/>
        <w:ind w:left="301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7365D"/>
          <w:spacing w:val="-4"/>
          <w:sz w:val="24"/>
          <w:szCs w:val="24"/>
        </w:rPr>
        <w:t xml:space="preserve">3.1.   </w:t>
      </w:r>
      <w:r>
        <w:rPr>
          <w:color w:val="17365D"/>
          <w:spacing w:val="-4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煤化工：行业景气触底，</w:t>
      </w:r>
      <w:r>
        <w:rPr>
          <w:color w:val="17365D"/>
          <w:spacing w:val="-4"/>
          <w:sz w:val="24"/>
          <w:szCs w:val="24"/>
        </w:rPr>
        <w:t xml:space="preserve"> </w:t>
      </w:r>
      <w:r>
        <w:rPr>
          <w:color w:val="17365D"/>
          <w:spacing w:val="-4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盈利有</w:t>
      </w:r>
      <w:r>
        <w:rPr>
          <w:color w:val="17365D"/>
          <w:spacing w:val="-5"/>
          <w:sz w:val="24"/>
          <w:szCs w:val="24"/>
          <w14:textOutline w14:w="4354">
            <w14:solidFill>
              <w14:srgbClr w14:val="17365D"/>
            </w14:solidFill>
            <w14:prstDash w14:val="solid"/>
            <w14:miter w14:lim="10"/>
          </w14:textOutline>
        </w:rPr>
        <w:t>望改善</w:t>
      </w:r>
    </w:p>
    <w:p>
      <w:pPr>
        <w:pStyle w:val="BodyText"/>
        <w:spacing w:before="270" w:line="329" w:lineRule="auto"/>
        <w:ind w:left="3123" w:right="844" w:firstLine="427"/>
        <w:jc w:val="both"/>
        <w:rPr>
          <w:sz w:val="21"/>
          <w:szCs w:val="21"/>
        </w:rPr>
      </w:pP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产业链向下延伸，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miter w14:lim="10"/>
          </w14:textOutline>
        </w:rPr>
        <w:t>拓展煤化工业务。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2016 </w:t>
      </w:r>
      <w:r>
        <w:rPr>
          <w:spacing w:val="-6"/>
          <w:sz w:val="21"/>
          <w:szCs w:val="21"/>
        </w:rPr>
        <w:t>年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月，随着子公司鄂尔多斯市国泰化工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40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万吨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/</w:t>
      </w:r>
      <w:r>
        <w:rPr>
          <w:spacing w:val="-2"/>
          <w:sz w:val="21"/>
          <w:szCs w:val="21"/>
        </w:rPr>
        <w:t>年甲醇项目的投产，公司主营业务中增加了化工业务，到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2017 </w:t>
      </w:r>
      <w:r>
        <w:rPr>
          <w:spacing w:val="-2"/>
          <w:sz w:val="21"/>
          <w:szCs w:val="21"/>
        </w:rPr>
        <w:t>年已经达到满产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状态。经过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2017 </w:t>
      </w:r>
      <w:r>
        <w:rPr>
          <w:spacing w:val="-2"/>
          <w:sz w:val="21"/>
          <w:szCs w:val="21"/>
        </w:rPr>
        <w:t>年子公司股权合并，</w:t>
      </w:r>
      <w:r>
        <w:rPr>
          <w:spacing w:val="-3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公司当前持有鄂尔多斯市昊华国泰化工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96.67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%</w:t>
      </w:r>
      <w:r>
        <w:rPr>
          <w:spacing w:val="-3"/>
          <w:sz w:val="21"/>
          <w:szCs w:val="21"/>
        </w:rPr>
        <w:t>股</w:t>
      </w: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https://d.book118.com/407051066013006045</w:t>
        </w:r>
      </w:hyperlink>
    </w:p>
    <w:p>
      <w:pPr>
        <w:pStyle w:val="BodyText"/>
        <w:spacing w:before="270" w:line="329" w:lineRule="auto"/>
        <w:ind w:left="3123" w:right="844" w:firstLine="427"/>
        <w:jc w:val="both"/>
        <w:rPr>
          <w:sz w:val="21"/>
          <w:szCs w:val="21"/>
        </w:rPr>
      </w:pPr>
    </w:p>
    <w:sectPr>
      <w:headerReference w:type="default" r:id="rId111"/>
      <w:footerReference w:type="default" r:id="rId112"/>
      <w:type w:val="continuous"/>
      <w:pgSz w:w="11907" w:h="16839"/>
      <w:pgMar w:top="992" w:right="0" w:bottom="1179" w:left="0" w:header="454" w:footer="10" w:gutter="0"/>
      <w:pgNumType w:start="27"/>
      <w:cols w:num="1" w:space="708" w:equalWidth="0">
        <w:col w:w="119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3" w:line="231" w:lineRule="auto"/>
      <w:ind w:left="10489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10387328</wp:posOffset>
              </wp:positionV>
              <wp:extent cx="7559675" cy="29845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7328"/>
                        <a:ext cx="7559675" cy="298450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5.25pt;height:23.5pt;margin-top:817.9pt;margin-left:0;mso-position-horizontal-relative:page;mso-position-vertical-relative:page;mso-wrap-distance-bottom:0;mso-wrap-distance-left:0;mso-wrap-distance-right:0;mso-wrap-distance-top:0;position:absolute;v-text-anchor:top;z-index:-25165824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4.45pt;height:16.15pt;margin-top:799.39pt;margin-left:461.79pt;mso-position-horizontal-relative:page;mso-position-vertical-relative:page;position:absolute;z-index:25166028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1</w:t>
    </w:r>
    <w:r>
      <w:rPr>
        <w:rFonts w:ascii="Times New Roman" w:eastAsia="Times New Roman" w:hAnsi="Times New Roman" w:cs="Times New Roman"/>
        <w:b/>
        <w:bCs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18</w:t>
    </w:r>
  </w:p>
  <w:p>
    <w:pPr>
      <w:pStyle w:val="BodyText"/>
      <w:spacing w:line="437" w:lineRule="exact"/>
      <w:ind w:firstLine="8"/>
    </w:pPr>
    <w:r>
      <w:rPr>
        <w:position w:val="-8"/>
      </w:rPr>
      <w:pict>
        <v:shape id="_x0000_i2051" type="#_x0000_t202" style="width:204.15pt;height:21.9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334" w:lineRule="auto"/>
      <w:rPr>
        <w:rFonts w:ascii="Arial"/>
        <w:sz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53" w:line="231" w:lineRule="auto"/>
      <w:ind w:left="10489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10387328</wp:posOffset>
              </wp:positionV>
              <wp:extent cx="7559675" cy="298450"/>
              <wp:effectExtent l="0" t="0" r="0" b="0"/>
              <wp:wrapNone/>
              <wp:docPr id="1826574360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7328"/>
                        <a:ext cx="7559675" cy="298450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2" style="width:595.25pt;height:23.5pt;margin-top:817.9pt;margin-left:0;mso-position-horizontal-relative:page;mso-position-vertical-relative:page;mso-wrap-distance-bottom:0;mso-wrap-distance-left:0;mso-wrap-distance-right:0;mso-wrap-distance-top:0;position:absolute;v-text-anchor:top;z-index:-25165516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4.45pt;height:16.15pt;margin-top:799.39pt;margin-left:461.79pt;mso-position-horizontal-relative:page;mso-position-vertical-relative:page;position:absolute;z-index:25166336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1</w:t>
    </w:r>
    <w:r>
      <w:rPr>
        <w:rFonts w:ascii="Times New Roman" w:eastAsia="Times New Roman" w:hAnsi="Times New Roman" w:cs="Times New Roman"/>
        <w:b/>
        <w:bCs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5"/>
        <w:sz w:val="21"/>
        <w:szCs w:val="21"/>
      </w:rPr>
      <w:t>18</w:t>
    </w:r>
  </w:p>
  <w:p>
    <w:pPr>
      <w:pStyle w:val="BodyText"/>
      <w:spacing w:line="437" w:lineRule="exact"/>
      <w:ind w:firstLine="8"/>
    </w:pPr>
    <w:r>
      <w:rPr>
        <w:position w:val="-8"/>
      </w:rPr>
      <w:pict>
        <v:shape id="_x0000_i2054" type="#_x0000_t202" style="width:204.15pt;height:21.9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334" w:lineRule="auto"/>
      <w:rPr>
        <w:rFonts w:ascii="Arial"/>
        <w:sz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0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6540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2" name="Rect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2" o:spid="_x0000_s2055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52096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4.45pt;height:16.15pt;margin-top:799.39pt;margin-left:461.79pt;mso-position-horizontal-relative:page;mso-position-vertical-relative:page;position:absolute;z-index:251666432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2  /</w:t>
    </w:r>
    <w:r>
      <w:rPr>
        <w:rFonts w:ascii="Times New Roman" w:eastAsia="Times New Roman" w:hAnsi="Times New Roman" w:cs="Times New Roman"/>
        <w:b/>
        <w:bCs/>
        <w:spacing w:val="7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57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78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6848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4" name="Rect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4" o:spid="_x0000_s2058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49024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4.45pt;height:16.15pt;margin-top:799.39pt;margin-left:461.79pt;mso-position-horizontal-relative:page;mso-position-vertical-relative:page;position:absolute;z-index:25166950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3  /</w:t>
    </w:r>
    <w:r>
      <w:rPr>
        <w:rFonts w:ascii="Times New Roman" w:eastAsia="Times New Roman" w:hAnsi="Times New Roman" w:cs="Times New Roman"/>
        <w:b/>
        <w:bCs/>
        <w:spacing w:val="8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60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78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7155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268990436" name="Rect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4" o:spid="_x0000_s2061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45952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4.45pt;height:16.15pt;margin-top:799.39pt;margin-left:461.79pt;mso-position-horizontal-relative:page;mso-position-vertical-relative:page;position:absolute;z-index:25167257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3  /</w:t>
    </w:r>
    <w:r>
      <w:rPr>
        <w:rFonts w:ascii="Times New Roman" w:eastAsia="Times New Roman" w:hAnsi="Times New Roman" w:cs="Times New Roman"/>
        <w:b/>
        <w:bCs/>
        <w:spacing w:val="8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63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0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7462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6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64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4288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4.45pt;height:16.15pt;margin-top:799.39pt;margin-left:461.79pt;mso-position-horizontal-relative:page;mso-position-vertical-relative:page;position:absolute;z-index:25167564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4  /</w:t>
    </w:r>
    <w:r>
      <w:rPr>
        <w:rFonts w:ascii="Times New Roman" w:eastAsia="Times New Roman" w:hAnsi="Times New Roman" w:cs="Times New Roman"/>
        <w:b/>
        <w:bCs/>
        <w:spacing w:val="7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66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0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7769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16179378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67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3980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4.45pt;height:16.15pt;margin-top:799.39pt;margin-left:461.79pt;mso-position-horizontal-relative:page;mso-position-vertical-relative:page;position:absolute;z-index:25167872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4  /</w:t>
    </w:r>
    <w:r>
      <w:rPr>
        <w:rFonts w:ascii="Times New Roman" w:eastAsia="Times New Roman" w:hAnsi="Times New Roman" w:cs="Times New Roman"/>
        <w:b/>
        <w:bCs/>
        <w:spacing w:val="7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69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0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8076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750977743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70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36736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4.45pt;height:16.15pt;margin-top:799.39pt;margin-left:461.79pt;mso-position-horizontal-relative:page;mso-position-vertical-relative:page;position:absolute;z-index:251681792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4  /</w:t>
    </w:r>
    <w:r>
      <w:rPr>
        <w:rFonts w:ascii="Times New Roman" w:eastAsia="Times New Roman" w:hAnsi="Times New Roman" w:cs="Times New Roman"/>
        <w:b/>
        <w:bCs/>
        <w:spacing w:val="7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72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0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8384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492858447" name="Rect 1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6" o:spid="_x0000_s2073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33664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4.45pt;height:16.15pt;margin-top:799.39pt;margin-left:461.79pt;mso-position-horizontal-relative:page;mso-position-vertical-relative:page;position:absolute;z-index:25168486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4  /</w:t>
    </w:r>
    <w:r>
      <w:rPr>
        <w:rFonts w:ascii="Times New Roman" w:eastAsia="Times New Roman" w:hAnsi="Times New Roman" w:cs="Times New Roman"/>
        <w:b/>
        <w:bCs/>
        <w:spacing w:val="7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75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869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36" name="Rect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6" o:spid="_x0000_s2076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30592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4.45pt;height:16.15pt;margin-top:799.39pt;margin-left:461.79pt;mso-position-horizontal-relative:page;mso-position-vertical-relative:page;position:absolute;z-index:25168793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5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78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8998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777602362" name="Rect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6" o:spid="_x0000_s2079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2752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4.45pt;height:16.15pt;margin-top:799.39pt;margin-left:461.79pt;mso-position-horizontal-relative:page;mso-position-vertical-relative:page;position:absolute;z-index:25169100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5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81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9305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432388297" name="Rect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6" o:spid="_x0000_s2082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2444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4.45pt;height:16.15pt;margin-top:799.39pt;margin-left:461.79pt;mso-position-horizontal-relative:page;mso-position-vertical-relative:page;position:absolute;z-index:25169408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5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84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9612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618956608" name="Rect 3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36" o:spid="_x0000_s2085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21376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4.45pt;height:16.15pt;margin-top:799.39pt;margin-left:461.79pt;mso-position-horizontal-relative:page;mso-position-vertical-relative:page;position:absolute;z-index:251697152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5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87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3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69920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60" name="Rect 6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0" o:spid="_x0000_s2088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18304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4.45pt;height:16.15pt;margin-top:799.39pt;margin-left:461.79pt;mso-position-horizontal-relative:page;mso-position-vertical-relative:page;position:absolute;z-index:25170022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6</w:t>
    </w:r>
    <w:r>
      <w:rPr>
        <w:rFonts w:ascii="Times New Roman" w:eastAsia="Times New Roman" w:hAnsi="Times New Roman" w:cs="Times New Roman"/>
        <w:b/>
        <w:bCs/>
        <w:spacing w:val="1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90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3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0227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884243956" name="Rect 6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0" o:spid="_x0000_s2091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15232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4.45pt;height:16.15pt;margin-top:799.39pt;margin-left:461.79pt;mso-position-horizontal-relative:page;mso-position-vertical-relative:page;position:absolute;z-index:25170329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6</w:t>
    </w:r>
    <w:r>
      <w:rPr>
        <w:rFonts w:ascii="Times New Roman" w:eastAsia="Times New Roman" w:hAnsi="Times New Roman" w:cs="Times New Roman"/>
        <w:b/>
        <w:bCs/>
        <w:spacing w:val="1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93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3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0534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182656295" name="Rect 6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0" o:spid="_x0000_s2094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1216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4.45pt;height:16.15pt;margin-top:799.39pt;margin-left:461.79pt;mso-position-horizontal-relative:page;mso-position-vertical-relative:page;position:absolute;z-index:25170636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6</w:t>
    </w:r>
    <w:r>
      <w:rPr>
        <w:rFonts w:ascii="Times New Roman" w:eastAsia="Times New Roman" w:hAnsi="Times New Roman" w:cs="Times New Roman"/>
        <w:b/>
        <w:bCs/>
        <w:spacing w:val="1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96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3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0841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950951345" name="Rect 6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60" o:spid="_x0000_s2097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0908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4.45pt;height:16.15pt;margin-top:799.39pt;margin-left:461.79pt;mso-position-horizontal-relative:page;mso-position-vertical-relative:page;position:absolute;z-index:25170944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6</w:t>
    </w:r>
    <w:r>
      <w:rPr>
        <w:rFonts w:ascii="Times New Roman" w:eastAsia="Times New Roman" w:hAnsi="Times New Roman" w:cs="Times New Roman"/>
        <w:b/>
        <w:bCs/>
        <w:spacing w:val="1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4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099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1148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70" name="Rect 7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0" o:spid="_x0000_s2100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06016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4.45pt;height:16.15pt;margin-top:799.39pt;margin-left:461.79pt;mso-position-horizontal-relative:page;mso-position-vertical-relative:page;position:absolute;z-index:251712512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7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02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1456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76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03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602944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4.45pt;height:16.15pt;margin-top:799.39pt;margin-left:461.79pt;mso-position-horizontal-relative:page;mso-position-vertical-relative:page;position:absolute;z-index:25171558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05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1763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706930418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06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99872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4.45pt;height:16.15pt;margin-top:799.39pt;margin-left:461.79pt;mso-position-horizontal-relative:page;mso-position-vertical-relative:page;position:absolute;z-index:25171865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08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2070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266621892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09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9680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84.45pt;height:16.15pt;margin-top:799.39pt;margin-left:461.79pt;mso-position-horizontal-relative:page;mso-position-vertical-relative:page;position:absolute;z-index:25172172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11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2377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906271672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12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9372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4.45pt;height:16.15pt;margin-top:799.39pt;margin-left:461.79pt;mso-position-horizontal-relative:page;mso-position-vertical-relative:page;position:absolute;z-index:25172480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14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2684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417891191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15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90656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4.45pt;height:16.15pt;margin-top:799.39pt;margin-left:461.79pt;mso-position-horizontal-relative:page;mso-position-vertical-relative:page;position:absolute;z-index:251727872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17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2992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678136707" name="Rect 7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76" o:spid="_x0000_s2118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87584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4.45pt;height:16.15pt;margin-top:799.39pt;margin-left:461.79pt;mso-position-horizontal-relative:page;mso-position-vertical-relative:page;position:absolute;z-index:251730944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8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20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3299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08" name="Rect 10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08" o:spid="_x0000_s2121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84512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84.45pt;height:16.15pt;margin-top:799.39pt;margin-left:461.79pt;mso-position-horizontal-relative:page;mso-position-vertical-relative:page;position:absolute;z-index:251734016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9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23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360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951399121" name="Rect 10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08" o:spid="_x0000_s2124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81440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84.45pt;height:16.15pt;margin-top:799.39pt;margin-left:461.79pt;mso-position-horizontal-relative:page;mso-position-vertical-relative:page;position:absolute;z-index:251737088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9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26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191" w:line="231" w:lineRule="auto"/>
      <w:ind w:left="10482"/>
      <w:rPr>
        <w:rFonts w:ascii="Times New Roman" w:eastAsia="Times New Roman" w:hAnsi="Times New Roman" w:cs="Times New Roman"/>
        <w:sz w:val="21"/>
        <w:szCs w:val="21"/>
      </w:rPr>
    </w:pPr>
    <w:r>
      <mc:AlternateContent>
        <mc:Choice Requires="wps">
          <w:drawing>
            <wp:anchor distT="0" distB="0" distL="0" distR="0" simplePos="0" relativeHeight="2517391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10386693</wp:posOffset>
              </wp:positionV>
              <wp:extent cx="7560309" cy="299084"/>
              <wp:effectExtent l="0" t="0" r="0" b="0"/>
              <wp:wrapNone/>
              <wp:docPr id="1123337778" name="Rect 10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10386693"/>
                        <a:ext cx="7560309" cy="299084"/>
                      </a:xfrm>
                      <a:prstGeom prst="rect">
                        <a:avLst/>
                      </a:prstGeom>
                      <a:solidFill>
                        <a:srgbClr val="17365D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108" o:spid="_x0000_s2127" style="width:595.3pt;height:23.55pt;margin-top:817.85pt;margin-left:0;mso-position-horizontal-relative:page;mso-position-vertical-relative:page;mso-wrap-distance-bottom:0;mso-wrap-distance-left:0;mso-wrap-distance-right:0;mso-wrap-distance-top:0;position:absolute;v-text-anchor:top;z-index:-251578368" o:allowincell="f" fillcolor="#17365d" stroked="f"/>
          </w:pict>
        </mc:Fallback>
      </mc:AlternateConten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84.45pt;height:16.15pt;margin-top:799.39pt;margin-left:461.79pt;mso-position-horizontal-relative:page;mso-position-vertical-relative:page;position:absolute;z-index:251740160" o:allowincell="f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24"/>
                    <w:szCs w:val="24"/>
                  </w:rPr>
                </w:pPr>
                <w:r>
                  <w:rPr>
                    <w:color w:val="17365D"/>
                    <w:spacing w:val="-5"/>
                    <w:sz w:val="24"/>
                    <w:szCs w:val="24"/>
                    <w14:textOutline w14:w="4354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东吴证券研究所</w:t>
                </w:r>
              </w:p>
            </w:txbxContent>
          </v:textbox>
        </v:shape>
      </w:pic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9  /</w:t>
    </w:r>
    <w:r>
      <w:rPr>
        <w:rFonts w:ascii="Times New Roman" w:eastAsia="Times New Roman" w:hAnsi="Times New Roman" w:cs="Times New Roman"/>
        <w:b/>
        <w:bCs/>
        <w:spacing w:val="6"/>
        <w:sz w:val="21"/>
        <w:szCs w:val="21"/>
      </w:rPr>
      <w:t xml:space="preserve">  </w:t>
    </w:r>
    <w:r>
      <w:rPr>
        <w:rFonts w:ascii="Times New Roman" w:eastAsia="Times New Roman" w:hAnsi="Times New Roman" w:cs="Times New Roman"/>
        <w:b/>
        <w:bCs/>
        <w:spacing w:val="-2"/>
        <w:sz w:val="21"/>
        <w:szCs w:val="21"/>
      </w:rPr>
      <w:t>18</w:t>
    </w:r>
  </w:p>
  <w:p>
    <w:pPr>
      <w:pStyle w:val="BodyText"/>
      <w:spacing w:line="436" w:lineRule="exact"/>
      <w:ind w:firstLine="6"/>
    </w:pPr>
    <w:r>
      <w:rPr>
        <w:position w:val="-8"/>
      </w:rPr>
      <w:pict>
        <v:shape id="_x0000_i2129" type="#_x0000_t202" style="width:204.15pt;height:21.85pt;mso-position-horizontal-relative:char;mso-position-vertical-relative:line" filled="t" fillcolor="#d8d8d8" stroked="f">
          <o:lock v:ext="edit" aspectratio="f"/>
          <v:textbox inset="0,0,0,0">
            <w:txbxContent>
              <w:p>
                <w:pPr>
                  <w:spacing w:before="110" w:line="215" w:lineRule="auto"/>
                  <w:ind w:left="152"/>
                  <w:rPr>
                    <w:rFonts w:ascii="KaiTi" w:eastAsia="KaiTi" w:hAnsi="KaiTi" w:cs="KaiTi"/>
                    <w:sz w:val="21"/>
                    <w:szCs w:val="21"/>
                  </w:rPr>
                </w:pPr>
                <w:r>
                  <w:rPr>
                    <w:rFonts w:ascii="KaiTi" w:eastAsia="KaiTi" w:hAnsi="KaiTi" w:cs="KaiTi"/>
                    <w:color w:val="17365D"/>
                    <w:sz w:val="21"/>
                    <w:szCs w:val="21"/>
                    <w14:textOutline w14:w="3831">
                      <w14:solidFill>
                        <w14:srgbClr w14:val="17365D"/>
                      </w14:solidFill>
                      <w14:prstDash w14:val="solid"/>
                      <w14:miter w14:lim="10"/>
                    </w14:textOutline>
                  </w:rPr>
                  <w:t>请务必阅读正文之后的免责声明部分</w:t>
                </w:r>
              </w:p>
            </w:txbxContent>
          </v:textbox>
          <w10:wrap type="none"/>
        </v:shape>
      </w:pict>
    </w:r>
  </w:p>
  <w:p>
    <w:pPr>
      <w:spacing w:line="296" w:lineRule="auto"/>
      <w:rPr>
        <w:rFonts w:ascii="Arial"/>
        <w:sz w:val="21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204409038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409038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48754735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54735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68753049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53049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75401561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01561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56669871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669871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39558506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58506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6197548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197548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5751021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51021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1257625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257625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7537745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37745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9600218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00218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59749378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749378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81735510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35510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6339115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339115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59735228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35228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47218082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18082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07975541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75541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37953336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53336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7593023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930237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97328235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28235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22603840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603840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52803823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038239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58940099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40099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5" w:line="220" w:lineRule="auto"/>
      <w:ind w:left="1003"/>
      <w:rPr>
        <w:sz w:val="24"/>
        <w:szCs w:val="24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5447664</wp:posOffset>
          </wp:positionH>
          <wp:positionV relativeFrom="page">
            <wp:posOffset>288290</wp:posOffset>
          </wp:positionV>
          <wp:extent cx="1546351" cy="341630"/>
          <wp:effectExtent l="0" t="0" r="0" b="0"/>
          <wp:wrapNone/>
          <wp:docPr id="189886700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867004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46351" cy="341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7365D"/>
        <w:sz w:val="24"/>
        <w:szCs w:val="24"/>
      </w:rPr>
      <w:t>公司深度研究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7"/>
      <w:szCs w:val="17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25.xml" /><Relationship Id="rId101" Type="http://schemas.openxmlformats.org/officeDocument/2006/relationships/image" Target="media/image50.png" /><Relationship Id="rId102" Type="http://schemas.openxmlformats.org/officeDocument/2006/relationships/image" Target="media/image51.png" /><Relationship Id="rId103" Type="http://schemas.openxmlformats.org/officeDocument/2006/relationships/image" Target="media/image52.png" /><Relationship Id="rId104" Type="http://schemas.openxmlformats.org/officeDocument/2006/relationships/image" Target="media/image53.png" /><Relationship Id="rId105" Type="http://schemas.openxmlformats.org/officeDocument/2006/relationships/image" Target="media/image54.png" /><Relationship Id="rId106" Type="http://schemas.openxmlformats.org/officeDocument/2006/relationships/image" Target="media/image55.png" /><Relationship Id="rId107" Type="http://schemas.openxmlformats.org/officeDocument/2006/relationships/image" Target="media/image56.png" /><Relationship Id="rId108" Type="http://schemas.openxmlformats.org/officeDocument/2006/relationships/header" Target="header24.xml" /><Relationship Id="rId109" Type="http://schemas.openxmlformats.org/officeDocument/2006/relationships/footer" Target="footer26.xml" /><Relationship Id="rId11" Type="http://schemas.openxmlformats.org/officeDocument/2006/relationships/header" Target="header2.xml" /><Relationship Id="rId110" Type="http://schemas.openxmlformats.org/officeDocument/2006/relationships/hyperlink" Target="https://d.book118.com/407051066013006045" TargetMode="External" /><Relationship Id="rId111" Type="http://schemas.openxmlformats.org/officeDocument/2006/relationships/header" Target="header25.xml" /><Relationship Id="rId112" Type="http://schemas.openxmlformats.org/officeDocument/2006/relationships/footer" Target="footer27.xml" /><Relationship Id="rId113" Type="http://schemas.openxmlformats.org/officeDocument/2006/relationships/theme" Target="theme/theme1.xml" /><Relationship Id="rId114" Type="http://schemas.openxmlformats.org/officeDocument/2006/relationships/styles" Target="styles.xml" /><Relationship Id="rId12" Type="http://schemas.openxmlformats.org/officeDocument/2006/relationships/footer" Target="footer4.xml" /><Relationship Id="rId13" Type="http://schemas.openxmlformats.org/officeDocument/2006/relationships/header" Target="header3.xml" /><Relationship Id="rId14" Type="http://schemas.openxmlformats.org/officeDocument/2006/relationships/footer" Target="footer5.xml" /><Relationship Id="rId15" Type="http://schemas.openxmlformats.org/officeDocument/2006/relationships/image" Target="media/image4.jpe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5.xml" /><Relationship Id="rId22" Type="http://schemas.openxmlformats.org/officeDocument/2006/relationships/footer" Target="footer7.xml" /><Relationship Id="rId23" Type="http://schemas.openxmlformats.org/officeDocument/2006/relationships/header" Target="header6.xml" /><Relationship Id="rId24" Type="http://schemas.openxmlformats.org/officeDocument/2006/relationships/footer" Target="footer8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header" Target="header7.xml" /><Relationship Id="rId32" Type="http://schemas.openxmlformats.org/officeDocument/2006/relationships/footer" Target="footer9.xml" /><Relationship Id="rId33" Type="http://schemas.openxmlformats.org/officeDocument/2006/relationships/header" Target="header8.xml" /><Relationship Id="rId34" Type="http://schemas.openxmlformats.org/officeDocument/2006/relationships/footer" Target="footer10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header" Target="header9.xml" /><Relationship Id="rId48" Type="http://schemas.openxmlformats.org/officeDocument/2006/relationships/footer" Target="footer11.xml" /><Relationship Id="rId49" Type="http://schemas.openxmlformats.org/officeDocument/2006/relationships/header" Target="header10.xml" /><Relationship Id="rId5" Type="http://schemas.openxmlformats.org/officeDocument/2006/relationships/image" Target="media/image2.png" /><Relationship Id="rId50" Type="http://schemas.openxmlformats.org/officeDocument/2006/relationships/footer" Target="footer12.xml" /><Relationship Id="rId51" Type="http://schemas.openxmlformats.org/officeDocument/2006/relationships/header" Target="header11.xml" /><Relationship Id="rId52" Type="http://schemas.openxmlformats.org/officeDocument/2006/relationships/footer" Target="footer13.xml" /><Relationship Id="rId53" Type="http://schemas.openxmlformats.org/officeDocument/2006/relationships/header" Target="header12.xml" /><Relationship Id="rId54" Type="http://schemas.openxmlformats.org/officeDocument/2006/relationships/footer" Target="footer14.xml" /><Relationship Id="rId55" Type="http://schemas.openxmlformats.org/officeDocument/2006/relationships/image" Target="media/image26.png" /><Relationship Id="rId56" Type="http://schemas.openxmlformats.org/officeDocument/2006/relationships/image" Target="media/image27.png" /><Relationship Id="rId57" Type="http://schemas.openxmlformats.org/officeDocument/2006/relationships/image" Target="media/image28.png" /><Relationship Id="rId58" Type="http://schemas.openxmlformats.org/officeDocument/2006/relationships/image" Target="media/image29.png" /><Relationship Id="rId59" Type="http://schemas.openxmlformats.org/officeDocument/2006/relationships/image" Target="media/image30.png" /><Relationship Id="rId6" Type="http://schemas.openxmlformats.org/officeDocument/2006/relationships/image" Target="media/image3.png" /><Relationship Id="rId60" Type="http://schemas.openxmlformats.org/officeDocument/2006/relationships/header" Target="header13.xml" /><Relationship Id="rId61" Type="http://schemas.openxmlformats.org/officeDocument/2006/relationships/footer" Target="footer15.xml" /><Relationship Id="rId62" Type="http://schemas.openxmlformats.org/officeDocument/2006/relationships/header" Target="header14.xml" /><Relationship Id="rId63" Type="http://schemas.openxmlformats.org/officeDocument/2006/relationships/footer" Target="footer16.xml" /><Relationship Id="rId64" Type="http://schemas.openxmlformats.org/officeDocument/2006/relationships/header" Target="header15.xml" /><Relationship Id="rId65" Type="http://schemas.openxmlformats.org/officeDocument/2006/relationships/footer" Target="footer17.xml" /><Relationship Id="rId66" Type="http://schemas.openxmlformats.org/officeDocument/2006/relationships/image" Target="media/image31.png" /><Relationship Id="rId67" Type="http://schemas.openxmlformats.org/officeDocument/2006/relationships/image" Target="media/image32.png" /><Relationship Id="rId68" Type="http://schemas.openxmlformats.org/officeDocument/2006/relationships/header" Target="header16.xml" /><Relationship Id="rId69" Type="http://schemas.openxmlformats.org/officeDocument/2006/relationships/footer" Target="footer18.xml" /><Relationship Id="rId7" Type="http://schemas.openxmlformats.org/officeDocument/2006/relationships/footer" Target="footer1.xml" /><Relationship Id="rId70" Type="http://schemas.openxmlformats.org/officeDocument/2006/relationships/image" Target="media/image33.png" /><Relationship Id="rId71" Type="http://schemas.openxmlformats.org/officeDocument/2006/relationships/header" Target="header17.xml" /><Relationship Id="rId72" Type="http://schemas.openxmlformats.org/officeDocument/2006/relationships/footer" Target="footer19.xml" /><Relationship Id="rId73" Type="http://schemas.openxmlformats.org/officeDocument/2006/relationships/image" Target="media/image34.png" /><Relationship Id="rId74" Type="http://schemas.openxmlformats.org/officeDocument/2006/relationships/image" Target="media/image35.png" /><Relationship Id="rId75" Type="http://schemas.openxmlformats.org/officeDocument/2006/relationships/image" Target="media/image36.png" /><Relationship Id="rId76" Type="http://schemas.openxmlformats.org/officeDocument/2006/relationships/image" Target="media/image37.png" /><Relationship Id="rId77" Type="http://schemas.openxmlformats.org/officeDocument/2006/relationships/image" Target="media/image38.png" /><Relationship Id="rId78" Type="http://schemas.openxmlformats.org/officeDocument/2006/relationships/image" Target="media/image39.png" /><Relationship Id="rId79" Type="http://schemas.openxmlformats.org/officeDocument/2006/relationships/image" Target="media/image40.png" /><Relationship Id="rId8" Type="http://schemas.openxmlformats.org/officeDocument/2006/relationships/footer" Target="footer2.xml" /><Relationship Id="rId80" Type="http://schemas.openxmlformats.org/officeDocument/2006/relationships/header" Target="header18.xml" /><Relationship Id="rId81" Type="http://schemas.openxmlformats.org/officeDocument/2006/relationships/footer" Target="footer20.xml" /><Relationship Id="rId82" Type="http://schemas.openxmlformats.org/officeDocument/2006/relationships/header" Target="header19.xml" /><Relationship Id="rId83" Type="http://schemas.openxmlformats.org/officeDocument/2006/relationships/footer" Target="footer21.xml" /><Relationship Id="rId84" Type="http://schemas.openxmlformats.org/officeDocument/2006/relationships/image" Target="media/image41.png" /><Relationship Id="rId85" Type="http://schemas.openxmlformats.org/officeDocument/2006/relationships/image" Target="media/image42.png" /><Relationship Id="rId86" Type="http://schemas.openxmlformats.org/officeDocument/2006/relationships/image" Target="media/image43.png" /><Relationship Id="rId87" Type="http://schemas.openxmlformats.org/officeDocument/2006/relationships/image" Target="media/image44.png" /><Relationship Id="rId88" Type="http://schemas.openxmlformats.org/officeDocument/2006/relationships/image" Target="media/image45.png" /><Relationship Id="rId89" Type="http://schemas.openxmlformats.org/officeDocument/2006/relationships/image" Target="media/image46.png" /><Relationship Id="rId9" Type="http://schemas.openxmlformats.org/officeDocument/2006/relationships/header" Target="header1.xml" /><Relationship Id="rId90" Type="http://schemas.openxmlformats.org/officeDocument/2006/relationships/image" Target="media/image47.png" /><Relationship Id="rId91" Type="http://schemas.openxmlformats.org/officeDocument/2006/relationships/image" Target="media/image48.png" /><Relationship Id="rId92" Type="http://schemas.openxmlformats.org/officeDocument/2006/relationships/header" Target="header20.xml" /><Relationship Id="rId93" Type="http://schemas.openxmlformats.org/officeDocument/2006/relationships/footer" Target="footer22.xml" /><Relationship Id="rId94" Type="http://schemas.openxmlformats.org/officeDocument/2006/relationships/header" Target="header21.xml" /><Relationship Id="rId95" Type="http://schemas.openxmlformats.org/officeDocument/2006/relationships/footer" Target="footer23.xml" /><Relationship Id="rId96" Type="http://schemas.openxmlformats.org/officeDocument/2006/relationships/header" Target="header22.xml" /><Relationship Id="rId97" Type="http://schemas.openxmlformats.org/officeDocument/2006/relationships/footer" Target="footer24.xml" /><Relationship Id="rId98" Type="http://schemas.openxmlformats.org/officeDocument/2006/relationships/image" Target="media/image49.png" /><Relationship Id="rId99" Type="http://schemas.openxmlformats.org/officeDocument/2006/relationships/header" Target="header2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json</dc:creator>
  <cp:revision>0</cp:revision>
  <dcterms:created xsi:type="dcterms:W3CDTF">2024-02-28T21:39:08Z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2024-02-28T22:07:19Z</vt:filetime>
  </property>
  <property fmtid="{D5CDD505-2E9C-101B-9397-08002B2CF9AE}" pid="3" name="CRO">
    <vt:lpwstr>wqlLaW5nc29mdCBQREYgdG8gV1BTIDkw</vt:lpwstr>
  </property>
</Properties>
</file>