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left"/>
        <w:rPr>
          <w:rFonts w:hint="eastAsia"/>
          <w:color w:val="F3FBFE"/>
          <w:sz w:val="18"/>
          <w:szCs w:val="18"/>
        </w:rPr>
      </w:pPr>
      <w:r>
        <w:rPr>
          <w:rFonts w:ascii="华文中宋" w:eastAsia="华文中宋" w:hAnsi="华文中宋"/>
          <w:b/>
          <w:sz w:val="44"/>
          <w:szCs w:val="44"/>
        </w:rPr>
        <w:drawing>
          <wp:inline distT="0" distB="0" distL="114300" distR="114300">
            <wp:extent cx="2549525" cy="829945"/>
            <wp:effectExtent l="0" t="0" r="0" b="0"/>
            <wp:docPr id="1" name="图片 3" descr="湖北师范大学校名校徽组合-透明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湖北师范大学校名校徽组合-透明底"/>
                    <pic:cNvPicPr>
                      <a:picLocks noChangeAspect="1"/>
                    </pic:cNvPicPr>
                  </pic:nvPicPr>
                  <pic:blipFill>
                    <a:blip xmlns:r="http://schemas.openxmlformats.org/officeDocument/2006/relationships" r:embed="rId5"/>
                    <a:stretch>
                      <a:fillRect/>
                    </a:stretch>
                  </pic:blipFill>
                  <pic:spPr>
                    <a:xfrm>
                      <a:off x="0" y="0"/>
                      <a:ext cx="2549525" cy="829945"/>
                    </a:xfrm>
                    <a:prstGeom prst="rect">
                      <a:avLst/>
                    </a:prstGeom>
                    <a:noFill/>
                    <a:ln>
                      <a:noFill/>
                    </a:ln>
                  </pic:spPr>
                </pic:pic>
              </a:graphicData>
            </a:graphic>
          </wp:inline>
        </w:drawing>
      </w:r>
    </w:p>
    <w:p>
      <w:pPr>
        <w:jc w:val="center"/>
        <w:rPr>
          <w:rFonts w:hint="eastAsia"/>
          <w:color w:val="F3FBFE"/>
          <w:sz w:val="18"/>
          <w:szCs w:val="18"/>
        </w:rPr>
      </w:pPr>
    </w:p>
    <w:p>
      <w:pPr>
        <w:jc w:val="center"/>
        <w:rPr>
          <w:rFonts w:hint="eastAsia"/>
          <w:color w:val="F3FBFE"/>
          <w:sz w:val="18"/>
          <w:szCs w:val="18"/>
        </w:rPr>
      </w:pPr>
    </w:p>
    <w:p>
      <w:pPr>
        <w:jc w:val="center"/>
        <w:rPr>
          <w:rFonts w:hint="eastAsia"/>
          <w:color w:val="F3FBFE"/>
          <w:sz w:val="18"/>
          <w:szCs w:val="18"/>
        </w:rPr>
      </w:pPr>
    </w:p>
    <w:p>
      <w:pPr>
        <w:jc w:val="center"/>
        <w:rPr>
          <w:rFonts w:hint="eastAsia"/>
          <w:color w:val="F3FBFE"/>
          <w:sz w:val="18"/>
          <w:szCs w:val="18"/>
        </w:rPr>
      </w:pPr>
    </w:p>
    <w:p>
      <w:pPr>
        <w:jc w:val="center"/>
        <w:rPr>
          <w:rFonts w:hint="eastAsia"/>
          <w:color w:val="F3FBFE"/>
          <w:sz w:val="18"/>
          <w:szCs w:val="18"/>
        </w:rPr>
      </w:pPr>
    </w:p>
    <w:p>
      <w:pPr>
        <w:jc w:val="center"/>
        <w:rPr>
          <w:rFonts w:ascii="华文中宋" w:eastAsia="华文中宋" w:hAnsi="华文中宋" w:hint="eastAsia"/>
          <w:bCs/>
          <w:sz w:val="52"/>
          <w:szCs w:val="52"/>
        </w:rPr>
      </w:pPr>
      <w:r>
        <w:rPr>
          <w:rFonts w:ascii="华文中宋" w:eastAsia="华文中宋" w:hAnsi="华文中宋" w:hint="eastAsia"/>
          <w:bCs/>
          <w:sz w:val="52"/>
          <w:szCs w:val="52"/>
        </w:rPr>
        <w:t>高等学历继续教育</w:t>
      </w:r>
    </w:p>
    <w:p>
      <w:pPr>
        <w:jc w:val="center"/>
        <w:rPr>
          <w:rFonts w:ascii="华文中宋" w:eastAsia="华文中宋" w:hAnsi="华文中宋"/>
          <w:bCs/>
          <w:sz w:val="52"/>
          <w:szCs w:val="52"/>
        </w:rPr>
      </w:pPr>
      <w:r>
        <w:rPr>
          <w:rFonts w:ascii="华文中宋" w:eastAsia="华文中宋" w:hAnsi="华文中宋" w:hint="eastAsia"/>
          <w:bCs/>
          <w:sz w:val="52"/>
          <w:szCs w:val="52"/>
        </w:rPr>
        <w:t>　本科毕业论文（设计）</w:t>
      </w:r>
    </w:p>
    <w:p>
      <w:pPr>
        <w:spacing w:line="0" w:lineRule="atLeast"/>
        <w:jc w:val="center"/>
        <w:rPr>
          <w:rFonts w:ascii="楷体" w:eastAsia="楷体" w:hAnsi="楷体" w:hint="eastAsia"/>
          <w:sz w:val="52"/>
          <w:szCs w:val="52"/>
        </w:rPr>
      </w:pPr>
    </w:p>
    <w:p>
      <w:pPr>
        <w:spacing w:line="0" w:lineRule="atLeast"/>
        <w:jc w:val="center"/>
        <w:rPr>
          <w:rFonts w:ascii="楷体" w:eastAsia="楷体" w:hAnsi="楷体"/>
          <w:sz w:val="52"/>
          <w:szCs w:val="52"/>
        </w:rPr>
      </w:pPr>
    </w:p>
    <w:p>
      <w:pPr>
        <w:spacing w:line="0" w:lineRule="atLeast"/>
        <w:jc w:val="center"/>
        <w:rPr>
          <w:rFonts w:ascii="楷体" w:eastAsia="楷体" w:hAnsi="楷体"/>
          <w:sz w:val="52"/>
          <w:szCs w:val="52"/>
        </w:rPr>
      </w:pPr>
    </w:p>
    <w:p>
      <w:pPr>
        <w:spacing w:line="0" w:lineRule="atLeast"/>
        <w:jc w:val="center"/>
        <w:rPr>
          <w:rFonts w:ascii="Verdana" w:eastAsia="方正楷体_GBK" w:hAnsi="Verdana"/>
          <w:sz w:val="28"/>
          <w:szCs w:val="28"/>
        </w:rPr>
      </w:pPr>
    </w:p>
    <w:p>
      <w:pPr>
        <w:rPr>
          <w:rFonts w:hint="eastAsia"/>
        </w:rPr>
      </w:pPr>
    </w:p>
    <w:p>
      <w:pPr>
        <w:jc w:val="center"/>
        <w:rPr>
          <w:rFonts w:hint="eastAsia"/>
        </w:rPr>
      </w:pPr>
    </w:p>
    <w:p>
      <w:pPr>
        <w:jc w:val="center"/>
        <w:rPr>
          <w:rFonts w:hint="eastAsia"/>
        </w:rPr>
      </w:pPr>
    </w:p>
    <w:p>
      <w:pPr>
        <w:rPr>
          <w:rFonts w:eastAsia="黑体"/>
          <w:sz w:val="32"/>
          <w:szCs w:val="32"/>
        </w:rPr>
      </w:pPr>
    </w:p>
    <w:tbl>
      <w:tblPr>
        <w:tblStyle w:val="TableNormal"/>
        <w:tblW w:w="6596" w:type="dxa"/>
        <w:jc w:val="center"/>
        <w:tblBorders>
          <w:top w:val="none" w:sz="0"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
      <w:tblGrid>
        <w:gridCol w:w="2202"/>
        <w:gridCol w:w="4394"/>
      </w:tblGrid>
      <w:tr>
        <w:tblPrEx>
          <w:tblW w:w="6596" w:type="dxa"/>
          <w:jc w:val="center"/>
          <w:tblBorders>
            <w:top w:val="none" w:sz="0"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Ex>
        <w:trPr>
          <w:trHeight w:val="615"/>
          <w:jc w:val="center"/>
        </w:trPr>
        <w:tc>
          <w:tcPr>
            <w:tcW w:w="2202" w:type="dxa"/>
            <w:tcBorders>
              <w:top w:val="nil"/>
              <w:bottom w:val="nil"/>
            </w:tcBorders>
            <w:noWrap w:val="0"/>
            <w:vAlign w:val="bottom"/>
          </w:tcPr>
          <w:p>
            <w:pPr>
              <w:jc w:val="distribute"/>
              <w:rPr>
                <w:rFonts w:eastAsia="黑体"/>
                <w:sz w:val="32"/>
                <w:szCs w:val="32"/>
              </w:rPr>
            </w:pPr>
            <w:r>
              <w:rPr>
                <w:rFonts w:eastAsia="黑体" w:hint="eastAsia"/>
                <w:sz w:val="32"/>
                <w:szCs w:val="32"/>
              </w:rPr>
              <w:t>论文题目</w:t>
            </w:r>
          </w:p>
        </w:tc>
        <w:tc>
          <w:tcPr>
            <w:tcW w:w="4394" w:type="dxa"/>
            <w:noWrap w:val="0"/>
            <w:vAlign w:val="bottom"/>
          </w:tcPr>
          <w:p>
            <w:pPr>
              <w:jc w:val="center"/>
              <w:rPr>
                <w:rFonts w:ascii="宋体" w:hAnsi="宋体" w:hint="eastAsia"/>
                <w:sz w:val="28"/>
                <w:szCs w:val="28"/>
              </w:rPr>
            </w:pPr>
            <w:r>
              <w:rPr>
                <w:rFonts w:ascii="宋体" w:hAnsi="宋体" w:hint="eastAsia"/>
                <w:sz w:val="28"/>
                <w:szCs w:val="28"/>
                <w:lang w:eastAsia="zh-CN"/>
              </w:rPr>
              <w:t>五粮液集团财务风险管理</w:t>
            </w:r>
          </w:p>
        </w:tc>
      </w:tr>
      <w:tr>
        <w:tblPrEx>
          <w:tblW w:w="6596" w:type="dxa"/>
          <w:jc w:val="center"/>
          <w:tblCellMar>
            <w:top w:w="0" w:type="dxa"/>
            <w:left w:w="108" w:type="dxa"/>
            <w:bottom w:w="0" w:type="dxa"/>
            <w:right w:w="108" w:type="dxa"/>
          </w:tblCellMar>
        </w:tblPrEx>
        <w:trPr>
          <w:trHeight w:val="615"/>
          <w:jc w:val="center"/>
        </w:trPr>
        <w:tc>
          <w:tcPr>
            <w:tcW w:w="2202" w:type="dxa"/>
            <w:tcBorders>
              <w:top w:val="nil"/>
              <w:bottom w:val="nil"/>
            </w:tcBorders>
            <w:noWrap w:val="0"/>
            <w:vAlign w:val="bottom"/>
          </w:tcPr>
          <w:p>
            <w:pPr>
              <w:jc w:val="distribute"/>
              <w:rPr>
                <w:rFonts w:eastAsia="黑体"/>
                <w:sz w:val="32"/>
                <w:szCs w:val="32"/>
              </w:rPr>
            </w:pPr>
            <w:r>
              <w:rPr>
                <w:rFonts w:eastAsia="黑体" w:hint="eastAsia"/>
                <w:sz w:val="32"/>
                <w:szCs w:val="32"/>
              </w:rPr>
              <w:t>作者</w:t>
            </w:r>
            <w:r>
              <w:rPr>
                <w:rFonts w:eastAsia="黑体"/>
                <w:sz w:val="32"/>
                <w:szCs w:val="32"/>
              </w:rPr>
              <w:t>姓名</w:t>
            </w:r>
          </w:p>
        </w:tc>
        <w:tc>
          <w:tcPr>
            <w:tcW w:w="4394" w:type="dxa"/>
            <w:noWrap w:val="0"/>
            <w:vAlign w:val="bottom"/>
          </w:tcPr>
          <w:p>
            <w:pPr>
              <w:jc w:val="center"/>
              <w:rPr>
                <w:rFonts w:ascii="宋体" w:hAnsi="宋体" w:hint="eastAsia"/>
                <w:sz w:val="28"/>
                <w:szCs w:val="28"/>
              </w:rPr>
            </w:pPr>
            <w:r>
              <w:rPr>
                <w:rFonts w:ascii="宋体" w:hAnsi="宋体" w:hint="eastAsia"/>
                <w:sz w:val="28"/>
                <w:szCs w:val="28"/>
                <w:lang w:eastAsia="zh-CN"/>
              </w:rPr>
              <w:t>储寅杰</w:t>
            </w:r>
          </w:p>
        </w:tc>
      </w:tr>
      <w:tr>
        <w:tblPrEx>
          <w:tblW w:w="6596" w:type="dxa"/>
          <w:jc w:val="center"/>
          <w:tblCellMar>
            <w:top w:w="0" w:type="dxa"/>
            <w:left w:w="108" w:type="dxa"/>
            <w:bottom w:w="0" w:type="dxa"/>
            <w:right w:w="108" w:type="dxa"/>
          </w:tblCellMar>
        </w:tblPrEx>
        <w:trPr>
          <w:trHeight w:val="615"/>
          <w:jc w:val="center"/>
        </w:trPr>
        <w:tc>
          <w:tcPr>
            <w:tcW w:w="2202" w:type="dxa"/>
            <w:tcBorders>
              <w:top w:val="nil"/>
              <w:bottom w:val="nil"/>
            </w:tcBorders>
            <w:noWrap w:val="0"/>
            <w:vAlign w:val="bottom"/>
          </w:tcPr>
          <w:p>
            <w:pPr>
              <w:jc w:val="distribute"/>
              <w:rPr>
                <w:rFonts w:eastAsia="黑体"/>
                <w:sz w:val="32"/>
                <w:szCs w:val="32"/>
              </w:rPr>
            </w:pPr>
            <w:r>
              <w:rPr>
                <w:rFonts w:eastAsia="黑体" w:hint="eastAsia"/>
                <w:sz w:val="32"/>
                <w:szCs w:val="32"/>
              </w:rPr>
              <w:t>学号</w:t>
            </w:r>
          </w:p>
        </w:tc>
        <w:tc>
          <w:tcPr>
            <w:tcW w:w="4394" w:type="dxa"/>
            <w:noWrap w:val="0"/>
            <w:vAlign w:val="bottom"/>
          </w:tcPr>
          <w:p>
            <w:pPr>
              <w:snapToGrid w:val="0"/>
              <w:jc w:val="center"/>
              <w:rPr>
                <w:rFonts w:ascii="宋体" w:hAnsi="宋体" w:hint="eastAsia"/>
                <w:sz w:val="28"/>
                <w:szCs w:val="28"/>
              </w:rPr>
            </w:pPr>
            <w:r>
              <w:rPr>
                <w:rFonts w:ascii="宋体" w:hAnsi="宋体" w:hint="eastAsia"/>
                <w:sz w:val="28"/>
                <w:szCs w:val="28"/>
                <w:lang w:eastAsia="zh-CN"/>
              </w:rPr>
              <w:t>2103001138</w:t>
            </w:r>
          </w:p>
        </w:tc>
      </w:tr>
      <w:tr>
        <w:tblPrEx>
          <w:tblW w:w="6596" w:type="dxa"/>
          <w:jc w:val="center"/>
          <w:tblCellMar>
            <w:top w:w="0" w:type="dxa"/>
            <w:left w:w="108" w:type="dxa"/>
            <w:bottom w:w="0" w:type="dxa"/>
            <w:right w:w="108" w:type="dxa"/>
          </w:tblCellMar>
        </w:tblPrEx>
        <w:trPr>
          <w:trHeight w:val="615"/>
          <w:jc w:val="center"/>
        </w:trPr>
        <w:tc>
          <w:tcPr>
            <w:tcW w:w="2202" w:type="dxa"/>
            <w:tcBorders>
              <w:top w:val="nil"/>
              <w:bottom w:val="nil"/>
            </w:tcBorders>
            <w:noWrap w:val="0"/>
            <w:vAlign w:val="bottom"/>
          </w:tcPr>
          <w:p>
            <w:pPr>
              <w:jc w:val="distribute"/>
              <w:rPr>
                <w:rFonts w:eastAsia="黑体" w:hint="eastAsia"/>
                <w:sz w:val="32"/>
                <w:szCs w:val="32"/>
              </w:rPr>
            </w:pPr>
            <w:r>
              <w:rPr>
                <w:rFonts w:eastAsia="黑体" w:hint="eastAsia"/>
                <w:sz w:val="32"/>
                <w:szCs w:val="32"/>
              </w:rPr>
              <w:t>联系电话</w:t>
            </w:r>
          </w:p>
        </w:tc>
        <w:tc>
          <w:tcPr>
            <w:tcW w:w="4394" w:type="dxa"/>
            <w:noWrap w:val="0"/>
            <w:vAlign w:val="bottom"/>
          </w:tcPr>
          <w:p>
            <w:pPr>
              <w:snapToGrid w:val="0"/>
              <w:jc w:val="center"/>
              <w:rPr>
                <w:rFonts w:ascii="宋体" w:hAnsi="宋体" w:hint="eastAsia"/>
                <w:sz w:val="28"/>
                <w:szCs w:val="28"/>
              </w:rPr>
            </w:pPr>
          </w:p>
        </w:tc>
      </w:tr>
      <w:tr>
        <w:tblPrEx>
          <w:tblW w:w="6596" w:type="dxa"/>
          <w:jc w:val="center"/>
          <w:tblCellMar>
            <w:top w:w="0" w:type="dxa"/>
            <w:left w:w="108" w:type="dxa"/>
            <w:bottom w:w="0" w:type="dxa"/>
            <w:right w:w="108" w:type="dxa"/>
          </w:tblCellMar>
        </w:tblPrEx>
        <w:trPr>
          <w:trHeight w:val="615"/>
          <w:jc w:val="center"/>
        </w:trPr>
        <w:tc>
          <w:tcPr>
            <w:tcW w:w="2202" w:type="dxa"/>
            <w:tcBorders>
              <w:top w:val="nil"/>
              <w:bottom w:val="nil"/>
            </w:tcBorders>
            <w:noWrap w:val="0"/>
            <w:vAlign w:val="bottom"/>
          </w:tcPr>
          <w:p>
            <w:pPr>
              <w:jc w:val="distribute"/>
              <w:rPr>
                <w:rFonts w:eastAsia="黑体"/>
                <w:sz w:val="32"/>
                <w:szCs w:val="32"/>
              </w:rPr>
            </w:pPr>
            <w:r>
              <w:rPr>
                <w:rFonts w:eastAsia="黑体" w:hint="eastAsia"/>
                <w:sz w:val="32"/>
                <w:szCs w:val="32"/>
              </w:rPr>
              <w:t>学科</w:t>
            </w:r>
            <w:r>
              <w:rPr>
                <w:rFonts w:eastAsia="黑体"/>
                <w:sz w:val="32"/>
                <w:szCs w:val="32"/>
              </w:rPr>
              <w:t>专业名称</w:t>
            </w:r>
          </w:p>
        </w:tc>
        <w:tc>
          <w:tcPr>
            <w:tcW w:w="4394" w:type="dxa"/>
            <w:noWrap w:val="0"/>
            <w:vAlign w:val="bottom"/>
          </w:tcPr>
          <w:p>
            <w:pPr>
              <w:snapToGrid w:val="0"/>
              <w:jc w:val="center"/>
              <w:rPr>
                <w:rFonts w:ascii="宋体" w:hAnsi="宋体" w:hint="eastAsia"/>
                <w:sz w:val="28"/>
                <w:szCs w:val="28"/>
              </w:rPr>
            </w:pPr>
            <w:r>
              <w:rPr>
                <w:rFonts w:ascii="宋体" w:hAnsi="宋体" w:hint="eastAsia"/>
                <w:sz w:val="28"/>
                <w:szCs w:val="28"/>
                <w:lang w:eastAsia="zh-CN"/>
              </w:rPr>
              <w:t>财务管理</w:t>
            </w:r>
          </w:p>
        </w:tc>
      </w:tr>
      <w:tr>
        <w:tblPrEx>
          <w:tblW w:w="6596" w:type="dxa"/>
          <w:jc w:val="center"/>
          <w:tblCellMar>
            <w:top w:w="0" w:type="dxa"/>
            <w:left w:w="108" w:type="dxa"/>
            <w:bottom w:w="0" w:type="dxa"/>
            <w:right w:w="108" w:type="dxa"/>
          </w:tblCellMar>
        </w:tblPrEx>
        <w:trPr>
          <w:trHeight w:val="615"/>
          <w:jc w:val="center"/>
        </w:trPr>
        <w:tc>
          <w:tcPr>
            <w:tcW w:w="2202" w:type="dxa"/>
            <w:tcBorders>
              <w:top w:val="nil"/>
              <w:bottom w:val="nil"/>
            </w:tcBorders>
            <w:noWrap w:val="0"/>
            <w:vAlign w:val="bottom"/>
          </w:tcPr>
          <w:p>
            <w:pPr>
              <w:jc w:val="distribute"/>
              <w:rPr>
                <w:rFonts w:eastAsia="黑体"/>
                <w:sz w:val="32"/>
                <w:szCs w:val="32"/>
              </w:rPr>
            </w:pPr>
            <w:r>
              <w:rPr>
                <w:rFonts w:eastAsia="黑体" w:hint="eastAsia"/>
                <w:sz w:val="32"/>
                <w:szCs w:val="32"/>
              </w:rPr>
              <w:t>指导老师</w:t>
            </w:r>
          </w:p>
        </w:tc>
        <w:tc>
          <w:tcPr>
            <w:tcW w:w="4394" w:type="dxa"/>
            <w:noWrap w:val="0"/>
            <w:vAlign w:val="bottom"/>
          </w:tcPr>
          <w:p>
            <w:pPr>
              <w:snapToGrid w:val="0"/>
              <w:jc w:val="center"/>
              <w:rPr>
                <w:rFonts w:ascii="宋体" w:hAnsi="宋体"/>
                <w:sz w:val="28"/>
                <w:szCs w:val="28"/>
              </w:rPr>
            </w:pPr>
          </w:p>
        </w:tc>
      </w:tr>
      <w:tr>
        <w:tblPrEx>
          <w:tblW w:w="6596" w:type="dxa"/>
          <w:jc w:val="center"/>
          <w:tblCellMar>
            <w:top w:w="0" w:type="dxa"/>
            <w:left w:w="108" w:type="dxa"/>
            <w:bottom w:w="0" w:type="dxa"/>
            <w:right w:w="108" w:type="dxa"/>
          </w:tblCellMar>
        </w:tblPrEx>
        <w:trPr>
          <w:trHeight w:val="615"/>
          <w:jc w:val="center"/>
        </w:trPr>
        <w:tc>
          <w:tcPr>
            <w:tcW w:w="2202" w:type="dxa"/>
            <w:tcBorders>
              <w:top w:val="nil"/>
              <w:bottom w:val="nil"/>
            </w:tcBorders>
            <w:noWrap w:val="0"/>
            <w:vAlign w:val="bottom"/>
          </w:tcPr>
          <w:p>
            <w:pPr>
              <w:jc w:val="distribute"/>
              <w:rPr>
                <w:rFonts w:eastAsia="黑体"/>
                <w:sz w:val="32"/>
                <w:szCs w:val="32"/>
              </w:rPr>
            </w:pPr>
            <w:r>
              <w:rPr>
                <w:rFonts w:eastAsia="黑体" w:hint="eastAsia"/>
                <w:sz w:val="32"/>
                <w:szCs w:val="32"/>
              </w:rPr>
              <w:t>完成</w:t>
            </w:r>
            <w:r>
              <w:rPr>
                <w:rFonts w:eastAsia="黑体"/>
                <w:sz w:val="32"/>
                <w:szCs w:val="32"/>
              </w:rPr>
              <w:t>时间</w:t>
            </w:r>
          </w:p>
        </w:tc>
        <w:tc>
          <w:tcPr>
            <w:tcW w:w="4394" w:type="dxa"/>
            <w:noWrap w:val="0"/>
            <w:vAlign w:val="bottom"/>
          </w:tcPr>
          <w:p>
            <w:pPr>
              <w:snapToGrid w:val="0"/>
              <w:jc w:val="center"/>
              <w:rPr>
                <w:rFonts w:ascii="宋体" w:hAnsi="宋体"/>
                <w:sz w:val="28"/>
                <w:szCs w:val="28"/>
              </w:rPr>
            </w:pPr>
            <w:r>
              <w:rPr>
                <w:rFonts w:ascii="宋体" w:hAnsi="宋体"/>
                <w:sz w:val="28"/>
                <w:szCs w:val="28"/>
              </w:rPr>
              <w:t>20</w:t>
            </w:r>
            <w:r>
              <w:rPr>
                <w:rFonts w:ascii="宋体" w:hAnsi="宋体" w:hint="eastAsia"/>
                <w:sz w:val="28"/>
                <w:szCs w:val="28"/>
              </w:rPr>
              <w:t>23</w:t>
            </w:r>
            <w:r>
              <w:rPr>
                <w:rFonts w:ascii="宋体" w:hAnsi="宋体"/>
                <w:sz w:val="28"/>
                <w:szCs w:val="28"/>
              </w:rPr>
              <w:t>年</w:t>
            </w:r>
            <w:r>
              <w:rPr>
                <w:rFonts w:ascii="宋体" w:hAnsi="宋体" w:hint="eastAsia"/>
                <w:sz w:val="28"/>
                <w:szCs w:val="28"/>
              </w:rPr>
              <w:t>3</w:t>
            </w:r>
            <w:r>
              <w:rPr>
                <w:rFonts w:ascii="宋体" w:hAnsi="宋体"/>
                <w:sz w:val="28"/>
                <w:szCs w:val="28"/>
              </w:rPr>
              <w:t>月</w:t>
            </w:r>
            <w:r>
              <w:rPr>
                <w:rFonts w:ascii="宋体" w:hAnsi="宋体" w:hint="eastAsia"/>
                <w:sz w:val="28"/>
                <w:szCs w:val="28"/>
              </w:rPr>
              <w:t>15</w:t>
            </w:r>
            <w:r>
              <w:rPr>
                <w:rFonts w:ascii="宋体" w:hAnsi="宋体"/>
                <w:sz w:val="28"/>
                <w:szCs w:val="28"/>
              </w:rPr>
              <w:t>日</w:t>
            </w:r>
          </w:p>
        </w:tc>
      </w:tr>
    </w:tbl>
    <w:p>
      <w:pPr>
        <w:widowControl/>
        <w:spacing w:line="360" w:lineRule="auto"/>
        <w:jc w:val="left"/>
        <w:rPr>
          <w:rFonts w:ascii="仿宋" w:eastAsia="仿宋" w:hAnsi="仿宋" w:hint="eastAsia"/>
          <w:b/>
          <w:sz w:val="28"/>
          <w:szCs w:val="21"/>
        </w:rPr>
        <w:sectPr>
          <w:type w:val="continuous"/>
          <w:pgSz w:w="11906" w:h="16838"/>
          <w:pgMar w:top="1417" w:right="1417" w:bottom="1417" w:left="1417" w:header="851" w:footer="992" w:gutter="0"/>
          <w:pgNumType w:start="3" w:chapStyle="1"/>
          <w:cols w:num="1" w:space="720"/>
          <w:rtlGutter w:val="0"/>
          <w:docGrid w:type="lines" w:linePitch="312" w:charSpace="0"/>
        </w:sectPr>
      </w:pPr>
    </w:p>
    <w:p>
      <w:pPr>
        <w:widowControl/>
        <w:spacing w:line="360" w:lineRule="auto"/>
        <w:jc w:val="left"/>
        <w:rPr>
          <w:rFonts w:ascii="仿宋" w:eastAsia="仿宋" w:hAnsi="仿宋"/>
          <w:b/>
          <w:sz w:val="28"/>
          <w:szCs w:val="21"/>
        </w:rPr>
        <w:sectPr>
          <w:headerReference w:type="default" r:id="rId6"/>
          <w:footerReference w:type="default" r:id="rId7"/>
          <w:type w:val="continuous"/>
          <w:pgSz w:w="11906" w:h="16838"/>
          <w:pgMar w:top="1417" w:right="1417" w:bottom="1417" w:left="1417" w:header="851" w:footer="992" w:gutter="0"/>
          <w:pgNumType w:start="3" w:chapStyle="1"/>
          <w:cols w:num="1" w:space="720"/>
          <w:rtlGutter w:val="0"/>
          <w:docGrid w:type="lines" w:linePitch="312" w:charSpace="0"/>
        </w:sectPr>
      </w:pPr>
    </w:p>
    <w:p>
      <w:pPr>
        <w:widowControl/>
        <w:spacing w:line="360" w:lineRule="auto"/>
        <w:jc w:val="center"/>
        <w:rPr>
          <w:rFonts w:ascii="黑体" w:eastAsia="黑体" w:hAnsi="黑体" w:cs="黑体" w:hint="eastAsia"/>
          <w:bCs/>
          <w:sz w:val="44"/>
          <w:szCs w:val="44"/>
        </w:rPr>
      </w:pPr>
      <w:r>
        <w:rPr>
          <w:rFonts w:ascii="黑体" w:eastAsia="黑体" w:hAnsi="黑体" w:cs="黑体" w:hint="eastAsia"/>
          <w:bCs/>
          <w:sz w:val="44"/>
          <w:szCs w:val="44"/>
        </w:rPr>
        <w:t>诚信承诺书</w:t>
      </w:r>
    </w:p>
    <w:p>
      <w:pPr>
        <w:widowControl/>
        <w:spacing w:line="360" w:lineRule="auto"/>
        <w:jc w:val="center"/>
        <w:rPr>
          <w:rFonts w:ascii="黑体" w:eastAsia="黑体" w:hAnsi="黑体" w:cs="黑体" w:hint="eastAsia"/>
          <w:bCs/>
          <w:sz w:val="44"/>
          <w:szCs w:val="44"/>
        </w:rPr>
      </w:pPr>
    </w:p>
    <w:p>
      <w:pPr>
        <w:snapToGrid w:val="0"/>
        <w:spacing w:line="600" w:lineRule="exact"/>
        <w:ind w:firstLine="560" w:firstLineChars="200"/>
        <w:rPr>
          <w:rFonts w:hint="eastAsia"/>
          <w:sz w:val="28"/>
          <w:szCs w:val="28"/>
        </w:rPr>
      </w:pPr>
      <w:r>
        <w:rPr>
          <w:rFonts w:hint="eastAsia"/>
          <w:sz w:val="28"/>
          <w:szCs w:val="28"/>
        </w:rPr>
        <w:t>我承诺在本科毕业论文（设计）活动中遵守学校有关规定，恪守学术规范，本人本科毕业论文（设计）内容除特别注明和引用外，均为本人观点，不存在剽窃、抄袭他人学术成果，伪造、篡改实验数据的情况。如有违规行为，我愿承担一切责任，接受学校的处理。</w:t>
      </w:r>
      <w:r>
        <w:rPr>
          <w:sz w:val="28"/>
          <w:szCs w:val="28"/>
        </w:rPr>
        <w:t xml:space="preserve">  </w:t>
      </w:r>
    </w:p>
    <w:p>
      <w:pPr>
        <w:snapToGrid w:val="0"/>
        <w:spacing w:line="600" w:lineRule="exact"/>
        <w:ind w:firstLine="560" w:firstLineChars="200"/>
        <w:rPr>
          <w:sz w:val="28"/>
          <w:szCs w:val="28"/>
        </w:rPr>
      </w:pPr>
      <w:r>
        <w:rPr>
          <w:sz w:val="28"/>
          <w:szCs w:val="28"/>
        </w:rPr>
        <w:t xml:space="preserve">                             </w:t>
      </w:r>
    </w:p>
    <w:p>
      <w:pPr>
        <w:tabs>
          <w:tab w:val="left" w:pos="5085"/>
          <w:tab w:val="left" w:pos="5235"/>
          <w:tab w:val="left" w:pos="6525"/>
          <w:tab w:val="left" w:pos="6840"/>
        </w:tabs>
        <w:snapToGrid w:val="0"/>
        <w:spacing w:line="600" w:lineRule="exact"/>
        <w:jc w:val="center"/>
        <w:rPr>
          <w:sz w:val="28"/>
          <w:szCs w:val="28"/>
        </w:rPr>
      </w:pPr>
      <w:r>
        <w:rPr>
          <w:rFonts w:hint="eastAsia"/>
          <w:sz w:val="28"/>
          <w:szCs w:val="28"/>
        </w:rPr>
        <w:t xml:space="preserve">                       学生（签名）：</w:t>
      </w:r>
    </w:p>
    <w:p>
      <w:pPr>
        <w:widowControl/>
        <w:spacing w:line="600" w:lineRule="exact"/>
        <w:jc w:val="center"/>
        <w:rPr>
          <w:sz w:val="28"/>
          <w:szCs w:val="28"/>
        </w:rPr>
      </w:pPr>
      <w:r>
        <w:rPr>
          <w:rFonts w:hint="eastAsia"/>
          <w:sz w:val="28"/>
          <w:szCs w:val="28"/>
        </w:rPr>
        <w:t xml:space="preserve">                                         年</w:t>
      </w:r>
      <w:r>
        <w:rPr>
          <w:sz w:val="28"/>
          <w:szCs w:val="28"/>
        </w:rPr>
        <w:t xml:space="preserve">    </w:t>
      </w:r>
      <w:r>
        <w:rPr>
          <w:rFonts w:hint="eastAsia"/>
          <w:sz w:val="28"/>
          <w:szCs w:val="28"/>
        </w:rPr>
        <w:t>月    日</w:t>
      </w:r>
      <w:r>
        <w:rPr>
          <w:sz w:val="28"/>
          <w:szCs w:val="28"/>
        </w:rPr>
        <w:t xml:space="preserve">    </w:t>
      </w:r>
    </w:p>
    <w:p>
      <w:pPr>
        <w:snapToGrid w:val="0"/>
        <w:spacing w:line="600" w:lineRule="exact"/>
        <w:ind w:firstLine="560" w:firstLineChars="200"/>
        <w:jc w:val="left"/>
        <w:rPr>
          <w:rFonts w:hint="eastAsia"/>
          <w:sz w:val="28"/>
          <w:szCs w:val="28"/>
        </w:rPr>
      </w:pPr>
    </w:p>
    <w:p>
      <w:pPr>
        <w:snapToGrid w:val="0"/>
        <w:spacing w:line="600" w:lineRule="exact"/>
        <w:ind w:firstLine="560" w:firstLineChars="200"/>
        <w:jc w:val="left"/>
        <w:rPr>
          <w:rFonts w:hint="eastAsia"/>
          <w:sz w:val="28"/>
          <w:szCs w:val="28"/>
        </w:rPr>
      </w:pPr>
    </w:p>
    <w:p>
      <w:pPr>
        <w:snapToGrid w:val="0"/>
        <w:spacing w:line="600" w:lineRule="exact"/>
        <w:jc w:val="left"/>
        <w:rPr>
          <w:rFonts w:hint="eastAsia"/>
          <w:sz w:val="28"/>
          <w:szCs w:val="28"/>
        </w:rPr>
      </w:pPr>
    </w:p>
    <w:p>
      <w:pPr>
        <w:snapToGrid w:val="0"/>
        <w:spacing w:line="600" w:lineRule="exact"/>
        <w:ind w:firstLine="560" w:firstLineChars="200"/>
        <w:jc w:val="left"/>
        <w:rPr>
          <w:sz w:val="28"/>
          <w:szCs w:val="28"/>
        </w:rPr>
      </w:pPr>
      <w:r>
        <w:rPr>
          <w:rFonts w:hint="eastAsia"/>
          <w:sz w:val="28"/>
          <w:szCs w:val="28"/>
        </w:rPr>
        <w:t>我承诺在指导学生本科毕业论文（设计）活动中遵守学校有关规定，恪守学术道德规范，经过本人核查，该生本科毕业论文（设计）内容除特别注明和引用外，均为该生本人观点，不存在剽窃、抄袭他人学术成果，伪造、篡改实验数据的现象。</w:t>
      </w:r>
    </w:p>
    <w:p>
      <w:pPr>
        <w:tabs>
          <w:tab w:val="left" w:pos="5085"/>
          <w:tab w:val="left" w:pos="5235"/>
          <w:tab w:val="left" w:pos="5585"/>
          <w:tab w:val="left" w:pos="6525"/>
          <w:tab w:val="left" w:pos="6840"/>
        </w:tabs>
        <w:snapToGrid w:val="0"/>
        <w:spacing w:line="600" w:lineRule="exact"/>
        <w:jc w:val="left"/>
        <w:rPr>
          <w:rFonts w:ascii="Arial" w:hAnsi="Arial" w:cs="Arial"/>
          <w:sz w:val="28"/>
          <w:szCs w:val="28"/>
        </w:rPr>
      </w:pPr>
      <w:r>
        <w:rPr>
          <w:rFonts w:ascii="Arial" w:hAnsi="Arial" w:cs="Arial"/>
          <w:sz w:val="28"/>
          <w:szCs w:val="28"/>
        </w:rPr>
        <w:t xml:space="preserve">                           </w:t>
      </w:r>
    </w:p>
    <w:p>
      <w:pPr>
        <w:tabs>
          <w:tab w:val="left" w:pos="5085"/>
          <w:tab w:val="left" w:pos="5235"/>
          <w:tab w:val="left" w:pos="5585"/>
          <w:tab w:val="left" w:pos="6525"/>
          <w:tab w:val="left" w:pos="6840"/>
        </w:tabs>
        <w:snapToGrid w:val="0"/>
        <w:spacing w:line="600" w:lineRule="exact"/>
        <w:ind w:firstLine="4480" w:firstLineChars="1600"/>
        <w:jc w:val="left"/>
        <w:rPr>
          <w:rFonts w:ascii="Arial" w:hAnsi="Arial" w:cs="Arial"/>
          <w:sz w:val="28"/>
          <w:szCs w:val="28"/>
        </w:rPr>
      </w:pPr>
      <w:r>
        <w:rPr>
          <w:rFonts w:ascii="Arial" w:hAnsi="Arial" w:cs="Arial" w:hint="eastAsia"/>
          <w:sz w:val="28"/>
          <w:szCs w:val="28"/>
        </w:rPr>
        <w:t>指导教师（签名）：</w:t>
      </w:r>
    </w:p>
    <w:p>
      <w:pPr>
        <w:widowControl/>
        <w:spacing w:line="600" w:lineRule="exact"/>
        <w:jc w:val="center"/>
        <w:rPr>
          <w:rFonts w:ascii="Arial" w:hAnsi="Arial" w:cs="Arial" w:hint="eastAsia"/>
          <w:sz w:val="28"/>
          <w:szCs w:val="28"/>
        </w:rPr>
      </w:pPr>
      <w:r>
        <w:rPr>
          <w:rFonts w:ascii="Arial" w:hAnsi="Arial" w:cs="Arial"/>
          <w:sz w:val="28"/>
          <w:szCs w:val="28"/>
        </w:rPr>
        <w:t xml:space="preserve">                        </w:t>
      </w:r>
      <w:r>
        <w:rPr>
          <w:rFonts w:ascii="Arial" w:hAnsi="Arial" w:cs="Arial" w:hint="eastAsia"/>
          <w:sz w:val="28"/>
          <w:szCs w:val="28"/>
        </w:rPr>
        <w:t>　　　　　　　</w:t>
      </w:r>
      <w:r>
        <w:rPr>
          <w:rFonts w:ascii="Arial" w:hAnsi="Arial" w:cs="Arial"/>
          <w:sz w:val="28"/>
          <w:szCs w:val="28"/>
        </w:rPr>
        <w:t xml:space="preserve"> </w:t>
      </w:r>
      <w:r>
        <w:rPr>
          <w:rFonts w:ascii="Arial" w:hAnsi="Arial" w:cs="Arial" w:hint="eastAsia"/>
          <w:sz w:val="28"/>
          <w:szCs w:val="28"/>
        </w:rPr>
        <w:t>年</w:t>
      </w:r>
      <w:r>
        <w:rPr>
          <w:rFonts w:ascii="Arial" w:hAnsi="Arial" w:cs="Arial"/>
          <w:sz w:val="28"/>
          <w:szCs w:val="28"/>
        </w:rPr>
        <w:t xml:space="preserve">    </w:t>
      </w:r>
      <w:r>
        <w:rPr>
          <w:rFonts w:ascii="Arial" w:hAnsi="Arial" w:cs="Arial" w:hint="eastAsia"/>
          <w:sz w:val="28"/>
          <w:szCs w:val="28"/>
        </w:rPr>
        <w:t>月</w:t>
      </w:r>
      <w:r>
        <w:rPr>
          <w:rFonts w:ascii="Arial" w:hAnsi="Arial" w:cs="Arial"/>
          <w:sz w:val="28"/>
          <w:szCs w:val="28"/>
        </w:rPr>
        <w:t xml:space="preserve">    </w:t>
      </w:r>
      <w:r>
        <w:rPr>
          <w:rFonts w:ascii="Arial" w:hAnsi="Arial" w:cs="Arial" w:hint="eastAsia"/>
          <w:sz w:val="28"/>
          <w:szCs w:val="28"/>
        </w:rPr>
        <w:t>日</w:t>
      </w:r>
    </w:p>
    <w:p>
      <w:pPr>
        <w:widowControl/>
        <w:spacing w:line="360" w:lineRule="auto"/>
        <w:jc w:val="left"/>
        <w:rPr>
          <w:rFonts w:ascii="仿宋" w:eastAsia="仿宋" w:hAnsi="仿宋"/>
          <w:b/>
          <w:sz w:val="28"/>
          <w:szCs w:val="21"/>
        </w:rPr>
        <w:sectPr>
          <w:headerReference w:type="default" r:id="rId8"/>
          <w:footerReference w:type="default" r:id="rId9"/>
          <w:type w:val="nextPage"/>
          <w:pgSz w:w="11906" w:h="16838"/>
          <w:pgMar w:top="1417" w:right="1417" w:bottom="1417" w:left="1417" w:header="851" w:footer="992" w:gutter="0"/>
          <w:pgNumType w:start="4" w:chapStyle="1"/>
          <w:cols w:num="1" w:space="720"/>
          <w:titlePg w:val="0"/>
          <w:rtlGutter w:val="0"/>
          <w:docGrid w:type="lines" w:linePitch="312" w:charSpace="0"/>
        </w:sectPr>
      </w:pPr>
    </w:p>
    <w:p>
      <w:pPr>
        <w:widowControl/>
        <w:spacing w:line="360" w:lineRule="auto"/>
        <w:jc w:val="left"/>
        <w:rPr>
          <w:rFonts w:ascii="仿宋" w:eastAsia="仿宋" w:hAnsi="仿宋"/>
          <w:b/>
          <w:sz w:val="28"/>
          <w:szCs w:val="21"/>
        </w:rPr>
      </w:pPr>
    </w:p>
    <w:p>
      <w:pPr>
        <w:pStyle w:val="CM3"/>
        <w:snapToGrid w:val="0"/>
        <w:spacing w:line="360" w:lineRule="auto"/>
        <w:jc w:val="center"/>
        <w:rPr>
          <w:rFonts w:ascii="黑体" w:eastAsia="黑体" w:cs="ST Song" w:hint="eastAsia"/>
          <w:sz w:val="32"/>
          <w:szCs w:val="32"/>
        </w:rPr>
      </w:pPr>
      <w:r>
        <w:rPr>
          <w:rFonts w:ascii="黑体" w:eastAsia="黑体" w:cs="ST Song" w:hint="eastAsia"/>
          <w:sz w:val="32"/>
          <w:szCs w:val="32"/>
        </w:rPr>
        <w:t>目  录</w:t>
      </w:r>
    </w:p>
    <w:p>
      <w:pPr>
        <w:pStyle w:val="TOC1"/>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hAnsi="Times New Roman" w:cs="Times New Roman" w:hint="default"/>
          <w:i w:val="0"/>
          <w:iCs w:val="0"/>
          <w:szCs w:val="24"/>
        </w:rPr>
      </w:pPr>
      <w:r>
        <w:rPr>
          <w:rFonts w:ascii="Times New Roman" w:eastAsia="宋体" w:hAnsi="Times New Roman" w:cs="Times New Roman" w:hint="default"/>
          <w:b w:val="0"/>
          <w:bCs w:val="0"/>
          <w:i w:val="0"/>
          <w:iCs w:val="0"/>
          <w:sz w:val="24"/>
          <w:szCs w:val="24"/>
        </w:rPr>
        <w:fldChar w:fldCharType="begin"/>
      </w:r>
      <w:r>
        <w:rPr>
          <w:rFonts w:ascii="Times New Roman" w:eastAsia="宋体" w:hAnsi="Times New Roman" w:cs="Times New Roman" w:hint="default"/>
          <w:b w:val="0"/>
          <w:bCs w:val="0"/>
          <w:i w:val="0"/>
          <w:iCs w:val="0"/>
          <w:sz w:val="24"/>
          <w:szCs w:val="24"/>
        </w:rPr>
        <w:instrText xml:space="preserve">TOC \o "1-3" \h \u </w:instrText>
      </w:r>
      <w:r>
        <w:rPr>
          <w:rFonts w:ascii="Times New Roman" w:eastAsia="宋体" w:hAnsi="Times New Roman" w:cs="Times New Roman" w:hint="default"/>
          <w:b w:val="0"/>
          <w:bCs w:val="0"/>
          <w:i w:val="0"/>
          <w:iCs w:val="0"/>
          <w:sz w:val="24"/>
          <w:szCs w:val="24"/>
        </w:rPr>
        <w:fldChar w:fldCharType="separate"/>
      </w:r>
      <w:hyperlink w:anchor="_Toc19205" w:history="1">
        <w:r>
          <w:rPr>
            <w:rFonts w:ascii="Times New Roman" w:eastAsia="宋体" w:hAnsi="Times New Roman" w:cs="Times New Roman" w:hint="default"/>
            <w:i w:val="0"/>
            <w:iCs w:val="0"/>
            <w:sz w:val="24"/>
            <w:szCs w:val="24"/>
            <w:lang w:val="en-US" w:eastAsia="zh-CN"/>
          </w:rPr>
          <w:t>1. 绪论</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_Toc19205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1</w:t>
        </w:r>
        <w:r>
          <w:rPr>
            <w:rFonts w:ascii="Times New Roman" w:eastAsia="宋体" w:hAnsi="Times New Roman" w:cs="Times New Roman" w:hint="default"/>
            <w:i w:val="0"/>
            <w:iCs w:val="0"/>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6083" w:history="1">
        <w:r>
          <w:rPr>
            <w:rFonts w:ascii="Times New Roman" w:eastAsia="宋体" w:hAnsi="Times New Roman" w:cs="Times New Roman" w:hint="default"/>
            <w:i w:val="0"/>
            <w:iCs w:val="0"/>
            <w:sz w:val="24"/>
            <w:szCs w:val="24"/>
            <w:lang w:val="en-US" w:eastAsia="zh-CN"/>
          </w:rPr>
          <w:t>1.1 研究背景</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_Toc6083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1</w:t>
        </w:r>
        <w:r>
          <w:rPr>
            <w:rFonts w:ascii="Times New Roman" w:eastAsia="宋体" w:hAnsi="Times New Roman" w:cs="Times New Roman" w:hint="default"/>
            <w:i w:val="0"/>
            <w:iCs w:val="0"/>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3539" w:history="1">
        <w:r>
          <w:rPr>
            <w:rFonts w:ascii="Times New Roman" w:eastAsia="宋体" w:hAnsi="Times New Roman" w:cs="Times New Roman" w:hint="default"/>
            <w:i w:val="0"/>
            <w:iCs w:val="0"/>
            <w:sz w:val="24"/>
            <w:szCs w:val="24"/>
            <w:lang w:val="en-US" w:eastAsia="zh-CN"/>
          </w:rPr>
          <w:t>1.2 研究意义</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_Toc3539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2</w:t>
        </w:r>
        <w:r>
          <w:rPr>
            <w:rFonts w:ascii="Times New Roman" w:eastAsia="宋体" w:hAnsi="Times New Roman" w:cs="Times New Roman" w:hint="default"/>
            <w:i w:val="0"/>
            <w:iCs w:val="0"/>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16055" w:history="1">
        <w:r>
          <w:rPr>
            <w:rFonts w:ascii="Times New Roman" w:eastAsia="宋体" w:hAnsi="Times New Roman" w:cs="Times New Roman" w:hint="default"/>
            <w:i w:val="0"/>
            <w:iCs w:val="0"/>
            <w:sz w:val="24"/>
            <w:szCs w:val="24"/>
            <w:lang w:val="en-US" w:eastAsia="zh-CN"/>
          </w:rPr>
          <w:t>1.2.1 理论意义</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_Toc16055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2</w:t>
        </w:r>
        <w:r>
          <w:rPr>
            <w:rFonts w:ascii="Times New Roman" w:eastAsia="宋体" w:hAnsi="Times New Roman" w:cs="Times New Roman" w:hint="default"/>
            <w:i w:val="0"/>
            <w:iCs w:val="0"/>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15103" w:history="1">
        <w:r>
          <w:rPr>
            <w:rFonts w:ascii="Times New Roman" w:eastAsia="宋体" w:hAnsi="Times New Roman" w:cs="Times New Roman" w:hint="default"/>
            <w:i w:val="0"/>
            <w:iCs w:val="0"/>
            <w:sz w:val="24"/>
            <w:szCs w:val="24"/>
            <w:lang w:val="en-US" w:eastAsia="zh-CN"/>
          </w:rPr>
          <w:t>1.2.2 实践意义</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_Toc15103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2</w:t>
        </w:r>
        <w:r>
          <w:rPr>
            <w:rFonts w:ascii="Times New Roman" w:eastAsia="宋体" w:hAnsi="Times New Roman" w:cs="Times New Roman" w:hint="default"/>
            <w:i w:val="0"/>
            <w:iCs w:val="0"/>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189" w:history="1">
        <w:r>
          <w:rPr>
            <w:rFonts w:ascii="Times New Roman" w:eastAsia="宋体" w:hAnsi="Times New Roman" w:cs="Times New Roman" w:hint="default"/>
            <w:i w:val="0"/>
            <w:iCs w:val="0"/>
            <w:sz w:val="24"/>
            <w:szCs w:val="24"/>
            <w:lang w:val="en-US" w:eastAsia="zh-CN"/>
          </w:rPr>
          <w:t>1.3 国内外相关研究现状</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_Toc189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2</w:t>
        </w:r>
        <w:r>
          <w:rPr>
            <w:rFonts w:ascii="Times New Roman" w:eastAsia="宋体" w:hAnsi="Times New Roman" w:cs="Times New Roman" w:hint="default"/>
            <w:i w:val="0"/>
            <w:iCs w:val="0"/>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2417" w:history="1">
        <w:r>
          <w:rPr>
            <w:rFonts w:ascii="Times New Roman" w:eastAsia="宋体" w:hAnsi="Times New Roman" w:cs="Times New Roman" w:hint="default"/>
            <w:i w:val="0"/>
            <w:iCs w:val="0"/>
            <w:sz w:val="24"/>
            <w:szCs w:val="24"/>
            <w:lang w:val="en-US" w:eastAsia="zh-CN"/>
          </w:rPr>
          <w:t>1.3.1 国外相关研究现状</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_Toc2417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2</w:t>
        </w:r>
        <w:r>
          <w:rPr>
            <w:rFonts w:ascii="Times New Roman" w:eastAsia="宋体" w:hAnsi="Times New Roman" w:cs="Times New Roman" w:hint="default"/>
            <w:i w:val="0"/>
            <w:iCs w:val="0"/>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1152" w:history="1">
        <w:r>
          <w:rPr>
            <w:rFonts w:ascii="Times New Roman" w:eastAsia="宋体" w:hAnsi="Times New Roman" w:cs="Times New Roman" w:hint="default"/>
            <w:i w:val="0"/>
            <w:iCs w:val="0"/>
            <w:sz w:val="24"/>
            <w:szCs w:val="24"/>
            <w:lang w:val="en-US" w:eastAsia="zh-CN"/>
          </w:rPr>
          <w:t>1.3.2 国内相关研究现状</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_Toc1152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3</w:t>
        </w:r>
        <w:r>
          <w:rPr>
            <w:rFonts w:ascii="Times New Roman" w:eastAsia="宋体" w:hAnsi="Times New Roman" w:cs="Times New Roman" w:hint="default"/>
            <w:i w:val="0"/>
            <w:iCs w:val="0"/>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11007" w:history="1">
        <w:r>
          <w:rPr>
            <w:rFonts w:ascii="Times New Roman" w:eastAsia="宋体" w:hAnsi="Times New Roman" w:cs="Times New Roman" w:hint="default"/>
            <w:i w:val="0"/>
            <w:iCs w:val="0"/>
            <w:sz w:val="24"/>
            <w:szCs w:val="24"/>
            <w:lang w:val="en-US" w:eastAsia="zh-CN"/>
          </w:rPr>
          <w:t>1.4 研究的思路</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_Toc11007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4</w:t>
        </w:r>
        <w:r>
          <w:rPr>
            <w:rFonts w:ascii="Times New Roman" w:eastAsia="宋体" w:hAnsi="Times New Roman" w:cs="Times New Roman" w:hint="default"/>
            <w:i w:val="0"/>
            <w:iCs w:val="0"/>
            <w:sz w:val="24"/>
            <w:szCs w:val="24"/>
          </w:rPr>
          <w:fldChar w:fldCharType="end"/>
        </w:r>
      </w:hyperlink>
    </w:p>
    <w:p>
      <w:pPr>
        <w:pStyle w:val="TOC1"/>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hAnsi="Times New Roman" w:cs="Times New Roman" w:hint="default"/>
          <w:i w:val="0"/>
          <w:iCs w:val="0"/>
          <w:szCs w:val="24"/>
        </w:rPr>
      </w:pPr>
      <w:hyperlink w:anchor="_Toc10990" w:history="1">
        <w:r>
          <w:rPr>
            <w:rFonts w:ascii="Times New Roman" w:eastAsia="宋体" w:hAnsi="Times New Roman" w:cs="Times New Roman" w:hint="default"/>
            <w:i w:val="0"/>
            <w:iCs w:val="0"/>
            <w:sz w:val="24"/>
            <w:szCs w:val="24"/>
            <w:lang w:val="en-US" w:eastAsia="zh-CN"/>
          </w:rPr>
          <w:t>2. 财务风险管理理论</w:t>
        </w:r>
        <w:bookmarkStart w:id="0" w:name="_GoBack"/>
        <w:bookmarkEnd w:id="0"/>
        <w:r>
          <w:rPr>
            <w:rFonts w:ascii="Times New Roman" w:eastAsia="宋体" w:hAnsi="Times New Roman" w:cs="Times New Roman" w:hint="default"/>
            <w:i w:val="0"/>
            <w:iCs w:val="0"/>
            <w:sz w:val="24"/>
            <w:szCs w:val="24"/>
            <w:lang w:val="en-US" w:eastAsia="zh-CN"/>
          </w:rPr>
          <w:t>综述</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_Toc10990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5</w:t>
        </w:r>
        <w:r>
          <w:rPr>
            <w:rFonts w:ascii="Times New Roman" w:eastAsia="宋体" w:hAnsi="Times New Roman" w:cs="Times New Roman" w:hint="default"/>
            <w:i w:val="0"/>
            <w:iCs w:val="0"/>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24972" w:history="1">
        <w:r>
          <w:rPr>
            <w:rFonts w:ascii="Times New Roman" w:eastAsia="宋体" w:hAnsi="Times New Roman" w:cs="Times New Roman" w:hint="default"/>
            <w:i w:val="0"/>
            <w:iCs w:val="0"/>
            <w:sz w:val="24"/>
            <w:szCs w:val="24"/>
            <w:lang w:val="en-US" w:eastAsia="zh-CN"/>
          </w:rPr>
          <w:t>2.1 财务风险的内涵</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_Toc24972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5</w:t>
        </w:r>
        <w:r>
          <w:rPr>
            <w:rFonts w:ascii="Times New Roman" w:eastAsia="宋体" w:hAnsi="Times New Roman" w:cs="Times New Roman" w:hint="default"/>
            <w:i w:val="0"/>
            <w:iCs w:val="0"/>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10337" w:history="1">
        <w:r>
          <w:rPr>
            <w:rFonts w:ascii="Times New Roman" w:eastAsia="宋体" w:hAnsi="Times New Roman" w:cs="Times New Roman" w:hint="default"/>
            <w:i w:val="0"/>
            <w:iCs w:val="0"/>
            <w:sz w:val="24"/>
            <w:szCs w:val="24"/>
            <w:lang w:val="en-US" w:eastAsia="zh-CN"/>
          </w:rPr>
          <w:t>2.2 财务风险的特征</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_Toc10337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5</w:t>
        </w:r>
        <w:r>
          <w:rPr>
            <w:rFonts w:ascii="Times New Roman" w:eastAsia="宋体" w:hAnsi="Times New Roman" w:cs="Times New Roman" w:hint="default"/>
            <w:i w:val="0"/>
            <w:iCs w:val="0"/>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10756" w:history="1">
        <w:r>
          <w:rPr>
            <w:rFonts w:ascii="Times New Roman" w:eastAsia="宋体" w:hAnsi="Times New Roman" w:cs="Times New Roman" w:hint="default"/>
            <w:i w:val="0"/>
            <w:iCs w:val="0"/>
            <w:sz w:val="24"/>
            <w:szCs w:val="24"/>
            <w:lang w:val="en-US" w:eastAsia="zh-CN"/>
          </w:rPr>
          <w:t>2.2.1 不确定性</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_Toc10756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5</w:t>
        </w:r>
        <w:r>
          <w:rPr>
            <w:rFonts w:ascii="Times New Roman" w:eastAsia="宋体" w:hAnsi="Times New Roman" w:cs="Times New Roman" w:hint="default"/>
            <w:i w:val="0"/>
            <w:iCs w:val="0"/>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8233" w:history="1">
        <w:r>
          <w:rPr>
            <w:rFonts w:ascii="Times New Roman" w:eastAsia="宋体" w:hAnsi="Times New Roman" w:cs="Times New Roman" w:hint="default"/>
            <w:i w:val="0"/>
            <w:iCs w:val="0"/>
            <w:sz w:val="24"/>
            <w:szCs w:val="24"/>
            <w:lang w:val="en-US" w:eastAsia="zh-CN"/>
          </w:rPr>
          <w:t>2.2.2 客观性</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_Toc8233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5</w:t>
        </w:r>
        <w:r>
          <w:rPr>
            <w:rFonts w:ascii="Times New Roman" w:eastAsia="宋体" w:hAnsi="Times New Roman" w:cs="Times New Roman" w:hint="default"/>
            <w:i w:val="0"/>
            <w:iCs w:val="0"/>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5184" w:history="1">
        <w:r>
          <w:rPr>
            <w:rFonts w:ascii="Times New Roman" w:eastAsia="宋体" w:hAnsi="Times New Roman" w:cs="Times New Roman" w:hint="default"/>
            <w:i w:val="0"/>
            <w:iCs w:val="0"/>
            <w:sz w:val="24"/>
            <w:szCs w:val="24"/>
            <w:lang w:val="en-US" w:eastAsia="zh-CN"/>
          </w:rPr>
          <w:t>2.2.3 全面性</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_Toc5184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5</w:t>
        </w:r>
        <w:r>
          <w:rPr>
            <w:rFonts w:ascii="Times New Roman" w:eastAsia="宋体" w:hAnsi="Times New Roman" w:cs="Times New Roman" w:hint="default"/>
            <w:i w:val="0"/>
            <w:iCs w:val="0"/>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7512" w:history="1">
        <w:r>
          <w:rPr>
            <w:rFonts w:ascii="Times New Roman" w:eastAsia="宋体" w:hAnsi="Times New Roman" w:cs="Times New Roman" w:hint="default"/>
            <w:i w:val="0"/>
            <w:iCs w:val="0"/>
            <w:sz w:val="24"/>
            <w:szCs w:val="24"/>
            <w:lang w:val="en-US" w:eastAsia="zh-CN"/>
          </w:rPr>
          <w:t>2.2.4 收益与风险共存性</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_Toc7512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5</w:t>
        </w:r>
        <w:r>
          <w:rPr>
            <w:rFonts w:ascii="Times New Roman" w:eastAsia="宋体" w:hAnsi="Times New Roman" w:cs="Times New Roman" w:hint="default"/>
            <w:i w:val="0"/>
            <w:iCs w:val="0"/>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22306" w:history="1">
        <w:r>
          <w:rPr>
            <w:rFonts w:ascii="Times New Roman" w:eastAsia="宋体" w:hAnsi="Times New Roman" w:cs="Times New Roman" w:hint="default"/>
            <w:i w:val="0"/>
            <w:iCs w:val="0"/>
            <w:sz w:val="24"/>
            <w:szCs w:val="24"/>
            <w:lang w:val="en-US" w:eastAsia="zh-CN"/>
          </w:rPr>
          <w:t>2.2.5 激励性</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_Toc22306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5</w:t>
        </w:r>
        <w:r>
          <w:rPr>
            <w:rFonts w:ascii="Times New Roman" w:eastAsia="宋体" w:hAnsi="Times New Roman" w:cs="Times New Roman" w:hint="default"/>
            <w:i w:val="0"/>
            <w:iCs w:val="0"/>
            <w:sz w:val="24"/>
            <w:szCs w:val="24"/>
          </w:rPr>
          <w:fldChar w:fldCharType="end"/>
        </w:r>
      </w:hyperlink>
    </w:p>
    <w:p>
      <w:pPr>
        <w:pStyle w:val="TOC1"/>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hAnsi="Times New Roman" w:cs="Times New Roman" w:hint="default"/>
          <w:i w:val="0"/>
          <w:iCs w:val="0"/>
          <w:szCs w:val="24"/>
        </w:rPr>
      </w:pPr>
      <w:hyperlink w:anchor="_Toc23297" w:history="1">
        <w:r>
          <w:rPr>
            <w:rFonts w:ascii="Times New Roman" w:eastAsia="宋体" w:hAnsi="Times New Roman" w:cs="Times New Roman" w:hint="default"/>
            <w:i w:val="0"/>
            <w:iCs w:val="0"/>
            <w:sz w:val="24"/>
            <w:szCs w:val="24"/>
            <w:lang w:val="en-US" w:eastAsia="zh-CN"/>
          </w:rPr>
          <w:t>3. 五粮液集团财务风险分析</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_Toc23297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6</w:t>
        </w:r>
        <w:r>
          <w:rPr>
            <w:rFonts w:ascii="Times New Roman" w:eastAsia="宋体" w:hAnsi="Times New Roman" w:cs="Times New Roman" w:hint="default"/>
            <w:i w:val="0"/>
            <w:iCs w:val="0"/>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27231" w:history="1">
        <w:r>
          <w:rPr>
            <w:rFonts w:ascii="Times New Roman" w:eastAsia="宋体" w:hAnsi="Times New Roman" w:cs="Times New Roman" w:hint="default"/>
            <w:i w:val="0"/>
            <w:iCs w:val="0"/>
            <w:sz w:val="24"/>
            <w:szCs w:val="24"/>
            <w:lang w:val="en-US" w:eastAsia="zh-CN"/>
          </w:rPr>
          <w:t>3.1 公司简介</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_Toc27231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6</w:t>
        </w:r>
        <w:r>
          <w:rPr>
            <w:rFonts w:ascii="Times New Roman" w:eastAsia="宋体" w:hAnsi="Times New Roman" w:cs="Times New Roman" w:hint="default"/>
            <w:i w:val="0"/>
            <w:iCs w:val="0"/>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8003" w:history="1">
        <w:r>
          <w:rPr>
            <w:rFonts w:ascii="Times New Roman" w:eastAsia="宋体" w:hAnsi="Times New Roman" w:cs="Times New Roman" w:hint="default"/>
            <w:i w:val="0"/>
            <w:iCs w:val="0"/>
            <w:sz w:val="24"/>
            <w:szCs w:val="24"/>
            <w:lang w:val="en-US" w:eastAsia="zh-CN"/>
          </w:rPr>
          <w:t>3.2 五粮液集团主要经营概况</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_Toc8003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6</w:t>
        </w:r>
        <w:r>
          <w:rPr>
            <w:rFonts w:ascii="Times New Roman" w:eastAsia="宋体" w:hAnsi="Times New Roman" w:cs="Times New Roman" w:hint="default"/>
            <w:i w:val="0"/>
            <w:iCs w:val="0"/>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31700" w:history="1">
        <w:r>
          <w:rPr>
            <w:rFonts w:ascii="Times New Roman" w:eastAsia="宋体" w:hAnsi="Times New Roman" w:cs="Times New Roman" w:hint="default"/>
            <w:i w:val="0"/>
            <w:iCs w:val="0"/>
            <w:sz w:val="24"/>
            <w:szCs w:val="24"/>
            <w:lang w:val="en-US" w:eastAsia="zh-CN"/>
          </w:rPr>
          <w:t>3.2.1 资产负债情况</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_Toc31700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6</w:t>
        </w:r>
        <w:r>
          <w:rPr>
            <w:rFonts w:ascii="Times New Roman" w:eastAsia="宋体" w:hAnsi="Times New Roman" w:cs="Times New Roman" w:hint="default"/>
            <w:i w:val="0"/>
            <w:iCs w:val="0"/>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18389" w:history="1">
        <w:r>
          <w:rPr>
            <w:rFonts w:ascii="Times New Roman" w:eastAsia="宋体" w:hAnsi="Times New Roman" w:cs="Times New Roman" w:hint="default"/>
            <w:i w:val="0"/>
            <w:iCs w:val="0"/>
            <w:sz w:val="24"/>
            <w:szCs w:val="24"/>
            <w:lang w:val="en-US" w:eastAsia="zh-CN"/>
          </w:rPr>
          <w:t>3.2.2 利润情况</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_Toc18389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7</w:t>
        </w:r>
        <w:r>
          <w:rPr>
            <w:rFonts w:ascii="Times New Roman" w:eastAsia="宋体" w:hAnsi="Times New Roman" w:cs="Times New Roman" w:hint="default"/>
            <w:i w:val="0"/>
            <w:iCs w:val="0"/>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1122" w:history="1">
        <w:r>
          <w:rPr>
            <w:rFonts w:ascii="Times New Roman" w:eastAsia="宋体" w:hAnsi="Times New Roman" w:cs="Times New Roman" w:hint="default"/>
            <w:i w:val="0"/>
            <w:iCs w:val="0"/>
            <w:sz w:val="24"/>
            <w:szCs w:val="24"/>
            <w:lang w:val="en-US" w:eastAsia="zh-CN"/>
          </w:rPr>
          <w:t>3.2.3 现金流量情况</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_Toc1122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7</w:t>
        </w:r>
        <w:r>
          <w:rPr>
            <w:rFonts w:ascii="Times New Roman" w:eastAsia="宋体" w:hAnsi="Times New Roman" w:cs="Times New Roman" w:hint="default"/>
            <w:i w:val="0"/>
            <w:iCs w:val="0"/>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23549" w:history="1">
        <w:r>
          <w:rPr>
            <w:rFonts w:ascii="Times New Roman" w:eastAsia="宋体" w:hAnsi="Times New Roman" w:cs="Times New Roman" w:hint="default"/>
            <w:i w:val="0"/>
            <w:iCs w:val="0"/>
            <w:sz w:val="24"/>
            <w:szCs w:val="24"/>
            <w:lang w:val="en-US" w:eastAsia="zh-CN"/>
          </w:rPr>
          <w:t>3.3 五粮液集团财务风险的识别</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_Toc23549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8</w:t>
        </w:r>
        <w:r>
          <w:rPr>
            <w:rFonts w:ascii="Times New Roman" w:eastAsia="宋体" w:hAnsi="Times New Roman" w:cs="Times New Roman" w:hint="default"/>
            <w:i w:val="0"/>
            <w:iCs w:val="0"/>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sectPr>
          <w:headerReference w:type="default" r:id="rId10"/>
          <w:footerReference w:type="default" r:id="rId11"/>
          <w:pgSz w:w="11906" w:h="16838"/>
          <w:pgMar w:top="1417" w:right="1417" w:bottom="1417" w:left="1417" w:header="851" w:footer="992" w:gutter="0"/>
          <w:pgNumType w:start="3" w:chapStyle="1"/>
          <w:cols w:num="1" w:space="720"/>
          <w:rtlGutter w:val="0"/>
          <w:docGrid w:type="lines" w:linePitch="312" w:charSpace="0"/>
        </w:sectPr>
      </w:pPr>
      <w:hyperlink w:anchor="_Toc8340" w:history="1">
        <w:r>
          <w:rPr>
            <w:rFonts w:ascii="Times New Roman" w:eastAsia="宋体" w:hAnsi="Times New Roman" w:cs="Times New Roman" w:hint="default"/>
            <w:i w:val="0"/>
            <w:iCs w:val="0"/>
            <w:sz w:val="24"/>
            <w:szCs w:val="24"/>
            <w:lang w:val="en-US" w:eastAsia="zh-CN"/>
          </w:rPr>
          <w:t>3.3.1 筹资风险识别</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_Toc8340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8</w:t>
        </w:r>
        <w:r>
          <w:rPr>
            <w:rFonts w:ascii="Times New Roman" w:eastAsia="宋体" w:hAnsi="Times New Roman" w:cs="Times New Roman" w:hint="default"/>
            <w:i w:val="0"/>
            <w:iCs w:val="0"/>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22282" w:history="1">
        <w:r>
          <w:rPr>
            <w:rFonts w:ascii="Times New Roman" w:eastAsia="宋体" w:hAnsi="Times New Roman" w:cs="Times New Roman" w:hint="default"/>
            <w:i w:val="0"/>
            <w:iCs w:val="0"/>
            <w:sz w:val="24"/>
            <w:szCs w:val="24"/>
            <w:lang w:val="en-US" w:eastAsia="zh-CN"/>
          </w:rPr>
          <w:t>3.3.2 投资风险识别</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_Toc22282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10</w:t>
        </w:r>
        <w:r>
          <w:rPr>
            <w:rFonts w:ascii="Times New Roman" w:eastAsia="宋体" w:hAnsi="Times New Roman" w:cs="Times New Roman" w:hint="default"/>
            <w:i w:val="0"/>
            <w:iCs w:val="0"/>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13222" w:history="1">
        <w:r>
          <w:rPr>
            <w:rFonts w:ascii="Times New Roman" w:eastAsia="宋体" w:hAnsi="Times New Roman" w:cs="Times New Roman" w:hint="default"/>
            <w:i w:val="0"/>
            <w:iCs w:val="0"/>
            <w:sz w:val="24"/>
            <w:szCs w:val="24"/>
            <w:lang w:val="en-US" w:eastAsia="zh-CN"/>
          </w:rPr>
          <w:t>3.3.3 营运风险识别</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_Toc13222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11</w:t>
        </w:r>
        <w:r>
          <w:rPr>
            <w:rFonts w:ascii="Times New Roman" w:eastAsia="宋体" w:hAnsi="Times New Roman" w:cs="Times New Roman" w:hint="default"/>
            <w:i w:val="0"/>
            <w:iCs w:val="0"/>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14282" w:history="1">
        <w:r>
          <w:rPr>
            <w:rFonts w:ascii="Times New Roman" w:eastAsia="宋体" w:hAnsi="Times New Roman" w:cs="Times New Roman" w:hint="default"/>
            <w:i w:val="0"/>
            <w:iCs w:val="0"/>
            <w:sz w:val="24"/>
            <w:szCs w:val="24"/>
            <w:lang w:val="en-US" w:eastAsia="zh-CN"/>
          </w:rPr>
          <w:t>3.3.4 收益分配风险识别</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_Toc14282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13</w:t>
        </w:r>
        <w:r>
          <w:rPr>
            <w:rFonts w:ascii="Times New Roman" w:eastAsia="宋体" w:hAnsi="Times New Roman" w:cs="Times New Roman" w:hint="default"/>
            <w:i w:val="0"/>
            <w:iCs w:val="0"/>
            <w:sz w:val="24"/>
            <w:szCs w:val="24"/>
          </w:rPr>
          <w:fldChar w:fldCharType="end"/>
        </w:r>
      </w:hyperlink>
    </w:p>
    <w:p>
      <w:pPr>
        <w:pStyle w:val="TOC1"/>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hAnsi="Times New Roman" w:cs="Times New Roman" w:hint="default"/>
          <w:i w:val="0"/>
          <w:iCs w:val="0"/>
          <w:szCs w:val="24"/>
        </w:rPr>
      </w:pPr>
      <w:hyperlink w:anchor="_Toc20393" w:history="1">
        <w:r>
          <w:rPr>
            <w:rFonts w:ascii="Times New Roman" w:eastAsia="宋体" w:hAnsi="Times New Roman" w:cs="Times New Roman" w:hint="default"/>
            <w:i w:val="0"/>
            <w:iCs w:val="0"/>
            <w:sz w:val="24"/>
            <w:szCs w:val="24"/>
            <w:lang w:val="en-US" w:eastAsia="zh-CN"/>
          </w:rPr>
          <w:t>4. 五粮液集团财务风险成因分析</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_Toc20393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15</w:t>
        </w:r>
        <w:r>
          <w:rPr>
            <w:rFonts w:ascii="Times New Roman" w:eastAsia="宋体" w:hAnsi="Times New Roman" w:cs="Times New Roman" w:hint="default"/>
            <w:i w:val="0"/>
            <w:iCs w:val="0"/>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1176" w:history="1">
        <w:r>
          <w:rPr>
            <w:rFonts w:ascii="Times New Roman" w:eastAsia="宋体" w:hAnsi="Times New Roman" w:cs="Times New Roman" w:hint="default"/>
            <w:i w:val="0"/>
            <w:iCs w:val="0"/>
            <w:sz w:val="24"/>
            <w:szCs w:val="24"/>
            <w:lang w:val="en-US" w:eastAsia="zh-CN"/>
          </w:rPr>
          <w:t>4.1 负债结构不合理</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_Toc1176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15</w:t>
        </w:r>
        <w:r>
          <w:rPr>
            <w:rFonts w:ascii="Times New Roman" w:eastAsia="宋体" w:hAnsi="Times New Roman" w:cs="Times New Roman" w:hint="default"/>
            <w:i w:val="0"/>
            <w:iCs w:val="0"/>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29653" w:history="1">
        <w:r>
          <w:rPr>
            <w:rFonts w:ascii="Times New Roman" w:eastAsia="宋体" w:hAnsi="Times New Roman" w:cs="Times New Roman" w:hint="default"/>
            <w:i w:val="0"/>
            <w:iCs w:val="0"/>
            <w:sz w:val="24"/>
            <w:szCs w:val="24"/>
            <w:lang w:val="en-US" w:eastAsia="zh-CN"/>
          </w:rPr>
          <w:t>4.2 投资规模过大</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_Toc29653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15</w:t>
        </w:r>
        <w:r>
          <w:rPr>
            <w:rFonts w:ascii="Times New Roman" w:eastAsia="宋体" w:hAnsi="Times New Roman" w:cs="Times New Roman" w:hint="default"/>
            <w:i w:val="0"/>
            <w:iCs w:val="0"/>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12533" w:history="1">
        <w:r>
          <w:rPr>
            <w:rFonts w:ascii="Times New Roman" w:eastAsia="宋体" w:hAnsi="Times New Roman" w:cs="Times New Roman" w:hint="default"/>
            <w:i w:val="0"/>
            <w:iCs w:val="0"/>
            <w:sz w:val="24"/>
            <w:szCs w:val="24"/>
            <w:lang w:val="en-US" w:eastAsia="zh-CN"/>
          </w:rPr>
          <w:t>4.3 总资产周转率低</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_Toc12533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15</w:t>
        </w:r>
        <w:r>
          <w:rPr>
            <w:rFonts w:ascii="Times New Roman" w:eastAsia="宋体" w:hAnsi="Times New Roman" w:cs="Times New Roman" w:hint="default"/>
            <w:i w:val="0"/>
            <w:iCs w:val="0"/>
            <w:sz w:val="24"/>
            <w:szCs w:val="24"/>
          </w:rPr>
          <w:fldChar w:fldCharType="end"/>
        </w:r>
      </w:hyperlink>
    </w:p>
    <w:p>
      <w:pPr>
        <w:pStyle w:val="TOC1"/>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hAnsi="Times New Roman" w:cs="Times New Roman" w:hint="default"/>
          <w:i w:val="0"/>
          <w:iCs w:val="0"/>
          <w:szCs w:val="24"/>
        </w:rPr>
      </w:pPr>
      <w:hyperlink w:anchor="_Toc31297" w:history="1">
        <w:r>
          <w:rPr>
            <w:rFonts w:ascii="Times New Roman" w:eastAsia="宋体" w:hAnsi="Times New Roman" w:cs="Times New Roman" w:hint="default"/>
            <w:i w:val="0"/>
            <w:iCs w:val="0"/>
            <w:sz w:val="24"/>
            <w:szCs w:val="24"/>
          </w:rPr>
          <w:t xml:space="preserve">5. </w:t>
        </w:r>
        <w:r>
          <w:rPr>
            <w:rFonts w:ascii="Times New Roman" w:eastAsia="宋体" w:hAnsi="Times New Roman" w:cs="Times New Roman" w:hint="default"/>
            <w:i w:val="0"/>
            <w:iCs w:val="0"/>
            <w:sz w:val="24"/>
            <w:szCs w:val="24"/>
            <w:lang w:eastAsia="zh-CN"/>
          </w:rPr>
          <w:t>五粮液</w:t>
        </w:r>
        <w:r>
          <w:rPr>
            <w:rFonts w:ascii="Times New Roman" w:eastAsia="宋体" w:hAnsi="Times New Roman" w:cs="Times New Roman" w:hint="default"/>
            <w:i w:val="0"/>
            <w:iCs w:val="0"/>
            <w:sz w:val="24"/>
            <w:szCs w:val="24"/>
          </w:rPr>
          <w:t>集团财务风险的防范措施</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_Toc31297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16</w:t>
        </w:r>
        <w:r>
          <w:rPr>
            <w:rFonts w:ascii="Times New Roman" w:eastAsia="宋体" w:hAnsi="Times New Roman" w:cs="Times New Roman" w:hint="default"/>
            <w:i w:val="0"/>
            <w:iCs w:val="0"/>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30920" w:history="1">
        <w:r>
          <w:rPr>
            <w:rFonts w:ascii="Times New Roman" w:eastAsia="宋体" w:hAnsi="Times New Roman" w:cs="Times New Roman" w:hint="default"/>
            <w:i w:val="0"/>
            <w:iCs w:val="0"/>
            <w:sz w:val="24"/>
            <w:szCs w:val="24"/>
          </w:rPr>
          <w:t>5.1 优化负债结构</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_Toc30920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16</w:t>
        </w:r>
        <w:r>
          <w:rPr>
            <w:rFonts w:ascii="Times New Roman" w:eastAsia="宋体" w:hAnsi="Times New Roman" w:cs="Times New Roman" w:hint="default"/>
            <w:i w:val="0"/>
            <w:iCs w:val="0"/>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6305" w:history="1">
        <w:r>
          <w:rPr>
            <w:rFonts w:ascii="Times New Roman" w:eastAsia="宋体" w:hAnsi="Times New Roman" w:cs="Times New Roman" w:hint="default"/>
            <w:i w:val="0"/>
            <w:iCs w:val="0"/>
            <w:sz w:val="24"/>
            <w:szCs w:val="24"/>
          </w:rPr>
          <w:t>5.2 合理控制投资规模</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_Toc6305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16</w:t>
        </w:r>
        <w:r>
          <w:rPr>
            <w:rFonts w:ascii="Times New Roman" w:eastAsia="宋体" w:hAnsi="Times New Roman" w:cs="Times New Roman" w:hint="default"/>
            <w:i w:val="0"/>
            <w:iCs w:val="0"/>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i w:val="0"/>
          <w:iCs w:val="0"/>
          <w:sz w:val="24"/>
          <w:szCs w:val="24"/>
        </w:rPr>
      </w:pPr>
      <w:hyperlink w:anchor="_Toc9911" w:history="1">
        <w:r>
          <w:rPr>
            <w:rFonts w:ascii="Times New Roman" w:eastAsia="宋体" w:hAnsi="Times New Roman" w:cs="Times New Roman" w:hint="default"/>
            <w:i w:val="0"/>
            <w:iCs w:val="0"/>
            <w:sz w:val="24"/>
            <w:szCs w:val="24"/>
          </w:rPr>
          <w:t>5.3 提高总资产周转率</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_Toc9911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16</w:t>
        </w:r>
        <w:r>
          <w:rPr>
            <w:rFonts w:ascii="Times New Roman" w:eastAsia="宋体" w:hAnsi="Times New Roman" w:cs="Times New Roman" w:hint="default"/>
            <w:i w:val="0"/>
            <w:iCs w:val="0"/>
            <w:sz w:val="24"/>
            <w:szCs w:val="24"/>
          </w:rPr>
          <w:fldChar w:fldCharType="end"/>
        </w:r>
      </w:hyperlink>
    </w:p>
    <w:p>
      <w:pPr>
        <w:pStyle w:val="TOC1"/>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hAnsi="Times New Roman" w:cs="Times New Roman" w:hint="default"/>
          <w:i w:val="0"/>
          <w:iCs w:val="0"/>
          <w:szCs w:val="24"/>
        </w:rPr>
      </w:pPr>
      <w:hyperlink w:anchor="_Toc13247" w:history="1">
        <w:r>
          <w:rPr>
            <w:rFonts w:ascii="Times New Roman" w:eastAsia="宋体" w:hAnsi="Times New Roman" w:cs="Times New Roman" w:hint="default"/>
            <w:i w:val="0"/>
            <w:iCs w:val="0"/>
            <w:sz w:val="24"/>
            <w:szCs w:val="24"/>
            <w:lang w:val="en-US" w:eastAsia="zh-CN"/>
          </w:rPr>
          <w:t>6. 结论</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_Toc13247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17</w:t>
        </w:r>
        <w:r>
          <w:rPr>
            <w:rFonts w:ascii="Times New Roman" w:eastAsia="宋体" w:hAnsi="Times New Roman" w:cs="Times New Roman" w:hint="default"/>
            <w:i w:val="0"/>
            <w:iCs w:val="0"/>
            <w:sz w:val="24"/>
            <w:szCs w:val="24"/>
          </w:rPr>
          <w:fldChar w:fldCharType="end"/>
        </w:r>
      </w:hyperlink>
    </w:p>
    <w:p>
      <w:pPr>
        <w:pStyle w:val="TOC1"/>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rPr>
          <w:rFonts w:ascii="Times New Roman" w:hAnsi="Times New Roman" w:cs="Times New Roman" w:hint="default"/>
          <w:i w:val="0"/>
          <w:iCs w:val="0"/>
          <w:szCs w:val="24"/>
        </w:rPr>
      </w:pPr>
      <w:hyperlink w:anchor="_Toc9788" w:history="1">
        <w:r>
          <w:rPr>
            <w:rFonts w:ascii="Times New Roman" w:eastAsia="宋体" w:hAnsi="Times New Roman" w:cs="Times New Roman" w:hint="default"/>
            <w:i w:val="0"/>
            <w:iCs w:val="0"/>
            <w:sz w:val="24"/>
            <w:szCs w:val="24"/>
          </w:rPr>
          <w:t>7. 参考文献</w:t>
        </w:r>
        <w:r>
          <w:rPr>
            <w:rFonts w:ascii="Times New Roman" w:eastAsia="宋体" w:hAnsi="Times New Roman" w:cs="Times New Roman" w:hint="default"/>
            <w:i w:val="0"/>
            <w:iCs w:val="0"/>
            <w:sz w:val="24"/>
            <w:szCs w:val="24"/>
          </w:rPr>
          <w:tab/>
        </w: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 PAGEREF _Toc9788 \h </w:instrText>
        </w:r>
        <w:r>
          <w:rPr>
            <w:rFonts w:ascii="Times New Roman" w:eastAsia="宋体" w:hAnsi="Times New Roman" w:cs="Times New Roman" w:hint="default"/>
            <w:i w:val="0"/>
            <w:iCs w:val="0"/>
            <w:sz w:val="24"/>
            <w:szCs w:val="24"/>
          </w:rPr>
          <w:fldChar w:fldCharType="separate"/>
        </w:r>
        <w:r>
          <w:rPr>
            <w:rFonts w:ascii="Times New Roman" w:eastAsia="宋体" w:hAnsi="Times New Roman" w:cs="Times New Roman" w:hint="default"/>
            <w:i w:val="0"/>
            <w:iCs w:val="0"/>
            <w:sz w:val="24"/>
            <w:szCs w:val="24"/>
          </w:rPr>
          <w:t>18</w:t>
        </w:r>
        <w:r>
          <w:rPr>
            <w:rFonts w:ascii="Times New Roman" w:eastAsia="宋体" w:hAnsi="Times New Roman" w:cs="Times New Roman" w:hint="default"/>
            <w:i w:val="0"/>
            <w:iCs w:val="0"/>
            <w:sz w:val="24"/>
            <w:szCs w:val="24"/>
          </w:rPr>
          <w:fldChar w:fldCharType="end"/>
        </w:r>
      </w:hyperlink>
    </w:p>
    <w:p>
      <w:pPr>
        <w:keepNext w:val="0"/>
        <w:keepLines w:val="0"/>
        <w:pageBreakBefore w:val="0"/>
        <w:widowControl w:val="0"/>
        <w:kinsoku/>
        <w:wordWrap/>
        <w:overflowPunct/>
        <w:topLinePunct w:val="0"/>
        <w:autoSpaceDE/>
        <w:autoSpaceDN/>
        <w:bidi w:val="0"/>
        <w:adjustRightInd/>
        <w:snapToGrid/>
        <w:spacing w:line="360" w:lineRule="auto"/>
        <w:textAlignment w:val="auto"/>
      </w:pPr>
      <w:r>
        <w:rPr>
          <w:rFonts w:ascii="Times New Roman" w:eastAsia="宋体" w:hAnsi="Times New Roman" w:cs="Times New Roman" w:hint="default"/>
          <w:bCs w:val="0"/>
          <w:i w:val="0"/>
          <w:iCs w:val="0"/>
          <w:sz w:val="24"/>
          <w:szCs w:val="24"/>
        </w:rPr>
        <w:fldChar w:fldCharType="end"/>
      </w:r>
    </w:p>
    <w:p>
      <w:pPr>
        <w:pStyle w:val="CM3"/>
        <w:tabs>
          <w:tab w:val="right" w:leader="dot" w:pos="9072"/>
        </w:tabs>
        <w:snapToGrid w:val="0"/>
        <w:spacing w:line="360" w:lineRule="auto"/>
        <w:ind w:right="139" w:rightChars="66"/>
        <w:jc w:val="both"/>
      </w:pPr>
      <w:r>
        <w:rPr>
          <w:rFonts w:hint="eastAsia"/>
        </w:rPr>
        <w:fldChar w:fldCharType="begin"/>
      </w:r>
      <w:r>
        <w:rPr>
          <w:rFonts w:hint="eastAsia"/>
        </w:rPr>
        <w:instrText xml:space="preserve"> TOC \o "2-2" \h \z \t "标题 1,1" </w:instrText>
      </w:r>
      <w:r>
        <w:fldChar w:fldCharType="separate"/>
      </w:r>
    </w:p>
    <w:p>
      <w:pPr>
        <w:widowControl/>
        <w:spacing w:line="360" w:lineRule="auto"/>
        <w:jc w:val="left"/>
        <w:rPr>
          <w:rFonts w:ascii="仿宋" w:eastAsia="仿宋" w:hAnsi="仿宋"/>
          <w:b/>
          <w:sz w:val="28"/>
          <w:szCs w:val="21"/>
        </w:rPr>
        <w:sectPr>
          <w:headerReference w:type="default" r:id="rId12"/>
          <w:footerReference w:type="default" r:id="rId13"/>
          <w:type w:val="nextPage"/>
          <w:pgSz w:w="11906" w:h="16838"/>
          <w:pgMar w:top="1417" w:right="1417" w:bottom="1417" w:left="1417" w:header="851" w:footer="992" w:gutter="0"/>
          <w:pgNumType w:start="4" w:chapStyle="1"/>
          <w:cols w:num="1" w:space="720"/>
          <w:titlePg w:val="0"/>
          <w:rtlGutter w:val="0"/>
          <w:docGrid w:type="lines" w:linePitch="312" w:charSpace="0"/>
        </w:sectPr>
      </w:pPr>
      <w:r>
        <w:rPr>
          <w:rFonts w:cs="ST Song" w:hint="eastAsia"/>
          <w:szCs w:val="21"/>
        </w:rPr>
        <w:fldChar w:fldCharType="end"/>
      </w:r>
    </w:p>
    <w:p>
      <w:pPr>
        <w:snapToGrid w:val="0"/>
        <w:spacing w:line="360" w:lineRule="auto"/>
        <w:jc w:val="center"/>
        <w:rPr>
          <w:rFonts w:ascii="cajcd" w:eastAsia="cajcd" w:cs="cajcd" w:hint="eastAsia"/>
          <w:sz w:val="32"/>
          <w:szCs w:val="32"/>
        </w:rPr>
      </w:pPr>
      <w:r>
        <w:rPr>
          <w:rFonts w:ascii="黑体" w:eastAsia="黑体" w:hAnsi="黑体" w:hint="eastAsia"/>
          <w:sz w:val="32"/>
          <w:szCs w:val="32"/>
          <w:lang w:eastAsia="zh-CN"/>
        </w:rPr>
        <w:t>五粮液集团财务风险管理</w:t>
      </w:r>
    </w:p>
    <w:p>
      <w:pPr>
        <w:pStyle w:val="CM20"/>
        <w:snapToGrid w:val="0"/>
        <w:spacing w:after="0" w:line="360" w:lineRule="auto"/>
        <w:jc w:val="center"/>
        <w:rPr>
          <w:rFonts w:ascii="宋体" w:eastAsia="宋体" w:hAnsi="宋体" w:cs="宋体" w:hint="eastAsia"/>
        </w:rPr>
      </w:pPr>
      <w:r>
        <w:rPr>
          <w:rFonts w:ascii="宋体" w:eastAsia="宋体" w:hAnsi="宋体" w:cs="宋体" w:hint="eastAsia"/>
          <w:lang w:eastAsia="zh-CN"/>
        </w:rPr>
        <w:t>储寅杰</w:t>
      </w:r>
      <w:r>
        <w:rPr>
          <w:rFonts w:ascii="宋体" w:eastAsia="宋体" w:hAnsi="宋体" w:cs="宋体" w:hint="eastAsia"/>
        </w:rPr>
        <w:t>（指导教师，</w:t>
      </w:r>
      <w:r>
        <w:rPr>
          <w:rFonts w:ascii="宋体" w:eastAsia="宋体" w:hAnsi="宋体" w:cs="宋体" w:hint="eastAsia"/>
          <w:lang w:val="en-US" w:eastAsia="zh-CN"/>
        </w:rPr>
        <w:t>XXX</w:t>
      </w:r>
      <w:r>
        <w:rPr>
          <w:rFonts w:ascii="宋体" w:eastAsia="宋体" w:hAnsi="宋体" w:cs="宋体" w:hint="eastAsia"/>
        </w:rPr>
        <w:t>）</w:t>
      </w:r>
    </w:p>
    <w:p>
      <w:pPr>
        <w:adjustRightInd w:val="0"/>
        <w:snapToGrid w:val="0"/>
        <w:spacing w:line="360" w:lineRule="auto"/>
        <w:jc w:val="center"/>
        <w:rPr>
          <w:rFonts w:ascii="宋体" w:hAnsi="宋体" w:cs="宋体" w:hint="eastAsia"/>
          <w:kern w:val="0"/>
          <w:sz w:val="24"/>
        </w:rPr>
      </w:pPr>
      <w:r>
        <w:rPr>
          <w:rFonts w:ascii="宋体" w:eastAsia="宋体" w:hAnsi="宋体" w:cs="宋体" w:hint="eastAsia"/>
          <w:kern w:val="0"/>
          <w:sz w:val="24"/>
        </w:rPr>
        <w:t>（湖北师范大学继续教育学院 中国 黄石 435002）</w:t>
      </w:r>
    </w:p>
    <w:p>
      <w:pPr>
        <w:pStyle w:val="CM21"/>
        <w:snapToGrid w:val="0"/>
        <w:spacing w:after="0" w:line="360" w:lineRule="auto"/>
        <w:ind w:left="943" w:hanging="943" w:hangingChars="393"/>
        <w:jc w:val="both"/>
        <w:rPr>
          <w:rFonts w:cs="ST Song" w:hint="eastAsia"/>
        </w:rPr>
      </w:pPr>
      <w:r>
        <w:rPr>
          <w:rFonts w:ascii="黑体" w:eastAsia="黑体" w:cs="ST Song" w:hint="eastAsia"/>
        </w:rPr>
        <w:t>摘　要</w:t>
      </w:r>
      <w:r>
        <w:rPr>
          <w:rFonts w:ascii="黑体" w:eastAsia="黑体" w:hint="eastAsia"/>
        </w:rPr>
        <w:t>:</w:t>
      </w:r>
      <w:r>
        <w:rPr>
          <w:rFonts w:ascii="Times New Roman"/>
        </w:rPr>
        <w:t xml:space="preserve"> </w:t>
      </w:r>
      <w:r>
        <w:rPr>
          <w:rFonts w:ascii="宋体" w:eastAsia="宋体" w:hAnsi="宋体" w:cs="ST Song" w:hint="eastAsia"/>
          <w:szCs w:val="21"/>
        </w:rPr>
        <w:t>随着经济的快速发展，白酒行业的竞争越来越激烈，绝大数企业面临着风险。为了企业更好的发展，必须对其财务风险开展进一步的分析。本文将</w:t>
      </w:r>
      <w:r>
        <w:rPr>
          <w:rFonts w:ascii="宋体" w:eastAsia="宋体" w:hAnsi="宋体" w:cs="ST Song" w:hint="eastAsia"/>
          <w:szCs w:val="21"/>
          <w:lang w:eastAsia="zh-CN"/>
        </w:rPr>
        <w:t>五粮液</w:t>
      </w:r>
      <w:r>
        <w:rPr>
          <w:rFonts w:ascii="宋体" w:eastAsia="宋体" w:hAnsi="宋体" w:cs="ST Song" w:hint="eastAsia"/>
          <w:szCs w:val="21"/>
        </w:rPr>
        <w:t>集团作为主要研究对象，首先通过查阅相关文献梳理了财务风险的内涵及其他相关的理论；其次从筹资风险、投资风险、营运风险、收益与分配风险四个方面对</w:t>
      </w:r>
      <w:r>
        <w:rPr>
          <w:rFonts w:ascii="宋体" w:eastAsia="宋体" w:hAnsi="宋体" w:cs="ST Song" w:hint="eastAsia"/>
          <w:szCs w:val="21"/>
          <w:lang w:eastAsia="zh-CN"/>
        </w:rPr>
        <w:t>五粮液</w:t>
      </w:r>
      <w:r>
        <w:rPr>
          <w:rFonts w:ascii="宋体" w:eastAsia="宋体" w:hAnsi="宋体" w:cs="ST Song" w:hint="eastAsia"/>
          <w:szCs w:val="21"/>
        </w:rPr>
        <w:t>集团进行财务风险分析，找到其存在的问题，并分析这些问题的成因；最终对于这些问题提到了一些提议。希望通过对</w:t>
      </w:r>
      <w:r>
        <w:rPr>
          <w:rFonts w:ascii="宋体" w:eastAsia="宋体" w:hAnsi="宋体" w:cs="ST Song" w:hint="eastAsia"/>
          <w:szCs w:val="21"/>
          <w:lang w:eastAsia="zh-CN"/>
        </w:rPr>
        <w:t>五粮液</w:t>
      </w:r>
      <w:r>
        <w:rPr>
          <w:rFonts w:ascii="宋体" w:eastAsia="宋体" w:hAnsi="宋体" w:cs="ST Song" w:hint="eastAsia"/>
          <w:szCs w:val="21"/>
        </w:rPr>
        <w:t>集团财务风险的分析，发掘财务风险的现况，为该公司带来有价值的信息。</w:t>
      </w:r>
    </w:p>
    <w:p>
      <w:pPr>
        <w:pStyle w:val="CM21"/>
        <w:spacing w:line="360" w:lineRule="auto"/>
        <w:jc w:val="both"/>
        <w:rPr>
          <w:rFonts w:ascii="Times New Roman" w:eastAsia="黑体" w:hint="eastAsia"/>
          <w:sz w:val="32"/>
          <w:szCs w:val="32"/>
        </w:rPr>
      </w:pPr>
      <w:r>
        <w:rPr>
          <w:rFonts w:ascii="黑体" w:eastAsia="黑体" w:cs="ST Song" w:hint="eastAsia"/>
        </w:rPr>
        <w:t>关键词:</w:t>
      </w:r>
      <w:r>
        <w:rPr>
          <w:rFonts w:ascii="Times New Roman"/>
        </w:rPr>
        <w:t xml:space="preserve"> </w:t>
      </w:r>
      <w:r>
        <w:rPr>
          <w:rFonts w:ascii="宋体" w:eastAsia="宋体" w:hAnsi="宋体" w:cs="ST Song" w:hint="eastAsia"/>
        </w:rPr>
        <w:t>风险管理；财务风险；风险识别</w:t>
      </w:r>
    </w:p>
    <w:p>
      <w:pPr>
        <w:pStyle w:val="Default"/>
        <w:rPr>
          <w:rFonts w:hint="eastAsia"/>
        </w:rPr>
      </w:pPr>
    </w:p>
    <w:p>
      <w:pPr>
        <w:pStyle w:val="CM22"/>
        <w:snapToGrid w:val="0"/>
        <w:spacing w:after="0" w:line="360" w:lineRule="auto"/>
        <w:jc w:val="center"/>
        <w:rPr>
          <w:rFonts w:ascii="Times New Roman" w:eastAsia="cajcd" w:hint="eastAsia"/>
          <w:sz w:val="32"/>
          <w:szCs w:val="32"/>
        </w:rPr>
      </w:pPr>
      <w:r>
        <w:rPr>
          <w:rFonts w:ascii="Times New Roman" w:eastAsia="黑体" w:hint="eastAsia"/>
          <w:sz w:val="32"/>
          <w:szCs w:val="32"/>
          <w:lang w:eastAsia="zh-CN"/>
        </w:rPr>
        <w:t>Financial risk management of Wuliangye Group</w:t>
      </w:r>
      <w:r>
        <w:rPr>
          <w:rFonts w:ascii="Times New Roman" w:eastAsia="cajcd"/>
          <w:sz w:val="32"/>
          <w:szCs w:val="32"/>
        </w:rPr>
        <w:t xml:space="preserve"> </w:t>
      </w:r>
    </w:p>
    <w:p>
      <w:pPr>
        <w:pStyle w:val="CM22"/>
        <w:snapToGrid w:val="0"/>
        <w:spacing w:after="0" w:line="360" w:lineRule="auto"/>
        <w:jc w:val="center"/>
        <w:rPr>
          <w:rFonts w:ascii="Times New Roman" w:eastAsia="cajcd"/>
        </w:rPr>
      </w:pPr>
      <w:r>
        <w:rPr>
          <w:rFonts w:ascii="Times New Roman" w:eastAsia="cajcd" w:hint="eastAsia"/>
          <w:lang w:val="en-US" w:eastAsia="zh-CN"/>
        </w:rPr>
        <w:t>Chu Yinjie</w:t>
      </w:r>
      <w:r>
        <w:rPr>
          <w:rFonts w:ascii="Times New Roman" w:eastAsia="cajcd"/>
        </w:rPr>
        <w:t xml:space="preserve"> </w:t>
      </w:r>
      <w:r>
        <w:rPr>
          <w:rFonts w:ascii="Times New Roman" w:eastAsia="cajcd" w:hint="eastAsia"/>
        </w:rPr>
        <w:t>（</w:t>
      </w:r>
      <w:r>
        <w:rPr>
          <w:rFonts w:ascii="Times New Roman" w:eastAsia="cajcd"/>
        </w:rPr>
        <w:t>Tutor：</w:t>
      </w:r>
      <w:r>
        <w:rPr>
          <w:rFonts w:ascii="Times New Roman" w:eastAsia="cajcd" w:hint="eastAsia"/>
        </w:rPr>
        <w:t>）</w:t>
      </w:r>
    </w:p>
    <w:p>
      <w:pPr>
        <w:pStyle w:val="CM19"/>
        <w:snapToGrid w:val="0"/>
        <w:spacing w:after="0" w:line="360" w:lineRule="auto"/>
        <w:ind w:left="147"/>
        <w:jc w:val="center"/>
        <w:rPr>
          <w:rFonts w:ascii="Times New Roman" w:eastAsia="cajcd"/>
        </w:rPr>
      </w:pPr>
      <w:r>
        <w:rPr>
          <w:rFonts w:ascii="Times New Roman" w:eastAsia="cajcd"/>
          <w:iCs/>
        </w:rPr>
        <w:t>(College of Continuing Education,</w:t>
      </w:r>
      <w:r>
        <w:rPr>
          <w:rFonts w:ascii="Times New Roman" w:eastAsia="cajcd" w:hint="eastAsia"/>
          <w:iCs/>
        </w:rPr>
        <w:t xml:space="preserve"> </w:t>
      </w:r>
      <w:r>
        <w:rPr>
          <w:rFonts w:ascii="Times New Roman" w:eastAsia="cajcd"/>
          <w:iCs/>
        </w:rPr>
        <w:t>Hubei Normal University,</w:t>
      </w:r>
      <w:r>
        <w:rPr>
          <w:rFonts w:ascii="Times New Roman" w:eastAsia="cajcd" w:hint="eastAsia"/>
          <w:iCs/>
        </w:rPr>
        <w:t xml:space="preserve"> </w:t>
      </w:r>
      <w:r>
        <w:rPr>
          <w:rFonts w:ascii="Times New Roman" w:eastAsia="cajcd"/>
          <w:iCs/>
        </w:rPr>
        <w:t>Huangshi</w:t>
      </w:r>
      <w:r>
        <w:rPr>
          <w:rFonts w:ascii="Times New Roman" w:eastAsia="cajcd" w:hint="eastAsia"/>
          <w:iCs/>
        </w:rPr>
        <w:t>, Hubei,</w:t>
      </w:r>
      <w:r>
        <w:rPr>
          <w:rFonts w:ascii="Times New Roman" w:eastAsia="cajcd"/>
        </w:rPr>
        <w:t>435002</w:t>
      </w:r>
      <w:r>
        <w:rPr>
          <w:rFonts w:ascii="Times New Roman" w:eastAsia="cajcd"/>
          <w:iCs/>
        </w:rPr>
        <w:t>)</w:t>
      </w:r>
    </w:p>
    <w:p>
      <w:pPr>
        <w:pStyle w:val="CM21"/>
        <w:snapToGrid w:val="0"/>
        <w:spacing w:line="360" w:lineRule="auto"/>
        <w:ind w:left="943" w:hanging="943" w:hangingChars="393"/>
        <w:jc w:val="both"/>
        <w:rPr>
          <w:rFonts w:ascii="Times New Roman" w:eastAsia="cajcd"/>
        </w:rPr>
      </w:pPr>
      <w:r>
        <w:rPr>
          <w:rFonts w:ascii="Times New Roman" w:eastAsia="cajcd"/>
          <w:b/>
          <w:bCs/>
        </w:rPr>
        <w:t xml:space="preserve">Abstract : </w:t>
      </w:r>
      <w:r>
        <w:rPr>
          <w:rFonts w:ascii="Times New Roman" w:eastAsia="cajcd" w:hint="eastAsia"/>
        </w:rPr>
        <w:t>With the rapid development of economy, the competition of liquor industry is more and more fierce, and most enterprises are facing risks. For the better development of the enterprise, it is necessary to carry out further analysis of its financial risk. This paper takes Wuliangye Group as the main research object. Firstly, it combs the connotation of financial risk and other related theories by referring to relevant literature. Secondly, from the financing risk, investment risk, operating risk, income and distribution risk four aspects of Wuliangye Group financial risk analysis, find its existing problems, and analyze the causes of these problems; Finally, some proposals were put forward to address these issues. Through the analysis of financial risk of Wuliangye Group, we hope to explore the current situation of financial risk and bring valuable information to the company.</w:t>
      </w:r>
      <w:r>
        <w:rPr>
          <w:rFonts w:ascii="Times New Roman" w:eastAsia="cajcd"/>
        </w:rPr>
        <w:t xml:space="preserve"> </w:t>
      </w:r>
    </w:p>
    <w:p>
      <w:pPr>
        <w:pStyle w:val="CM19"/>
        <w:spacing w:line="360" w:lineRule="auto"/>
        <w:jc w:val="both"/>
        <w:rPr>
          <w:rFonts w:ascii="Times New Roman" w:eastAsia="cajcd"/>
        </w:rPr>
      </w:pPr>
      <w:r>
        <w:rPr>
          <w:rFonts w:ascii="Times New Roman" w:eastAsia="cajcd"/>
          <w:b/>
          <w:bCs/>
        </w:rPr>
        <w:t xml:space="preserve">Keywords : </w:t>
      </w:r>
      <w:r>
        <w:rPr>
          <w:rFonts w:ascii="Times New Roman" w:eastAsia="cajcd" w:hint="eastAsia"/>
        </w:rPr>
        <w:t>Risk management; Financial risk; Risk identification</w:t>
      </w:r>
      <w:r>
        <w:rPr>
          <w:rFonts w:ascii="Times New Roman" w:eastAsia="cajcd"/>
        </w:rPr>
        <w:t xml:space="preserve"> </w:t>
      </w:r>
    </w:p>
    <w:p>
      <w:pPr>
        <w:pStyle w:val="Default"/>
        <w:rPr>
          <w:rFonts w:ascii="Times New Roman" w:eastAsia="cajcd"/>
        </w:rPr>
      </w:pPr>
    </w:p>
    <w:p>
      <w:pPr>
        <w:snapToGrid w:val="0"/>
        <w:spacing w:before="624" w:beforeLines="200" w:after="312" w:afterLines="100" w:line="360" w:lineRule="auto"/>
        <w:jc w:val="center"/>
        <w:rPr>
          <w:rFonts w:ascii="黑体" w:eastAsia="黑体" w:hAnsi="黑体" w:hint="eastAsia"/>
          <w:sz w:val="32"/>
          <w:szCs w:val="32"/>
        </w:rPr>
        <w:sectPr>
          <w:headerReference w:type="default" r:id="rId14"/>
          <w:footerReference w:type="default" r:id="rId15"/>
          <w:type w:val="nextPage"/>
          <w:pgSz w:w="11906" w:h="16838"/>
          <w:pgMar w:top="1417" w:right="1417" w:bottom="1417" w:left="1417" w:header="851" w:footer="992" w:gutter="0"/>
          <w:pgNumType w:start="5" w:chapStyle="1"/>
          <w:cols w:num="1" w:space="720"/>
          <w:titlePg w:val="0"/>
          <w:rtlGutter w:val="0"/>
          <w:docGrid w:type="lines" w:linePitch="312" w:charSpace="0"/>
        </w:sectPr>
      </w:pPr>
      <w:bookmarkStart w:id="1" w:name="_Toc30404"/>
      <w:bookmarkStart w:id="2" w:name="_Toc2231"/>
      <w:bookmarkStart w:id="3" w:name="_Toc8215"/>
      <w:bookmarkStart w:id="4" w:name="_Toc11059"/>
      <w:bookmarkStart w:id="5" w:name="_Toc21261"/>
      <w:bookmarkStart w:id="6" w:name="_Toc22873"/>
      <w:bookmarkStart w:id="7" w:name="_Toc1857"/>
      <w:bookmarkStart w:id="8" w:name="_Toc23889"/>
      <w:bookmarkStart w:id="9" w:name="_Toc12698"/>
      <w:bookmarkStart w:id="10" w:name="_Toc29840"/>
      <w:bookmarkStart w:id="11" w:name="_Toc16495"/>
      <w:bookmarkStart w:id="12" w:name="_Toc8527"/>
      <w:bookmarkStart w:id="13" w:name="_Toc18536"/>
      <w:bookmarkStart w:id="14" w:name="_Toc26144"/>
      <w:bookmarkStart w:id="15" w:name="_Toc7895"/>
    </w:p>
    <w:p>
      <w:pPr>
        <w:snapToGrid w:val="0"/>
        <w:spacing w:before="624" w:beforeLines="200" w:after="312" w:afterLines="100" w:line="360" w:lineRule="auto"/>
        <w:jc w:val="center"/>
        <w:rPr>
          <w:rFonts w:ascii="cajcd" w:eastAsia="cajcd" w:cs="cajcd" w:hint="eastAsia"/>
          <w:sz w:val="14"/>
          <w:szCs w:val="14"/>
        </w:rPr>
      </w:pPr>
      <w:r>
        <w:rPr>
          <w:rFonts w:ascii="黑体" w:eastAsia="黑体" w:hAnsi="黑体" w:hint="eastAsia"/>
          <w:sz w:val="32"/>
          <w:szCs w:val="32"/>
          <w:lang w:eastAsia="zh-CN"/>
        </w:rPr>
        <w:t>五粮液集团财务风险管理</w:t>
      </w:r>
    </w:p>
    <w:p>
      <w:pPr>
        <w:pStyle w:val="CM20"/>
        <w:snapToGrid w:val="0"/>
        <w:spacing w:after="0" w:line="360" w:lineRule="auto"/>
        <w:jc w:val="center"/>
        <w:rPr>
          <w:rFonts w:ascii="宋体" w:eastAsia="宋体" w:hAnsi="宋体"/>
        </w:rPr>
      </w:pPr>
      <w:r>
        <w:rPr>
          <w:rFonts w:ascii="宋体" w:eastAsia="宋体" w:hAnsi="宋体" w:hint="eastAsia"/>
          <w:lang w:eastAsia="zh-CN"/>
        </w:rPr>
        <w:t>储寅杰</w:t>
      </w:r>
      <w:r>
        <w:rPr>
          <w:rFonts w:ascii="宋体" w:eastAsia="宋体" w:hAnsi="宋体"/>
        </w:rPr>
        <w:t>（指导教师</w:t>
      </w:r>
      <w:r>
        <w:rPr>
          <w:rFonts w:ascii="宋体" w:eastAsia="宋体" w:hAnsi="宋体" w:hint="eastAsia"/>
          <w:lang w:eastAsia="zh-CN"/>
        </w:rPr>
        <w:t>，</w:t>
      </w:r>
      <w:r>
        <w:rPr>
          <w:rFonts w:ascii="宋体" w:eastAsia="宋体" w:hAnsi="宋体" w:hint="eastAsia"/>
          <w:lang w:val="en-US" w:eastAsia="zh-CN"/>
        </w:rPr>
        <w:t>XXX</w:t>
      </w:r>
      <w:r>
        <w:rPr>
          <w:rFonts w:ascii="宋体" w:eastAsia="宋体" w:hAnsi="宋体"/>
        </w:rPr>
        <w:t>）</w:t>
      </w:r>
    </w:p>
    <w:p>
      <w:pPr>
        <w:bidi w:val="0"/>
        <w:jc w:val="center"/>
        <w:rPr>
          <w:rFonts w:ascii="宋体" w:hAnsi="宋体"/>
          <w:kern w:val="0"/>
          <w:sz w:val="24"/>
        </w:rPr>
      </w:pPr>
      <w:r>
        <w:rPr>
          <w:rFonts w:ascii="宋体" w:hAnsi="宋体"/>
          <w:kern w:val="0"/>
          <w:sz w:val="24"/>
        </w:rPr>
        <w:t>（湖北师范大学</w:t>
      </w:r>
      <w:r>
        <w:rPr>
          <w:rFonts w:ascii="宋体" w:hAnsi="宋体" w:hint="eastAsia"/>
          <w:kern w:val="0"/>
          <w:sz w:val="24"/>
        </w:rPr>
        <w:t>继续教育</w:t>
      </w:r>
      <w:r>
        <w:rPr>
          <w:rFonts w:ascii="宋体" w:hAnsi="宋体"/>
          <w:kern w:val="0"/>
          <w:sz w:val="24"/>
        </w:rPr>
        <w:t>学院 中国 黄石 435002）</w:t>
      </w:r>
    </w:p>
    <w:p>
      <w:pPr>
        <w:bidi w:val="0"/>
        <w:jc w:val="center"/>
        <w:rPr>
          <w:rFonts w:ascii="宋体" w:hAnsi="宋体"/>
          <w:kern w:val="0"/>
          <w:sz w:val="24"/>
        </w:rPr>
      </w:pPr>
    </w:p>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Pr>
        <w:pStyle w:val="Heading1"/>
        <w:bidi w:val="0"/>
        <w:rPr>
          <w:rFonts w:hint="eastAsia"/>
          <w:lang w:val="en-US" w:eastAsia="zh-CN"/>
        </w:rPr>
      </w:pPr>
      <w:bookmarkStart w:id="16" w:name="_Toc104223483"/>
      <w:bookmarkStart w:id="17" w:name="_Toc3388"/>
      <w:bookmarkStart w:id="18" w:name="_Toc19205"/>
      <w:r>
        <w:rPr>
          <w:rFonts w:hint="eastAsia"/>
          <w:lang w:val="en-US" w:eastAsia="zh-CN"/>
        </w:rPr>
        <w:t>绪论</w:t>
      </w:r>
      <w:bookmarkEnd w:id="16"/>
      <w:bookmarkEnd w:id="17"/>
      <w:bookmarkEnd w:id="18"/>
    </w:p>
    <w:p>
      <w:pPr>
        <w:pStyle w:val="Heading2"/>
        <w:bidi w:val="0"/>
        <w:rPr>
          <w:rFonts w:hint="eastAsia"/>
          <w:lang w:val="en-US" w:eastAsia="zh-CN"/>
        </w:rPr>
      </w:pPr>
      <w:bookmarkStart w:id="19" w:name="_Toc21440"/>
      <w:bookmarkStart w:id="20" w:name="_Toc101638902"/>
      <w:bookmarkStart w:id="21" w:name="_Toc103620950"/>
      <w:bookmarkStart w:id="22" w:name="_Toc103619107"/>
      <w:bookmarkStart w:id="23" w:name="_Toc104223485"/>
      <w:bookmarkStart w:id="24" w:name="_Toc6083"/>
      <w:r>
        <w:rPr>
          <w:rFonts w:hint="eastAsia"/>
          <w:lang w:val="en-US" w:eastAsia="zh-CN"/>
        </w:rPr>
        <w:t>研究背景</w:t>
      </w:r>
      <w:bookmarkEnd w:id="19"/>
      <w:bookmarkEnd w:id="20"/>
      <w:bookmarkEnd w:id="21"/>
      <w:bookmarkEnd w:id="22"/>
      <w:bookmarkEnd w:id="23"/>
      <w:bookmarkEnd w:id="2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ascii="Times New Roman" w:eastAsia="宋体" w:hAnsi="Times New Roman" w:cs="Times New Roman" w:hint="eastAsia"/>
          <w:sz w:val="24"/>
          <w:szCs w:val="24"/>
          <w:lang w:val="en-US" w:eastAsia="zh-CN"/>
        </w:rPr>
        <w:t>随着时代的发展，我国的国际地位日益提高，他们把尊崇西方白酒转移到我国本土的纯粮酒上。纯粮酒有数千年了。纯粮酒较长。随着社会的发展，烧酒变成得盈产业链，越来越多资金分配到烧酒市场，烧酒企业的行业竞争越来越激烈。不断加剧市场竞争水平、企业生存条件盘根错节、风险管控是企业长期运营与发展的关键所在，因而，大家企业的财务风险管理方案、水平、财务风险意识、财务风险几率，将减少企业安全性，造就稳定运行。因而，企业怎样识别、分辨、点评财务风险、开展会计追踪与检测，是企业经营过程中的一大难题，都是财务风险、风险管理目标预防、控制与运用的重要环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sectPr>
          <w:headerReference w:type="default" r:id="rId16"/>
          <w:footerReference w:type="default" r:id="rId17"/>
          <w:pgSz w:w="11906" w:h="16838"/>
          <w:pgMar w:top="1417" w:right="1417" w:bottom="1417" w:left="1417" w:header="851" w:footer="992" w:gutter="0"/>
          <w:pgNumType w:fmt="decimal" w:start="1" w:chapStyle="1"/>
          <w:cols w:num="1" w:space="720"/>
          <w:rtlGutter w:val="0"/>
          <w:docGrid w:type="lines" w:linePitch="312" w:charSpace="0"/>
        </w:sectPr>
      </w:pPr>
      <w:r>
        <w:rPr>
          <w:rFonts w:cs="Times New Roman" w:hint="eastAsia"/>
          <w:sz w:val="24"/>
          <w:szCs w:val="24"/>
          <w:lang w:val="en-US" w:eastAsia="zh-CN"/>
        </w:rPr>
        <w:t>五粮液集团</w:t>
      </w:r>
      <w:r>
        <w:rPr>
          <w:rFonts w:ascii="Times New Roman" w:eastAsia="宋体" w:hAnsi="Times New Roman" w:cs="Times New Roman" w:hint="eastAsia"/>
          <w:sz w:val="24"/>
          <w:szCs w:val="24"/>
          <w:lang w:val="en-US" w:eastAsia="zh-CN"/>
        </w:rPr>
        <w:t>公司要以酿酒厂为重要，涉及到智能制造系统、食品包装纸、电商物流、金融基金、健康产业等超大型国有制企业集团公司。2021年10月29日，</w:t>
      </w:r>
      <w:r>
        <w:rPr>
          <w:rFonts w:cs="Times New Roman" w:hint="eastAsia"/>
          <w:sz w:val="24"/>
          <w:szCs w:val="24"/>
          <w:lang w:val="en-US" w:eastAsia="zh-CN"/>
        </w:rPr>
        <w:t>五粮液</w:t>
      </w:r>
      <w:r>
        <w:rPr>
          <w:rFonts w:ascii="Times New Roman" w:eastAsia="宋体" w:hAnsi="Times New Roman" w:cs="Times New Roman" w:hint="eastAsia"/>
          <w:sz w:val="24"/>
          <w:szCs w:val="24"/>
          <w:lang w:val="en-US" w:eastAsia="zh-CN"/>
        </w:rPr>
        <w:t>业发布最新三季报。财务报告数据显示，去年第三季度</w:t>
      </w:r>
      <w:r>
        <w:rPr>
          <w:rFonts w:cs="Times New Roman" w:hint="eastAsia"/>
          <w:sz w:val="24"/>
          <w:szCs w:val="24"/>
          <w:lang w:val="en-US" w:eastAsia="zh-CN"/>
        </w:rPr>
        <w:t>五粮液</w:t>
      </w:r>
      <w:r>
        <w:rPr>
          <w:rFonts w:ascii="Times New Roman" w:eastAsia="宋体" w:hAnsi="Times New Roman" w:cs="Times New Roman" w:hint="eastAsia"/>
          <w:sz w:val="24"/>
          <w:szCs w:val="24"/>
          <w:lang w:val="en-US" w:eastAsia="zh-CN"/>
        </w:rPr>
        <w:t>业同比增长17.01%，做到497.21亿人民币，纯利润提高19.13%，做到173.27亿人民币。主营业务收入和净利润都是有“二位数”的提高。这类数据信息看上去非常好，但从单独一季度看来，主要表现并不那么开朗。上年三季度，</w:t>
      </w:r>
      <w:r>
        <w:rPr>
          <w:rFonts w:cs="Times New Roman" w:hint="eastAsia"/>
          <w:sz w:val="24"/>
          <w:szCs w:val="24"/>
          <w:lang w:val="en-US" w:eastAsia="zh-CN"/>
        </w:rPr>
        <w:t>五粮液</w:t>
      </w:r>
      <w:r>
        <w:rPr>
          <w:rFonts w:ascii="Times New Roman" w:eastAsia="宋体" w:hAnsi="Times New Roman" w:cs="Times New Roman" w:hint="eastAsia"/>
          <w:sz w:val="24"/>
          <w:szCs w:val="24"/>
          <w:lang w:val="en-US" w:eastAsia="zh-CN"/>
        </w:rPr>
        <w:t>完成营收129.7亿人民币，同比增长10.61%，增速远小于一季度的20.19%和二季度的10.61%；净利润98.72亿人民币，同比增长11.84%。增速远小于一季度的21.02%和二季度的23.03%，增速显著变缓，公司营运能力有所下降。除此之外，企业不规范的资本结构也会进一步提升企业的财务风险。因而，有必要对公司的财务风险进行分析。</w:t>
      </w:r>
    </w:p>
    <w:p>
      <w:pPr>
        <w:pStyle w:val="Heading2"/>
        <w:bidi w:val="0"/>
        <w:rPr>
          <w:rFonts w:hint="eastAsia"/>
          <w:lang w:val="en-US" w:eastAsia="zh-CN"/>
        </w:rPr>
      </w:pPr>
      <w:bookmarkStart w:id="25" w:name="_Toc15643"/>
      <w:bookmarkStart w:id="26" w:name="_Toc103619108"/>
      <w:bookmarkStart w:id="27" w:name="_Toc103620951"/>
      <w:bookmarkStart w:id="28" w:name="_Toc104223486"/>
      <w:bookmarkStart w:id="29" w:name="_Toc101638904"/>
      <w:bookmarkStart w:id="30" w:name="_Toc3539"/>
      <w:r>
        <w:rPr>
          <w:rFonts w:hint="eastAsia"/>
          <w:lang w:val="en-US" w:eastAsia="zh-CN"/>
        </w:rPr>
        <w:t>研究意义</w:t>
      </w:r>
      <w:bookmarkEnd w:id="25"/>
      <w:bookmarkEnd w:id="26"/>
      <w:bookmarkEnd w:id="27"/>
      <w:bookmarkEnd w:id="28"/>
      <w:bookmarkEnd w:id="29"/>
      <w:bookmarkEnd w:id="30"/>
    </w:p>
    <w:p>
      <w:pPr>
        <w:pStyle w:val="Heading3"/>
        <w:bidi w:val="0"/>
        <w:rPr>
          <w:rFonts w:hint="eastAsia"/>
          <w:lang w:val="en-US" w:eastAsia="zh-CN"/>
        </w:rPr>
      </w:pPr>
      <w:bookmarkStart w:id="31" w:name="_Toc17859"/>
      <w:bookmarkStart w:id="32" w:name="_Toc16055"/>
      <w:r>
        <w:rPr>
          <w:rFonts w:hint="eastAsia"/>
          <w:lang w:val="en-US" w:eastAsia="zh-CN"/>
        </w:rPr>
        <w:t>理论意义</w:t>
      </w:r>
      <w:bookmarkEnd w:id="31"/>
      <w:bookmarkEnd w:id="3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ascii="Times New Roman" w:eastAsia="宋体" w:hAnsi="Times New Roman" w:cs="Times New Roman" w:hint="eastAsia"/>
          <w:sz w:val="24"/>
          <w:szCs w:val="24"/>
          <w:lang w:val="en-US" w:eastAsia="zh-CN"/>
        </w:rPr>
        <w:t>从财务视角看来，也就是企业的财务风险性。财务风险是指在各种各样财务主题活动中，因为外部环境条件和各种各样无法预测分析、不能调节的要素，使企业的具体收入与预期目标产生误差而发生的财产损失。从理论上讲，企业财务风险性包含筹资风险、经营风险、资产回收利用风险性和盈利风险性。小范围的企业财务风险是指因负债经营必须还款过期债款而发生的融资风险。在中国市场经济条件下，企业财务风险性贯彻于全部财务阶段，是企业财务中各种各样风险因素聚集的主要表现，其含义是很大的。它对完成和超过企业的经营目标，摆脱风险性，提高整体实力，使企业站稳脚跟具备关键作用。</w:t>
      </w:r>
    </w:p>
    <w:p>
      <w:pPr>
        <w:pStyle w:val="Heading3"/>
        <w:bidi w:val="0"/>
        <w:rPr>
          <w:rFonts w:hint="eastAsia"/>
          <w:lang w:val="en-US" w:eastAsia="zh-CN"/>
        </w:rPr>
      </w:pPr>
      <w:bookmarkStart w:id="33" w:name="_Toc11092"/>
      <w:bookmarkStart w:id="34" w:name="_Toc15103"/>
      <w:r>
        <w:rPr>
          <w:rFonts w:hint="eastAsia"/>
          <w:lang w:val="en-US" w:eastAsia="zh-CN"/>
        </w:rPr>
        <w:t>实践意义</w:t>
      </w:r>
      <w:bookmarkEnd w:id="33"/>
      <w:bookmarkEnd w:id="3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ascii="Times New Roman" w:eastAsia="宋体" w:hAnsi="Times New Roman" w:cs="Times New Roman" w:hint="eastAsia"/>
          <w:sz w:val="24"/>
          <w:szCs w:val="24"/>
          <w:lang w:val="en-US" w:eastAsia="zh-CN"/>
        </w:rPr>
        <w:t>从现实意义上来讲，对</w:t>
      </w:r>
      <w:r>
        <w:rPr>
          <w:rFonts w:cs="Times New Roman" w:hint="eastAsia"/>
          <w:sz w:val="24"/>
          <w:szCs w:val="24"/>
          <w:lang w:val="en-US" w:eastAsia="zh-CN"/>
        </w:rPr>
        <w:t>五粮液</w:t>
      </w:r>
      <w:r>
        <w:rPr>
          <w:rFonts w:ascii="Times New Roman" w:eastAsia="宋体" w:hAnsi="Times New Roman" w:cs="Times New Roman" w:hint="eastAsia"/>
          <w:sz w:val="24"/>
          <w:szCs w:val="24"/>
          <w:lang w:val="en-US" w:eastAsia="zh-CN"/>
        </w:rPr>
        <w:t>集团会计风险管理方法的研究和分析具备实际意义。在企业财务会计中引进风险价值专用工具，可以协助企业管理人员制订有目的性的解决对策，合理解决财务风险，避免企业深陷倒闭。运用风险价值评估风险情况，可以为企业剖析风险形成原因、预测分析风险伤害、预知未来经营情况给予可靠的根据。</w:t>
      </w:r>
    </w:p>
    <w:p>
      <w:pPr>
        <w:pStyle w:val="Heading2"/>
        <w:bidi w:val="0"/>
        <w:rPr>
          <w:rFonts w:hint="eastAsia"/>
          <w:lang w:val="en-US" w:eastAsia="zh-CN"/>
        </w:rPr>
      </w:pPr>
      <w:bookmarkStart w:id="35" w:name="_Toc101638905"/>
      <w:bookmarkStart w:id="36" w:name="_Toc104223487"/>
      <w:bookmarkStart w:id="37" w:name="_Toc103620952"/>
      <w:bookmarkStart w:id="38" w:name="_Toc103619109"/>
      <w:bookmarkStart w:id="39" w:name="_Toc21238"/>
      <w:bookmarkStart w:id="40" w:name="_Toc189"/>
      <w:r>
        <w:rPr>
          <w:rFonts w:hint="eastAsia"/>
          <w:lang w:val="en-US" w:eastAsia="zh-CN"/>
        </w:rPr>
        <w:t>国内外相关研究</w:t>
      </w:r>
      <w:bookmarkEnd w:id="35"/>
      <w:r>
        <w:rPr>
          <w:rFonts w:hint="eastAsia"/>
          <w:lang w:val="en-US" w:eastAsia="zh-CN"/>
        </w:rPr>
        <w:t>现状</w:t>
      </w:r>
      <w:bookmarkEnd w:id="36"/>
      <w:bookmarkEnd w:id="37"/>
      <w:bookmarkEnd w:id="38"/>
      <w:bookmarkEnd w:id="39"/>
      <w:bookmarkEnd w:id="40"/>
    </w:p>
    <w:p>
      <w:pPr>
        <w:pStyle w:val="Heading3"/>
        <w:bidi w:val="0"/>
        <w:rPr>
          <w:rFonts w:hint="eastAsia"/>
          <w:lang w:val="en-US" w:eastAsia="zh-CN"/>
        </w:rPr>
      </w:pPr>
      <w:bookmarkStart w:id="41" w:name="_Toc101638906"/>
      <w:bookmarkStart w:id="42" w:name="_Toc3649"/>
      <w:bookmarkStart w:id="43" w:name="_Toc103619110"/>
      <w:bookmarkStart w:id="44" w:name="_Toc103620953"/>
      <w:bookmarkStart w:id="45" w:name="_Toc104223488"/>
      <w:bookmarkStart w:id="46" w:name="_Toc2417"/>
      <w:r>
        <w:rPr>
          <w:rFonts w:hint="eastAsia"/>
          <w:lang w:val="en-US" w:eastAsia="zh-CN"/>
        </w:rPr>
        <w:t>国外相关研究</w:t>
      </w:r>
      <w:bookmarkEnd w:id="41"/>
      <w:r>
        <w:rPr>
          <w:rFonts w:hint="eastAsia"/>
          <w:lang w:val="en-US" w:eastAsia="zh-CN"/>
        </w:rPr>
        <w:t>现状</w:t>
      </w:r>
      <w:bookmarkEnd w:id="42"/>
      <w:bookmarkEnd w:id="43"/>
      <w:bookmarkEnd w:id="44"/>
      <w:bookmarkEnd w:id="45"/>
      <w:bookmarkEnd w:id="4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ascii="Times New Roman" w:eastAsia="宋体" w:hAnsi="Times New Roman" w:cs="Times New Roman" w:hint="eastAsia"/>
          <w:sz w:val="24"/>
          <w:szCs w:val="24"/>
          <w:lang w:val="en-US" w:eastAsia="zh-CN"/>
        </w:rPr>
        <w:t>风险研究起源于德国，形成并发展于美国。19世纪20年代的美国经济师认为，风险可以根据一定的方法、方式和手段来考量和明确。1963年美国出版发行的《保险手册》发布了《企业的风险基础理论》，文章内容引起了欧洲国家的普遍关心。此后，风险管理方法的研究慢慢迈向专业化和系统化，风险管理方法变成企业管理方法中的一门单独课程。在当今西方资本主义国家，会计风险管理方法已经变成企业中一个专业性、系统性的经济与管理单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ascii="Times New Roman" w:eastAsia="宋体" w:hAnsi="Times New Roman" w:cs="Times New Roman" w:hint="eastAsia"/>
          <w:sz w:val="24"/>
          <w:szCs w:val="24"/>
          <w:lang w:val="en-US" w:eastAsia="zh-CN"/>
        </w:rPr>
        <w:t>Yang Wenchao,Meng Qinghua(2019)认为任何企业如果具有良好的财务分析，都能够有效地防范财务风险。在这方面，企业应注重加强对金融风险的财务分析，从而提高企业的经济效益。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sectPr>
          <w:headerReference w:type="default" r:id="rId18"/>
          <w:footerReference w:type="default" r:id="rId19"/>
          <w:type w:val="nextPage"/>
          <w:pgSz w:w="11906" w:h="16838"/>
          <w:pgMar w:top="1417" w:right="1417" w:bottom="1417" w:left="1417" w:header="851" w:footer="992" w:gutter="0"/>
          <w:pgNumType w:fmt="decimal" w:start="2" w:chapStyle="1"/>
          <w:cols w:num="1" w:space="720"/>
          <w:titlePg w:val="0"/>
          <w:rtlGutter w:val="0"/>
          <w:docGrid w:type="lines" w:linePitch="312" w:charSpace="0"/>
        </w:sectPr>
      </w:pPr>
      <w:r>
        <w:rPr>
          <w:rFonts w:ascii="Times New Roman" w:eastAsia="宋体" w:hAnsi="Times New Roman" w:cs="Times New Roman" w:hint="eastAsia"/>
          <w:sz w:val="24"/>
          <w:szCs w:val="24"/>
          <w:lang w:val="en-US" w:eastAsia="zh-CN"/>
        </w:rPr>
        <w:t>Filipe Lemon (2020)认为风险是由一个三部分组成的概念，风险是指事件可能对结果产生意想不到和值得注意的影响的可能性，即在不确定的环境中追求目标时所暴露的后果。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ascii="Times New Roman" w:eastAsia="宋体" w:hAnsi="Times New Roman" w:cs="Times New Roman" w:hint="eastAsia"/>
          <w:sz w:val="24"/>
          <w:szCs w:val="24"/>
          <w:lang w:val="en-US" w:eastAsia="zh-CN"/>
        </w:rPr>
        <w:t>Inna Dotsenko（2020）认为有两种方法可以解释"风险管理"的概念：流程和系统。建议将企业的“风险管理”概念解释为一个过程，其基础是预测风险的实现，确定其可能表现的程度，以及制定和进一步执行一套旨在防止或尽量减少与实施风险有关的损失的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ascii="Times New Roman" w:eastAsia="宋体" w:hAnsi="Times New Roman" w:cs="Times New Roman" w:hint="eastAsia"/>
          <w:sz w:val="24"/>
          <w:szCs w:val="24"/>
          <w:lang w:val="en-US" w:eastAsia="zh-CN"/>
        </w:rPr>
        <w:t>QianYao （2020）认为为了更好地提高企业的总体竞争能力，企业必须深刻认识财务管理的风险并降低其伤害，经济的快速发展给企业的管理和发展带来了机遇，但也给企业带来了一定的风险。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ascii="Times New Roman" w:eastAsia="宋体" w:hAnsi="Times New Roman" w:cs="Times New Roman" w:hint="eastAsia"/>
          <w:sz w:val="24"/>
          <w:szCs w:val="24"/>
          <w:lang w:val="en-US" w:eastAsia="zh-CN"/>
        </w:rPr>
        <w:t>Chen Hongyu（2021）在当前的市场环境下,企业中间的市场竞争日趋猛烈，这不但妨碍了企业本身的良性发展，也增多了财务管理的风险和相对的监管难度系数。因而，企业必须对财务管理中也许具有的风险和监管问题加大力度，尽量地预防风险。</w:t>
      </w:r>
    </w:p>
    <w:p>
      <w:pPr>
        <w:pStyle w:val="Heading3"/>
        <w:bidi w:val="0"/>
        <w:rPr>
          <w:rFonts w:hint="eastAsia"/>
          <w:lang w:val="en-US" w:eastAsia="zh-CN"/>
        </w:rPr>
      </w:pPr>
      <w:bookmarkStart w:id="47" w:name="_Toc101638907"/>
      <w:bookmarkStart w:id="48" w:name="_Toc104223489"/>
      <w:bookmarkStart w:id="49" w:name="_Toc103620954"/>
      <w:bookmarkStart w:id="50" w:name="_Toc21564"/>
      <w:bookmarkStart w:id="51" w:name="_Toc103619111"/>
      <w:bookmarkStart w:id="52" w:name="_Toc1152"/>
      <w:r>
        <w:rPr>
          <w:rFonts w:hint="eastAsia"/>
          <w:lang w:val="en-US" w:eastAsia="zh-CN"/>
        </w:rPr>
        <w:t>国内相关研究</w:t>
      </w:r>
      <w:bookmarkEnd w:id="47"/>
      <w:r>
        <w:rPr>
          <w:rFonts w:hint="eastAsia"/>
          <w:lang w:val="en-US" w:eastAsia="zh-CN"/>
        </w:rPr>
        <w:t>现状</w:t>
      </w:r>
      <w:bookmarkEnd w:id="48"/>
      <w:bookmarkEnd w:id="49"/>
      <w:bookmarkEnd w:id="50"/>
      <w:bookmarkEnd w:id="51"/>
      <w:bookmarkEnd w:id="5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ascii="Times New Roman" w:eastAsia="宋体" w:hAnsi="Times New Roman" w:cs="Times New Roman" w:hint="eastAsia"/>
          <w:sz w:val="24"/>
          <w:szCs w:val="24"/>
          <w:lang w:val="en-US" w:eastAsia="zh-CN"/>
        </w:rPr>
        <w:t>在我国财务风险的探索起源于20个世纪80年代和90年代开始。中国专家学者对国内财务风险管理的科学研究主要体现在下列视角：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ascii="Times New Roman" w:eastAsia="宋体" w:hAnsi="Times New Roman" w:cs="Times New Roman" w:hint="eastAsia"/>
          <w:sz w:val="24"/>
          <w:szCs w:val="24"/>
          <w:lang w:val="en-US" w:eastAsia="zh-CN"/>
        </w:rPr>
        <w:t>一是剖析在我国财务风险形成原因的探索：年(2018年)所指企业财务风险就是指企业在各项运营活动中，在企业内部结构；受到外界难以预料与控制等多种因素，公司的财务具体经营状态和预估存有误差，企业经营情况存在不确定性，企业有可能会遭受损失。伊利牛奶(2018)阐述了企业财务风险这几种关键财务风险类型及形成原因，并给出对应的财务风险预防措施[7]。宋水准(2019)是我国外部环境经济形势出现了巨变，企业运营风险持续恶变。立即鉴别风险，平衡风险，提升掌握风险，搞好内控制度和风险管理，才能给本身才能的发展趋势创造环境。依据话题讨论(2020)，新形势下企业财务风险的最基本类型有三种：项目投资风险、资金回笼风险和筹集资金风险。宁伟(2020)觉得，要有效管理企业财务风险，必须首先鉴别财务风险，最先确立存在的不足，才可以采用有效对策积极应对，立即解决财务风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sectPr>
          <w:headerReference w:type="default" r:id="rId20"/>
          <w:footerReference w:type="default" r:id="rId21"/>
          <w:type w:val="nextPage"/>
          <w:pgSz w:w="11906" w:h="16838"/>
          <w:pgMar w:top="1417" w:right="1417" w:bottom="1417" w:left="1417" w:header="851" w:footer="992" w:gutter="0"/>
          <w:pgNumType w:fmt="decimal" w:start="3" w:chapStyle="1"/>
          <w:cols w:num="1" w:space="720"/>
          <w:titlePg w:val="0"/>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ascii="Times New Roman" w:eastAsia="宋体" w:hAnsi="Times New Roman" w:cs="Times New Roman" w:hint="eastAsia"/>
          <w:sz w:val="24"/>
          <w:szCs w:val="24"/>
          <w:lang w:val="en-US" w:eastAsia="zh-CN"/>
        </w:rPr>
        <w:t>第二部分，在我国财务风险统计分析方法科学研究。《无限挑战》张环乡，江玉圩(2018)比较分析法依据财务报表分析常见统计分析方法之一的较为和关键标准，根据同一时期财务报告的相关资料进行一定的对应关系检测点评企业现阶段与经营活动的办法(11)。徐迈(2018)强调，比较常见的财务报表分析方式有对比分析法、占比分析方法、因素分析方法[12]。惠瑞玲(2018)阐述了现行标准偿债能力指标指标值存有的实际缺点，并制定相应的整改措施，提升企业偿债能力指标指标值[13]。王艳(2019)觉得，通过对比企业未收款存货周转率，能够得知企业在一定的时间内回收利用未收款的频率和企业管理方法的成效。genie轴(2021)觉得存货周转率剖析在企业运营运营分析中起着非常重要的作用。它体现了企业存量资金的周转速度和存量资金占用合理化，对企业偿债能力的分析起到非常重要的作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ascii="Times New Roman" w:eastAsia="宋体" w:hAnsi="Times New Roman" w:cs="Times New Roman" w:hint="eastAsia"/>
          <w:sz w:val="24"/>
          <w:szCs w:val="24"/>
          <w:lang w:val="en-US" w:eastAsia="zh-CN"/>
        </w:rPr>
        <w:t>彭小华(2020)觉得，企业财务风险管理方法存在的不足是筹集资金一部分债务太多，成本管理体制缺少，信用缺失回收利用一部分软弱的财务风险管理方法意识淡薄。崔莹(2020)明确提出风险管理和预防加强防范措施，风险解决等级(17级)。燕萍利(2021)给出了完善内控制度管理与财务风险预防的七大战略。张娜(2021)觉得，假如企业内部运营制度不完善，很容易发生许多财务风险，若不能有效管理这类财务风险，能给企业带来很大的经营困境。因而，在企业内部结构创建财务风险预警机已经成为企业经营的重要工作之一。将张雪化(2021)企业个人需求与风险管理紧密结合，完成更为系统软件、完整的财务风险预警信息与管理控制系统，全方位提高财务风险管理方法控制力，是企业长期稳定的发展趋势，重点在于完成。”</w:t>
      </w:r>
    </w:p>
    <w:p>
      <w:pPr>
        <w:pStyle w:val="Heading2"/>
        <w:bidi w:val="0"/>
        <w:rPr>
          <w:rFonts w:hint="eastAsia"/>
          <w:lang w:val="en-US" w:eastAsia="zh-CN"/>
        </w:rPr>
      </w:pPr>
      <w:bookmarkStart w:id="53" w:name="_Toc12132"/>
      <w:bookmarkStart w:id="54" w:name="_Toc101638908"/>
      <w:bookmarkStart w:id="55" w:name="_Toc104223490"/>
      <w:bookmarkStart w:id="56" w:name="_Toc103619112"/>
      <w:bookmarkStart w:id="57" w:name="_Toc103620955"/>
      <w:bookmarkStart w:id="58" w:name="_Toc11007"/>
      <w:r>
        <w:rPr>
          <w:rFonts w:hint="eastAsia"/>
          <w:lang w:val="en-US" w:eastAsia="zh-CN"/>
        </w:rPr>
        <w:t>研究的思路</w:t>
      </w:r>
      <w:bookmarkEnd w:id="53"/>
      <w:bookmarkEnd w:id="54"/>
      <w:bookmarkEnd w:id="55"/>
      <w:bookmarkEnd w:id="56"/>
      <w:bookmarkEnd w:id="57"/>
      <w:bookmarkEnd w:id="58"/>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sectPr>
          <w:headerReference w:type="default" r:id="rId22"/>
          <w:footerReference w:type="default" r:id="rId23"/>
          <w:type w:val="nextPage"/>
          <w:pgSz w:w="11906" w:h="16838"/>
          <w:pgMar w:top="1417" w:right="1417" w:bottom="1417" w:left="1417" w:header="851" w:footer="992" w:gutter="0"/>
          <w:pgNumType w:fmt="decimal" w:start="4" w:chapStyle="1"/>
          <w:cols w:num="1" w:space="720"/>
          <w:titlePg w:val="0"/>
          <w:rtlGutter w:val="0"/>
          <w:docGrid w:type="lines" w:linePitch="312" w:charSpace="0"/>
        </w:sectPr>
      </w:pPr>
      <w:r>
        <w:rPr>
          <w:rFonts w:ascii="Times New Roman" w:eastAsia="宋体" w:hAnsi="Times New Roman" w:cs="Times New Roman" w:hint="eastAsia"/>
          <w:sz w:val="24"/>
          <w:szCs w:val="24"/>
          <w:lang w:val="en-US" w:eastAsia="zh-CN"/>
        </w:rPr>
        <w:t>首先通过阅读查找文献，了解白酒行业的现状以及</w:t>
      </w:r>
      <w:r>
        <w:rPr>
          <w:rFonts w:cs="Times New Roman" w:hint="eastAsia"/>
          <w:sz w:val="24"/>
          <w:szCs w:val="24"/>
          <w:lang w:val="en-US" w:eastAsia="zh-CN"/>
        </w:rPr>
        <w:t>五粮液</w:t>
      </w:r>
      <w:r>
        <w:rPr>
          <w:rFonts w:ascii="Times New Roman" w:eastAsia="宋体" w:hAnsi="Times New Roman" w:cs="Times New Roman" w:hint="eastAsia"/>
          <w:sz w:val="24"/>
          <w:szCs w:val="24"/>
          <w:lang w:val="en-US" w:eastAsia="zh-CN"/>
        </w:rPr>
        <w:t>集团的现状；其次根据查找公司有关财务报表，对公司财务风险开展总体剖析，再分别从筹资风险、投资风险、营运风险和收益分配风险四个方面来分析公司的财务风险，进而掌握</w:t>
      </w:r>
      <w:r>
        <w:rPr>
          <w:rFonts w:cs="Times New Roman" w:hint="eastAsia"/>
          <w:sz w:val="24"/>
          <w:szCs w:val="24"/>
          <w:lang w:val="en-US" w:eastAsia="zh-CN"/>
        </w:rPr>
        <w:t>五粮液</w:t>
      </w:r>
      <w:r>
        <w:rPr>
          <w:rFonts w:ascii="Times New Roman" w:eastAsia="宋体" w:hAnsi="Times New Roman" w:cs="Times New Roman" w:hint="eastAsia"/>
          <w:sz w:val="24"/>
          <w:szCs w:val="24"/>
          <w:lang w:val="en-US" w:eastAsia="zh-CN"/>
        </w:rPr>
        <w:t>集团财务风险现况，从而根据与同业竞争公司的横向比较，找出存在的不足。最终，找出问题的缘故，并指出一些提议。</w:t>
      </w:r>
    </w:p>
    <w:p>
      <w:pPr>
        <w:pStyle w:val="Heading1"/>
        <w:bidi w:val="0"/>
        <w:rPr>
          <w:rFonts w:hint="default"/>
          <w:lang w:val="en-US" w:eastAsia="zh-CN"/>
        </w:rPr>
      </w:pPr>
      <w:bookmarkStart w:id="59" w:name="_Toc103620956"/>
      <w:bookmarkStart w:id="60" w:name="_Toc103619113"/>
      <w:bookmarkStart w:id="61" w:name="_Toc104223491"/>
      <w:bookmarkStart w:id="62" w:name="_Toc10041"/>
      <w:bookmarkStart w:id="63" w:name="_Toc101638909"/>
      <w:bookmarkStart w:id="64" w:name="_Toc10990"/>
      <w:r>
        <w:rPr>
          <w:rFonts w:hint="default"/>
          <w:lang w:val="en-US" w:eastAsia="zh-CN"/>
        </w:rPr>
        <w:t>财务风险管理理论综述</w:t>
      </w:r>
      <w:bookmarkEnd w:id="59"/>
      <w:bookmarkEnd w:id="60"/>
      <w:bookmarkEnd w:id="61"/>
      <w:bookmarkEnd w:id="62"/>
      <w:bookmarkEnd w:id="63"/>
      <w:bookmarkEnd w:id="64"/>
    </w:p>
    <w:p>
      <w:pPr>
        <w:pStyle w:val="Heading2"/>
        <w:bidi w:val="0"/>
        <w:rPr>
          <w:rFonts w:hint="default"/>
          <w:lang w:val="en-US" w:eastAsia="zh-CN"/>
        </w:rPr>
      </w:pPr>
      <w:bookmarkStart w:id="65" w:name="_Toc103619114"/>
      <w:bookmarkStart w:id="66" w:name="_Toc104223492"/>
      <w:bookmarkStart w:id="67" w:name="_Toc103620957"/>
      <w:bookmarkStart w:id="68" w:name="_Toc101638910"/>
      <w:bookmarkStart w:id="69" w:name="_Toc11803"/>
      <w:bookmarkStart w:id="70" w:name="_Toc24972"/>
      <w:r>
        <w:rPr>
          <w:rFonts w:hint="default"/>
          <w:lang w:val="en-US" w:eastAsia="zh-CN"/>
        </w:rPr>
        <w:t>财务风险的内涵</w:t>
      </w:r>
      <w:bookmarkEnd w:id="65"/>
      <w:bookmarkEnd w:id="66"/>
      <w:bookmarkEnd w:id="67"/>
      <w:bookmarkEnd w:id="68"/>
      <w:bookmarkEnd w:id="69"/>
      <w:bookmarkEnd w:id="7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hint="default"/>
          <w:spacing w:val="-5"/>
          <w:kern w:val="0"/>
          <w:sz w:val="24"/>
          <w:szCs w:val="20"/>
        </w:rPr>
      </w:pPr>
      <w:r>
        <w:rPr>
          <w:rFonts w:ascii="宋体" w:eastAsia="宋体" w:hAnsi="宋体" w:cs="Times New Roman" w:hint="default"/>
          <w:spacing w:val="-5"/>
          <w:kern w:val="0"/>
          <w:sz w:val="24"/>
          <w:szCs w:val="20"/>
          <w:lang w:val="en-US" w:eastAsia="zh-CN"/>
        </w:rPr>
        <w:t>企业财务风险就是指在全部经营活动全过程中，因为不可预见或已发生改变的内部结构因素的危害，</w:t>
      </w:r>
      <w:r>
        <w:rPr>
          <w:rFonts w:ascii="Times New Roman" w:eastAsia="宋体" w:hAnsi="Times New Roman" w:cs="Times New Roman" w:hint="default"/>
          <w:sz w:val="24"/>
          <w:szCs w:val="24"/>
          <w:lang w:val="en-US" w:eastAsia="zh-CN"/>
        </w:rPr>
        <w:t>企业关键</w:t>
      </w:r>
      <w:r>
        <w:rPr>
          <w:rFonts w:ascii="宋体" w:eastAsia="宋体" w:hAnsi="宋体" w:cs="Times New Roman" w:hint="default"/>
          <w:spacing w:val="-5"/>
          <w:kern w:val="0"/>
          <w:sz w:val="24"/>
          <w:szCs w:val="20"/>
          <w:lang w:val="en-US" w:eastAsia="zh-CN"/>
        </w:rPr>
        <w:t>成本核算的具体运行很有可能产生偏移，进而导致企业运营的多样化，并有可能对企业造成不良影响。财务风险的种类分为筹资风险、经营风险、营运风险和收益分配风险，这也是最首要的财务风险种类。</w:t>
      </w:r>
    </w:p>
    <w:p>
      <w:pPr>
        <w:pStyle w:val="Heading2"/>
        <w:bidi w:val="0"/>
        <w:rPr>
          <w:rFonts w:hint="default"/>
          <w:lang w:val="en-US" w:eastAsia="zh-CN"/>
        </w:rPr>
      </w:pPr>
      <w:bookmarkStart w:id="71" w:name="_Toc101638911"/>
      <w:bookmarkStart w:id="72" w:name="_Toc104223493"/>
      <w:bookmarkStart w:id="73" w:name="_Toc103619115"/>
      <w:bookmarkStart w:id="74" w:name="_Toc103620958"/>
      <w:bookmarkStart w:id="75" w:name="_Toc3254"/>
      <w:bookmarkStart w:id="76" w:name="_Toc10337"/>
      <w:r>
        <w:rPr>
          <w:rFonts w:hint="default"/>
          <w:lang w:val="en-US" w:eastAsia="zh-CN"/>
        </w:rPr>
        <w:t>财务风险的特征</w:t>
      </w:r>
      <w:bookmarkEnd w:id="71"/>
      <w:bookmarkEnd w:id="72"/>
      <w:bookmarkEnd w:id="73"/>
      <w:bookmarkEnd w:id="74"/>
      <w:bookmarkEnd w:id="75"/>
      <w:bookmarkEnd w:id="76"/>
    </w:p>
    <w:p>
      <w:pPr>
        <w:pStyle w:val="Heading3"/>
        <w:bidi w:val="0"/>
        <w:rPr>
          <w:rFonts w:hint="default"/>
          <w:lang w:val="en-US" w:eastAsia="zh-CN"/>
        </w:rPr>
      </w:pPr>
      <w:bookmarkStart w:id="77" w:name="_Toc101638912"/>
      <w:bookmarkStart w:id="78" w:name="_Toc104223494"/>
      <w:bookmarkStart w:id="79" w:name="_Toc13326"/>
      <w:bookmarkStart w:id="80" w:name="_Toc103619116"/>
      <w:bookmarkStart w:id="81" w:name="_Toc103620959"/>
      <w:bookmarkStart w:id="82" w:name="_Toc10756"/>
      <w:r>
        <w:rPr>
          <w:rFonts w:hint="default"/>
          <w:lang w:val="en-US" w:eastAsia="zh-CN"/>
        </w:rPr>
        <w:t>不确定性</w:t>
      </w:r>
      <w:bookmarkEnd w:id="77"/>
      <w:bookmarkEnd w:id="78"/>
      <w:bookmarkEnd w:id="79"/>
      <w:bookmarkEnd w:id="80"/>
      <w:bookmarkEnd w:id="81"/>
      <w:bookmarkEnd w:id="8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hint="default"/>
          <w:spacing w:val="-5"/>
          <w:kern w:val="0"/>
          <w:sz w:val="24"/>
          <w:szCs w:val="20"/>
        </w:rPr>
      </w:pPr>
      <w:r>
        <w:rPr>
          <w:rFonts w:ascii="宋体" w:eastAsia="宋体" w:hAnsi="宋体" w:cs="Times New Roman" w:hint="default"/>
          <w:spacing w:val="-5"/>
          <w:kern w:val="0"/>
          <w:sz w:val="24"/>
          <w:szCs w:val="20"/>
          <w:lang w:val="en-US" w:eastAsia="zh-CN"/>
        </w:rPr>
        <w:t>财务风险在特定的环境下是会发生变化的，在一定情况下或一定时间段内，这类风险性很有可能发生，也有可能不发生。公司难以分辨财务风险发生的时长和具体内容。</w:t>
      </w:r>
    </w:p>
    <w:p>
      <w:pPr>
        <w:pStyle w:val="Heading3"/>
        <w:bidi w:val="0"/>
        <w:rPr>
          <w:rFonts w:hint="default"/>
          <w:lang w:val="en-US" w:eastAsia="zh-CN"/>
        </w:rPr>
      </w:pPr>
      <w:bookmarkStart w:id="83" w:name="_Toc103619117"/>
      <w:bookmarkStart w:id="84" w:name="_Toc23996"/>
      <w:bookmarkStart w:id="85" w:name="_Toc104223495"/>
      <w:bookmarkStart w:id="86" w:name="_Toc103620960"/>
      <w:bookmarkStart w:id="87" w:name="_Toc101638913"/>
      <w:bookmarkStart w:id="88" w:name="_Toc8233"/>
      <w:r>
        <w:rPr>
          <w:rFonts w:hint="default"/>
          <w:lang w:val="en-US" w:eastAsia="zh-CN"/>
        </w:rPr>
        <w:t>客观性</w:t>
      </w:r>
      <w:bookmarkEnd w:id="83"/>
      <w:bookmarkEnd w:id="84"/>
      <w:bookmarkEnd w:id="85"/>
      <w:bookmarkEnd w:id="86"/>
      <w:bookmarkEnd w:id="87"/>
      <w:bookmarkEnd w:id="88"/>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hint="default"/>
          <w:spacing w:val="-5"/>
          <w:kern w:val="0"/>
          <w:sz w:val="24"/>
          <w:szCs w:val="20"/>
        </w:rPr>
      </w:pPr>
      <w:r>
        <w:rPr>
          <w:rFonts w:ascii="宋体" w:eastAsia="宋体" w:hAnsi="宋体" w:cs="Times New Roman" w:hint="default"/>
          <w:spacing w:val="-5"/>
          <w:kern w:val="0"/>
          <w:sz w:val="24"/>
          <w:szCs w:val="20"/>
          <w:lang w:val="en-US" w:eastAsia="zh-CN"/>
        </w:rPr>
        <w:t>企业财务风险是客观存在的，存在于企业生产运营活动的开始与结束。无论企业愿不愿担负风险，风险无所不在，不容易由于大家主观性意识的变化而迁移或清除。</w:t>
      </w:r>
    </w:p>
    <w:p>
      <w:pPr>
        <w:pStyle w:val="Heading3"/>
        <w:bidi w:val="0"/>
        <w:rPr>
          <w:rFonts w:hint="default"/>
          <w:lang w:val="en-US" w:eastAsia="zh-CN"/>
        </w:rPr>
      </w:pPr>
      <w:bookmarkStart w:id="89" w:name="_Toc103620961"/>
      <w:bookmarkStart w:id="90" w:name="_Toc101638914"/>
      <w:bookmarkStart w:id="91" w:name="_Toc1537"/>
      <w:bookmarkStart w:id="92" w:name="_Toc104223496"/>
      <w:bookmarkStart w:id="93" w:name="_Toc103619118"/>
      <w:bookmarkStart w:id="94" w:name="_Toc5184"/>
      <w:r>
        <w:rPr>
          <w:rFonts w:hint="default"/>
          <w:lang w:val="en-US" w:eastAsia="zh-CN"/>
        </w:rPr>
        <w:t>全面性</w:t>
      </w:r>
      <w:bookmarkEnd w:id="89"/>
      <w:bookmarkEnd w:id="90"/>
      <w:bookmarkEnd w:id="91"/>
      <w:bookmarkEnd w:id="92"/>
      <w:bookmarkEnd w:id="93"/>
      <w:bookmarkEnd w:id="9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hint="default"/>
          <w:spacing w:val="-5"/>
          <w:kern w:val="0"/>
          <w:sz w:val="24"/>
          <w:szCs w:val="20"/>
        </w:rPr>
      </w:pPr>
      <w:r>
        <w:rPr>
          <w:rFonts w:ascii="宋体" w:eastAsia="宋体" w:hAnsi="宋体" w:cs="Times New Roman" w:hint="default"/>
          <w:spacing w:val="-5"/>
          <w:kern w:val="0"/>
          <w:sz w:val="24"/>
          <w:szCs w:val="20"/>
          <w:lang w:val="en-US" w:eastAsia="zh-CN"/>
        </w:rPr>
        <w:t>全面性，即财务风险存有和企业财务管理的整个过程，并反映在各种各样会计关联上。资产筹资、营运资金、资金</w:t>
      </w:r>
      <w:r>
        <w:rPr>
          <w:rFonts w:ascii="Times New Roman" w:eastAsia="宋体" w:hAnsi="Times New Roman" w:cs="Times New Roman" w:hint="default"/>
          <w:sz w:val="24"/>
          <w:szCs w:val="24"/>
          <w:lang w:val="en-US" w:eastAsia="zh-CN"/>
        </w:rPr>
        <w:t>运用</w:t>
      </w:r>
      <w:r>
        <w:rPr>
          <w:rFonts w:ascii="宋体" w:eastAsia="宋体" w:hAnsi="宋体" w:cs="Times New Roman" w:hint="default"/>
          <w:spacing w:val="-5"/>
          <w:kern w:val="0"/>
          <w:sz w:val="24"/>
          <w:szCs w:val="20"/>
          <w:lang w:val="en-US" w:eastAsia="zh-CN"/>
        </w:rPr>
        <w:t>和配置等会计主题活动都会造成财务风险。</w:t>
      </w:r>
    </w:p>
    <w:p>
      <w:pPr>
        <w:pStyle w:val="Heading3"/>
        <w:bidi w:val="0"/>
        <w:rPr>
          <w:rFonts w:hint="default"/>
          <w:lang w:val="en-US" w:eastAsia="zh-CN"/>
        </w:rPr>
      </w:pPr>
      <w:bookmarkStart w:id="95" w:name="_Toc104223497"/>
      <w:bookmarkStart w:id="96" w:name="_Toc20474"/>
      <w:bookmarkStart w:id="97" w:name="_Toc103619119"/>
      <w:bookmarkStart w:id="98" w:name="_Toc101638915"/>
      <w:bookmarkStart w:id="99" w:name="_Toc103620962"/>
      <w:bookmarkStart w:id="100" w:name="_Toc7512"/>
      <w:r>
        <w:rPr>
          <w:rFonts w:hint="default"/>
          <w:lang w:val="en-US" w:eastAsia="zh-CN"/>
        </w:rPr>
        <w:t>收益与风险共存性</w:t>
      </w:r>
      <w:bookmarkEnd w:id="95"/>
      <w:bookmarkEnd w:id="96"/>
      <w:bookmarkEnd w:id="97"/>
      <w:bookmarkEnd w:id="98"/>
      <w:bookmarkEnd w:id="99"/>
      <w:bookmarkEnd w:id="10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hint="default"/>
          <w:spacing w:val="-5"/>
          <w:kern w:val="0"/>
          <w:sz w:val="24"/>
          <w:szCs w:val="20"/>
        </w:rPr>
      </w:pPr>
      <w:r>
        <w:rPr>
          <w:rFonts w:ascii="宋体" w:eastAsia="宋体" w:hAnsi="宋体" w:cs="Times New Roman" w:hint="default"/>
          <w:spacing w:val="-5"/>
          <w:kern w:val="0"/>
          <w:sz w:val="24"/>
          <w:szCs w:val="20"/>
          <w:lang w:val="en-US" w:eastAsia="zh-CN"/>
        </w:rPr>
        <w:t>一般来说，企业的风险和</w:t>
      </w:r>
      <w:r>
        <w:rPr>
          <w:rFonts w:ascii="Times New Roman" w:eastAsia="宋体" w:hAnsi="Times New Roman" w:cs="Times New Roman" w:hint="default"/>
          <w:sz w:val="24"/>
          <w:szCs w:val="24"/>
          <w:lang w:val="en-US" w:eastAsia="zh-CN"/>
        </w:rPr>
        <w:t>收益</w:t>
      </w:r>
      <w:r>
        <w:rPr>
          <w:rFonts w:ascii="宋体" w:eastAsia="宋体" w:hAnsi="宋体" w:cs="Times New Roman" w:hint="default"/>
          <w:spacing w:val="-5"/>
          <w:kern w:val="0"/>
          <w:sz w:val="24"/>
          <w:szCs w:val="20"/>
          <w:lang w:val="en-US" w:eastAsia="zh-CN"/>
        </w:rPr>
        <w:t>是正比的，财务风险也是如此。企业的项目投资风险和收益也是成正比的。风险越大盈利越多，风险越小盈利越小。企业的财务风险也可以推动企业加强内部结构财务操纵和管理方法，提升流动资金运用效率。</w:t>
      </w:r>
    </w:p>
    <w:p>
      <w:pPr>
        <w:pStyle w:val="Heading3"/>
        <w:bidi w:val="0"/>
        <w:rPr>
          <w:rFonts w:hint="default"/>
          <w:lang w:val="en-US" w:eastAsia="zh-CN"/>
        </w:rPr>
      </w:pPr>
      <w:bookmarkStart w:id="101" w:name="_Toc103620963"/>
      <w:bookmarkStart w:id="102" w:name="_Toc104223498"/>
      <w:bookmarkStart w:id="103" w:name="_Toc103619120"/>
      <w:bookmarkStart w:id="104" w:name="_Toc20898"/>
      <w:bookmarkStart w:id="105" w:name="_Toc101638916"/>
      <w:bookmarkStart w:id="106" w:name="_Toc22306"/>
      <w:r>
        <w:rPr>
          <w:rFonts w:hint="default"/>
          <w:lang w:val="en-US" w:eastAsia="zh-CN"/>
        </w:rPr>
        <w:t>激励性</w:t>
      </w:r>
      <w:bookmarkEnd w:id="101"/>
      <w:bookmarkEnd w:id="102"/>
      <w:bookmarkEnd w:id="103"/>
      <w:bookmarkEnd w:id="104"/>
      <w:bookmarkEnd w:id="105"/>
      <w:bookmarkEnd w:id="10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hint="default"/>
          <w:spacing w:val="-5"/>
          <w:kern w:val="0"/>
          <w:sz w:val="24"/>
          <w:szCs w:val="20"/>
        </w:rPr>
      </w:pPr>
      <w:r>
        <w:rPr>
          <w:rFonts w:ascii="宋体" w:eastAsia="宋体" w:hAnsi="宋体" w:cs="Times New Roman" w:hint="default"/>
          <w:spacing w:val="-5"/>
          <w:kern w:val="0"/>
          <w:sz w:val="24"/>
          <w:szCs w:val="20"/>
          <w:lang w:val="en-US" w:eastAsia="zh-CN"/>
        </w:rPr>
        <w:t>激励性。即财务</w:t>
      </w:r>
      <w:r>
        <w:rPr>
          <w:rFonts w:ascii="Times New Roman" w:eastAsia="宋体" w:hAnsi="Times New Roman" w:cs="Times New Roman" w:hint="default"/>
          <w:sz w:val="24"/>
          <w:szCs w:val="24"/>
          <w:lang w:val="en-US" w:eastAsia="zh-CN"/>
        </w:rPr>
        <w:t>风险</w:t>
      </w:r>
      <w:r>
        <w:rPr>
          <w:rFonts w:ascii="宋体" w:eastAsia="宋体" w:hAnsi="宋体" w:cs="Times New Roman" w:hint="default"/>
          <w:spacing w:val="-5"/>
          <w:kern w:val="0"/>
          <w:sz w:val="24"/>
          <w:szCs w:val="20"/>
          <w:lang w:val="en-US" w:eastAsia="zh-CN"/>
        </w:rPr>
        <w:t>的客观存在会促进企业采取一定的有效措施预防财务风险，加强财务管理方法，完成经济收益。企业预防风险的方式一般是加强财务管理方法，如：创建警报系统和财务管理方案；从另一个角度观察，也促进企业采取一定的有效措施达到市场的需求。</w:t>
      </w:r>
      <w:r>
        <w:rPr>
          <w:rFonts w:ascii="宋体" w:hAnsi="宋体" w:hint="default"/>
          <w:spacing w:val="-5"/>
          <w:kern w:val="0"/>
          <w:sz w:val="24"/>
          <w:szCs w:val="20"/>
        </w:rPr>
        <w:br/>
      </w:r>
      <w:r>
        <w:rPr>
          <w:rFonts w:ascii="宋体" w:hAnsi="宋体" w:hint="default"/>
          <w:spacing w:val="-5"/>
          <w:kern w:val="0"/>
          <w:sz w:val="24"/>
          <w:szCs w:val="2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https://d.book118.com/407113006001006046</w:t>
        </w:r>
      </w:hyperlink>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hint="default"/>
          <w:spacing w:val="-5"/>
          <w:kern w:val="0"/>
          <w:sz w:val="24"/>
          <w:szCs w:val="20"/>
        </w:rPr>
      </w:pPr>
    </w:p>
    <w:sectPr>
      <w:headerReference w:type="default" r:id="rId25"/>
      <w:footerReference w:type="default" r:id="rId26"/>
      <w:pgSz w:w="11906" w:h="16838"/>
      <w:pgMar w:top="1417" w:right="1417" w:bottom="1417" w:left="1417" w:header="851" w:footer="992" w:gutter="0"/>
      <w:pgNumType w:fmt="decimal" w:start="5" w:chapStyle="1"/>
      <w:cols w:num="1" w:space="720"/>
      <w:rtlGutter w:val="0"/>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251">
      <wne:acd wne:acdName="acd-1"/>
    </wne:keymap>
    <wne:keymap wne:kcmPrimary="0433">
      <wne:acd wne:acdName="acd-1"/>
    </wne:keymap>
    <wne:keymap wne:kcmPrimary="0254">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ongti SC Bold">
    <w:altName w:val="宋体"/>
    <w:panose1 w:val="02010600040101010101"/>
    <w:charset w:val="86"/>
    <w:family w:val="auto"/>
    <w:pitch w:val="default"/>
    <w:sig w:usb0="00000000" w:usb1="00000000" w:usb2="00000000" w:usb3="00000000" w:csb0="00160000"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ST Song">
    <w:altName w:val="宋体"/>
    <w:panose1 w:val="00000000000000000000"/>
    <w:charset w:val="86"/>
    <w:family w:val="roma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方正楷体_GBK">
    <w:altName w:val="微软雅黑"/>
    <w:panose1 w:val="02000000000000000000"/>
    <w:charset w:val="86"/>
    <w:family w:val="script"/>
    <w:pitch w:val="default"/>
    <w:sig w:usb0="00000000" w:usb1="00000000" w:usb2="00000016" w:usb3="00000000" w:csb0="00040000" w:csb1="00000000"/>
  </w:font>
  <w:font w:name="仿宋">
    <w:panose1 w:val="02010609060101010101"/>
    <w:charset w:val="86"/>
    <w:family w:val="modern"/>
    <w:pitch w:val="default"/>
    <w:sig w:usb0="800002BF" w:usb1="38CF7CFA" w:usb2="00000016" w:usb3="00000000" w:csb0="00040001" w:csb1="00000000"/>
  </w:font>
  <w:font w:name="cajcd">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1-1</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7690141" name="文本框 10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1-2</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58775101" name="文本框 10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1-3</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5846471" name="文本框 10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1-4</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38121024" name="文本框 10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2-5</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pPr>
                    <w:r>
                      <w:fldChar w:fldCharType="begin"/>
                    </w:r>
                    <w:r>
                      <w:instrText xml:space="preserve"> PAGE  \* MERGEFORMAT </w:instrText>
                    </w:r>
                    <w:r>
                      <w:fldChar w:fldCharType="separate"/>
                    </w:r>
                    <w:r>
                      <w:t>2-5</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hAnsi="宋体"/>
        <w:sz w:val="21"/>
      </w:rPr>
    </w:pPr>
    <w:r>
      <w:rPr>
        <w:rFonts w:ascii="宋体" w:hAnsi="宋体" w:hint="eastAsia"/>
        <w:sz w:val="21"/>
      </w:rPr>
      <w:t>湖北师范大学继续教育学院2023届本科毕业论文（设计）</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hAnsi="宋体"/>
        <w:sz w:val="21"/>
      </w:rPr>
    </w:pPr>
    <w:r>
      <w:rPr>
        <w:rFonts w:ascii="宋体" w:hAnsi="宋体" w:hint="eastAsia"/>
        <w:sz w:val="21"/>
      </w:rPr>
      <w:t>湖北师范大学继续教育学院2023届本科毕业论文（设计）</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hAnsi="宋体"/>
        <w:sz w:val="21"/>
      </w:rPr>
    </w:pPr>
    <w:r>
      <w:rPr>
        <w:rFonts w:ascii="宋体" w:hAnsi="宋体" w:hint="eastAsia"/>
        <w:sz w:val="21"/>
      </w:rPr>
      <w:t>湖北师范大学继续教育学院2023届本科毕业论文（设计）</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hAnsi="宋体"/>
        <w:sz w:val="21"/>
      </w:rPr>
    </w:pPr>
    <w:r>
      <w:rPr>
        <w:rFonts w:ascii="宋体" w:hAnsi="宋体" w:hint="eastAsia"/>
        <w:sz w:val="21"/>
      </w:rPr>
      <w:t>湖北师范大学继续教育学院2023届本科毕业论文（设计）</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hAnsi="宋体"/>
        <w:sz w:val="21"/>
      </w:rPr>
    </w:pPr>
    <w:r>
      <w:rPr>
        <w:rFonts w:ascii="宋体" w:hAnsi="宋体" w:hint="eastAsia"/>
        <w:sz w:val="21"/>
      </w:rPr>
      <w:t>湖北师范大学继续教育学院2023届本科毕业论文（设计）</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hAnsi="宋体"/>
        <w:sz w:val="21"/>
      </w:rPr>
    </w:pPr>
    <w:r>
      <w:rPr>
        <w:rFonts w:ascii="宋体" w:hAnsi="宋体" w:hint="eastAsia"/>
        <w:sz w:val="21"/>
      </w:rPr>
      <w:t>湖北师范大学继续教育学院2023届本科毕业论文（设计）</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hAnsi="宋体"/>
        <w:sz w:val="21"/>
      </w:rPr>
    </w:pPr>
    <w:r>
      <w:rPr>
        <w:rFonts w:ascii="宋体" w:hAnsi="宋体" w:hint="eastAsia"/>
        <w:sz w:val="21"/>
      </w:rPr>
      <w:t>湖北师范大学继续教育学院2023届本科毕业论文（设计）</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hAnsi="宋体"/>
        <w:sz w:val="21"/>
      </w:rPr>
    </w:pPr>
    <w:r>
      <w:rPr>
        <w:rFonts w:ascii="宋体" w:hAnsi="宋体" w:hint="eastAsia"/>
        <w:sz w:val="21"/>
      </w:rPr>
      <w:t>湖北师范大学继续教育学院2023届本科毕业论文（设计）</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hAnsi="宋体"/>
        <w:sz w:val="21"/>
      </w:rPr>
    </w:pPr>
    <w:r>
      <w:rPr>
        <w:rFonts w:ascii="宋体" w:hAnsi="宋体" w:hint="eastAsia"/>
        <w:sz w:val="21"/>
      </w:rPr>
      <w:t>湖北师范大学继续教育学院2023届本科毕业论文（设计）</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hAnsi="宋体"/>
        <w:sz w:val="21"/>
      </w:rPr>
    </w:pPr>
    <w:r>
      <w:rPr>
        <w:rFonts w:ascii="宋体" w:hAnsi="宋体" w:hint="eastAsia"/>
        <w:sz w:val="21"/>
      </w:rPr>
      <w:t>湖北师范大学继续教育学院2023届本科毕业论文（设计）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A30422C"/>
    <w:multiLevelType w:val="multilevel"/>
    <w:tmpl w:val="1A30422C"/>
    <w:lvl w:ilvl="0">
      <w:start w:val="1"/>
      <w:numFmt w:val="decimal"/>
      <w:pStyle w:val="Heading1"/>
      <w:suff w:val="space"/>
      <w:lvlText w:val="%1."/>
      <w:lvlJc w:val="left"/>
      <w:pPr>
        <w:tabs>
          <w:tab w:val="left" w:pos="420"/>
        </w:tabs>
        <w:ind w:left="432" w:hanging="432"/>
      </w:pPr>
      <w:rPr>
        <w:rFonts w:hint="default"/>
      </w:rPr>
    </w:lvl>
    <w:lvl w:ilvl="1">
      <w:start w:val="1"/>
      <w:numFmt w:val="decimal"/>
      <w:pStyle w:val="Heading2"/>
      <w:suff w:val="space"/>
      <w:lvlText w:val="%1.%2"/>
      <w:lvlJc w:val="left"/>
      <w:pPr>
        <w:tabs>
          <w:tab w:val="left" w:pos="420"/>
        </w:tabs>
        <w:ind w:left="575" w:hanging="575"/>
      </w:pPr>
      <w:rPr>
        <w:rFonts w:ascii="宋体" w:eastAsia="宋体" w:hAnsi="宋体" w:cs="宋体" w:hint="default"/>
      </w:rPr>
    </w:lvl>
    <w:lvl w:ilvl="2">
      <w:start w:val="1"/>
      <w:numFmt w:val="decimal"/>
      <w:pStyle w:val="Heading3"/>
      <w:suff w:val="space"/>
      <w:lvlText w:val="%1.%2.%3"/>
      <w:lvlJc w:val="left"/>
      <w:pPr>
        <w:tabs>
          <w:tab w:val="left" w:pos="420"/>
        </w:tabs>
        <w:ind w:left="720" w:hanging="720"/>
      </w:pPr>
      <w:rPr>
        <w:rFonts w:ascii="宋体" w:eastAsia="宋体" w:hAnsi="宋体" w:cs="宋体"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66EF"/>
    <w:rsid w:val="0000780C"/>
    <w:rsid w:val="00023494"/>
    <w:rsid w:val="000255E8"/>
    <w:rsid w:val="000428D8"/>
    <w:rsid w:val="00043E7A"/>
    <w:rsid w:val="000511F3"/>
    <w:rsid w:val="00056AE2"/>
    <w:rsid w:val="00056E92"/>
    <w:rsid w:val="00067984"/>
    <w:rsid w:val="000821FA"/>
    <w:rsid w:val="000835DB"/>
    <w:rsid w:val="000866EF"/>
    <w:rsid w:val="00092D50"/>
    <w:rsid w:val="0009742F"/>
    <w:rsid w:val="000A4426"/>
    <w:rsid w:val="000A6A68"/>
    <w:rsid w:val="000B3BAD"/>
    <w:rsid w:val="000B446D"/>
    <w:rsid w:val="000B77BC"/>
    <w:rsid w:val="000C24E9"/>
    <w:rsid w:val="000C34E5"/>
    <w:rsid w:val="000C7822"/>
    <w:rsid w:val="000D1CD8"/>
    <w:rsid w:val="000D3621"/>
    <w:rsid w:val="000D46EF"/>
    <w:rsid w:val="000D595B"/>
    <w:rsid w:val="000D67D6"/>
    <w:rsid w:val="000E3C81"/>
    <w:rsid w:val="000E4D34"/>
    <w:rsid w:val="000E66E7"/>
    <w:rsid w:val="000E7BFB"/>
    <w:rsid w:val="000F0FE8"/>
    <w:rsid w:val="000F4529"/>
    <w:rsid w:val="00120BBE"/>
    <w:rsid w:val="0012132D"/>
    <w:rsid w:val="00135D5F"/>
    <w:rsid w:val="00140A1B"/>
    <w:rsid w:val="0014553C"/>
    <w:rsid w:val="00170FD4"/>
    <w:rsid w:val="0017312C"/>
    <w:rsid w:val="00174190"/>
    <w:rsid w:val="00176E0D"/>
    <w:rsid w:val="00192203"/>
    <w:rsid w:val="00196961"/>
    <w:rsid w:val="001A66AB"/>
    <w:rsid w:val="001C1ABA"/>
    <w:rsid w:val="001C3611"/>
    <w:rsid w:val="001C623D"/>
    <w:rsid w:val="001F439E"/>
    <w:rsid w:val="001F7785"/>
    <w:rsid w:val="00210A7D"/>
    <w:rsid w:val="00223D34"/>
    <w:rsid w:val="00227CB1"/>
    <w:rsid w:val="00232503"/>
    <w:rsid w:val="00232CC8"/>
    <w:rsid w:val="0023680B"/>
    <w:rsid w:val="00243BFE"/>
    <w:rsid w:val="00253529"/>
    <w:rsid w:val="002541AF"/>
    <w:rsid w:val="002547C5"/>
    <w:rsid w:val="002708D3"/>
    <w:rsid w:val="00281294"/>
    <w:rsid w:val="002863A7"/>
    <w:rsid w:val="00286A1A"/>
    <w:rsid w:val="00292721"/>
    <w:rsid w:val="002A0781"/>
    <w:rsid w:val="002A2730"/>
    <w:rsid w:val="002A2FB8"/>
    <w:rsid w:val="002B1904"/>
    <w:rsid w:val="002B3829"/>
    <w:rsid w:val="002B40CB"/>
    <w:rsid w:val="002B5137"/>
    <w:rsid w:val="002B6214"/>
    <w:rsid w:val="002D68A0"/>
    <w:rsid w:val="002E153A"/>
    <w:rsid w:val="002E4AE0"/>
    <w:rsid w:val="002F27BC"/>
    <w:rsid w:val="003036FD"/>
    <w:rsid w:val="003348B8"/>
    <w:rsid w:val="003356DA"/>
    <w:rsid w:val="00335EC5"/>
    <w:rsid w:val="00345A09"/>
    <w:rsid w:val="003541EF"/>
    <w:rsid w:val="00360667"/>
    <w:rsid w:val="00365C00"/>
    <w:rsid w:val="00383E97"/>
    <w:rsid w:val="00385EE5"/>
    <w:rsid w:val="0039382C"/>
    <w:rsid w:val="00395F1C"/>
    <w:rsid w:val="003A6873"/>
    <w:rsid w:val="003D4803"/>
    <w:rsid w:val="003E51AE"/>
    <w:rsid w:val="003F3377"/>
    <w:rsid w:val="003F74D3"/>
    <w:rsid w:val="00416147"/>
    <w:rsid w:val="00426173"/>
    <w:rsid w:val="00436FC7"/>
    <w:rsid w:val="00440000"/>
    <w:rsid w:val="00441CA7"/>
    <w:rsid w:val="00441CEB"/>
    <w:rsid w:val="0044719B"/>
    <w:rsid w:val="0045487F"/>
    <w:rsid w:val="00457AEC"/>
    <w:rsid w:val="00464CE7"/>
    <w:rsid w:val="00466ED6"/>
    <w:rsid w:val="00471594"/>
    <w:rsid w:val="00486F7B"/>
    <w:rsid w:val="004939C9"/>
    <w:rsid w:val="00496332"/>
    <w:rsid w:val="004A2FDA"/>
    <w:rsid w:val="004C0C89"/>
    <w:rsid w:val="004D0A80"/>
    <w:rsid w:val="004D1F06"/>
    <w:rsid w:val="004E0590"/>
    <w:rsid w:val="00510B14"/>
    <w:rsid w:val="00524505"/>
    <w:rsid w:val="00525237"/>
    <w:rsid w:val="00533B12"/>
    <w:rsid w:val="00545645"/>
    <w:rsid w:val="00547498"/>
    <w:rsid w:val="00550C3C"/>
    <w:rsid w:val="005522D0"/>
    <w:rsid w:val="00553E8D"/>
    <w:rsid w:val="00574571"/>
    <w:rsid w:val="00581E6E"/>
    <w:rsid w:val="005869F6"/>
    <w:rsid w:val="00587C08"/>
    <w:rsid w:val="00587F3D"/>
    <w:rsid w:val="00590627"/>
    <w:rsid w:val="005913D2"/>
    <w:rsid w:val="00593D6C"/>
    <w:rsid w:val="005A5149"/>
    <w:rsid w:val="005D7A38"/>
    <w:rsid w:val="005E1808"/>
    <w:rsid w:val="005E3D04"/>
    <w:rsid w:val="005F7681"/>
    <w:rsid w:val="0060542A"/>
    <w:rsid w:val="00611082"/>
    <w:rsid w:val="00621C9F"/>
    <w:rsid w:val="00625E37"/>
    <w:rsid w:val="006272DF"/>
    <w:rsid w:val="00635DE5"/>
    <w:rsid w:val="00636A2E"/>
    <w:rsid w:val="00643667"/>
    <w:rsid w:val="006470EF"/>
    <w:rsid w:val="0066329A"/>
    <w:rsid w:val="0066789C"/>
    <w:rsid w:val="00672C59"/>
    <w:rsid w:val="00675F5E"/>
    <w:rsid w:val="006809BD"/>
    <w:rsid w:val="00680F59"/>
    <w:rsid w:val="00681A21"/>
    <w:rsid w:val="00681AC5"/>
    <w:rsid w:val="00681D5D"/>
    <w:rsid w:val="00684C98"/>
    <w:rsid w:val="0069211B"/>
    <w:rsid w:val="006A3638"/>
    <w:rsid w:val="006B3410"/>
    <w:rsid w:val="006B431F"/>
    <w:rsid w:val="006C27F4"/>
    <w:rsid w:val="006C5404"/>
    <w:rsid w:val="006D3E59"/>
    <w:rsid w:val="006D500F"/>
    <w:rsid w:val="006D766B"/>
    <w:rsid w:val="006F02E8"/>
    <w:rsid w:val="0070141B"/>
    <w:rsid w:val="0070187E"/>
    <w:rsid w:val="00702F6D"/>
    <w:rsid w:val="00706E1D"/>
    <w:rsid w:val="00706F2C"/>
    <w:rsid w:val="0072491F"/>
    <w:rsid w:val="00727D3F"/>
    <w:rsid w:val="007411DA"/>
    <w:rsid w:val="00746752"/>
    <w:rsid w:val="007504B2"/>
    <w:rsid w:val="007553EE"/>
    <w:rsid w:val="00762A76"/>
    <w:rsid w:val="00764296"/>
    <w:rsid w:val="00786B85"/>
    <w:rsid w:val="0079081A"/>
    <w:rsid w:val="0079304D"/>
    <w:rsid w:val="00795BBB"/>
    <w:rsid w:val="007A34AD"/>
    <w:rsid w:val="007B2EFD"/>
    <w:rsid w:val="007B5163"/>
    <w:rsid w:val="007C2AF5"/>
    <w:rsid w:val="007D5C26"/>
    <w:rsid w:val="007E16F1"/>
    <w:rsid w:val="007E2381"/>
    <w:rsid w:val="007E7C02"/>
    <w:rsid w:val="007F6D11"/>
    <w:rsid w:val="007F7BA4"/>
    <w:rsid w:val="00801010"/>
    <w:rsid w:val="008014C3"/>
    <w:rsid w:val="00803145"/>
    <w:rsid w:val="00805A3A"/>
    <w:rsid w:val="00805CA4"/>
    <w:rsid w:val="00807C16"/>
    <w:rsid w:val="00812B0E"/>
    <w:rsid w:val="0081400F"/>
    <w:rsid w:val="0083495C"/>
    <w:rsid w:val="008368BF"/>
    <w:rsid w:val="00840944"/>
    <w:rsid w:val="0085560F"/>
    <w:rsid w:val="00862AA7"/>
    <w:rsid w:val="00874DF7"/>
    <w:rsid w:val="00880B6B"/>
    <w:rsid w:val="00891C00"/>
    <w:rsid w:val="008B0837"/>
    <w:rsid w:val="008B59A7"/>
    <w:rsid w:val="008C037B"/>
    <w:rsid w:val="008C3A05"/>
    <w:rsid w:val="008C6CE5"/>
    <w:rsid w:val="008C7DEE"/>
    <w:rsid w:val="008D7FCE"/>
    <w:rsid w:val="008E3446"/>
    <w:rsid w:val="008F3860"/>
    <w:rsid w:val="008F6D3E"/>
    <w:rsid w:val="009002AE"/>
    <w:rsid w:val="00903C7A"/>
    <w:rsid w:val="00920E0C"/>
    <w:rsid w:val="00922474"/>
    <w:rsid w:val="00923823"/>
    <w:rsid w:val="009375C0"/>
    <w:rsid w:val="0094467C"/>
    <w:rsid w:val="00944EEE"/>
    <w:rsid w:val="009479D4"/>
    <w:rsid w:val="00950D2C"/>
    <w:rsid w:val="00961EDF"/>
    <w:rsid w:val="009623AD"/>
    <w:rsid w:val="00965E1C"/>
    <w:rsid w:val="00983E16"/>
    <w:rsid w:val="00986DA5"/>
    <w:rsid w:val="00987191"/>
    <w:rsid w:val="00995721"/>
    <w:rsid w:val="009B56DC"/>
    <w:rsid w:val="009C31A8"/>
    <w:rsid w:val="009C4D0F"/>
    <w:rsid w:val="009C7DCC"/>
    <w:rsid w:val="009E2E95"/>
    <w:rsid w:val="009E71E5"/>
    <w:rsid w:val="009F25BE"/>
    <w:rsid w:val="009F3869"/>
    <w:rsid w:val="009F3A1F"/>
    <w:rsid w:val="009F526E"/>
    <w:rsid w:val="009F690D"/>
    <w:rsid w:val="00A23707"/>
    <w:rsid w:val="00A27B45"/>
    <w:rsid w:val="00A3014D"/>
    <w:rsid w:val="00A3106D"/>
    <w:rsid w:val="00A31145"/>
    <w:rsid w:val="00A50E9F"/>
    <w:rsid w:val="00A64708"/>
    <w:rsid w:val="00A65012"/>
    <w:rsid w:val="00A7720E"/>
    <w:rsid w:val="00A80588"/>
    <w:rsid w:val="00A83CF7"/>
    <w:rsid w:val="00A90206"/>
    <w:rsid w:val="00A94651"/>
    <w:rsid w:val="00A94AEC"/>
    <w:rsid w:val="00A979E0"/>
    <w:rsid w:val="00A97BBF"/>
    <w:rsid w:val="00AA6A67"/>
    <w:rsid w:val="00AB3F9B"/>
    <w:rsid w:val="00AB4ECB"/>
    <w:rsid w:val="00AC4897"/>
    <w:rsid w:val="00AC6CBE"/>
    <w:rsid w:val="00AD2586"/>
    <w:rsid w:val="00AD4894"/>
    <w:rsid w:val="00AD74B9"/>
    <w:rsid w:val="00AD76C5"/>
    <w:rsid w:val="00AE5F13"/>
    <w:rsid w:val="00AF2AE9"/>
    <w:rsid w:val="00B00E42"/>
    <w:rsid w:val="00B02ECF"/>
    <w:rsid w:val="00B07510"/>
    <w:rsid w:val="00B079C4"/>
    <w:rsid w:val="00B17E1F"/>
    <w:rsid w:val="00B20CB2"/>
    <w:rsid w:val="00B266DC"/>
    <w:rsid w:val="00B26B2F"/>
    <w:rsid w:val="00B27E85"/>
    <w:rsid w:val="00B529DE"/>
    <w:rsid w:val="00B61EB2"/>
    <w:rsid w:val="00B62A99"/>
    <w:rsid w:val="00B83A75"/>
    <w:rsid w:val="00B977C5"/>
    <w:rsid w:val="00B97AC3"/>
    <w:rsid w:val="00BA4982"/>
    <w:rsid w:val="00BB6C75"/>
    <w:rsid w:val="00BC74E9"/>
    <w:rsid w:val="00BD5B64"/>
    <w:rsid w:val="00BE3C65"/>
    <w:rsid w:val="00BF095F"/>
    <w:rsid w:val="00BF3E5E"/>
    <w:rsid w:val="00C105CD"/>
    <w:rsid w:val="00C11686"/>
    <w:rsid w:val="00C14B99"/>
    <w:rsid w:val="00C14C13"/>
    <w:rsid w:val="00C24BFB"/>
    <w:rsid w:val="00C24E39"/>
    <w:rsid w:val="00C26130"/>
    <w:rsid w:val="00C3068C"/>
    <w:rsid w:val="00C309AB"/>
    <w:rsid w:val="00C33D47"/>
    <w:rsid w:val="00C3740D"/>
    <w:rsid w:val="00C457AC"/>
    <w:rsid w:val="00C55108"/>
    <w:rsid w:val="00C649D3"/>
    <w:rsid w:val="00C72A86"/>
    <w:rsid w:val="00C740D0"/>
    <w:rsid w:val="00C75A36"/>
    <w:rsid w:val="00C82A30"/>
    <w:rsid w:val="00C8402B"/>
    <w:rsid w:val="00C86A0D"/>
    <w:rsid w:val="00C9411C"/>
    <w:rsid w:val="00CB6AD6"/>
    <w:rsid w:val="00CC4E69"/>
    <w:rsid w:val="00CC6BA4"/>
    <w:rsid w:val="00CD380B"/>
    <w:rsid w:val="00CD68ED"/>
    <w:rsid w:val="00CE0130"/>
    <w:rsid w:val="00CE2B37"/>
    <w:rsid w:val="00CE3E4E"/>
    <w:rsid w:val="00CE6DF4"/>
    <w:rsid w:val="00CE743B"/>
    <w:rsid w:val="00CE7953"/>
    <w:rsid w:val="00CE7AE0"/>
    <w:rsid w:val="00D05150"/>
    <w:rsid w:val="00D21EEA"/>
    <w:rsid w:val="00D26B13"/>
    <w:rsid w:val="00D329AE"/>
    <w:rsid w:val="00D33949"/>
    <w:rsid w:val="00D36D35"/>
    <w:rsid w:val="00D4199E"/>
    <w:rsid w:val="00D633B7"/>
    <w:rsid w:val="00D64AAC"/>
    <w:rsid w:val="00D71734"/>
    <w:rsid w:val="00D736E1"/>
    <w:rsid w:val="00D74220"/>
    <w:rsid w:val="00D842B9"/>
    <w:rsid w:val="00D86DAB"/>
    <w:rsid w:val="00D93219"/>
    <w:rsid w:val="00D95AAE"/>
    <w:rsid w:val="00DA2B16"/>
    <w:rsid w:val="00DA7164"/>
    <w:rsid w:val="00DC2B03"/>
    <w:rsid w:val="00DC433F"/>
    <w:rsid w:val="00DC57E7"/>
    <w:rsid w:val="00DC5ED9"/>
    <w:rsid w:val="00DD0E07"/>
    <w:rsid w:val="00DD2B09"/>
    <w:rsid w:val="00DD2DAE"/>
    <w:rsid w:val="00DD5EA3"/>
    <w:rsid w:val="00DE3905"/>
    <w:rsid w:val="00DE6806"/>
    <w:rsid w:val="00DE6BBF"/>
    <w:rsid w:val="00DE7D17"/>
    <w:rsid w:val="00DF1AE6"/>
    <w:rsid w:val="00DF1E7B"/>
    <w:rsid w:val="00DF62B0"/>
    <w:rsid w:val="00DF786F"/>
    <w:rsid w:val="00E02DB6"/>
    <w:rsid w:val="00E03181"/>
    <w:rsid w:val="00E11376"/>
    <w:rsid w:val="00E14039"/>
    <w:rsid w:val="00E20AEF"/>
    <w:rsid w:val="00E2322B"/>
    <w:rsid w:val="00E32263"/>
    <w:rsid w:val="00E325E8"/>
    <w:rsid w:val="00E37646"/>
    <w:rsid w:val="00E6382F"/>
    <w:rsid w:val="00E71B16"/>
    <w:rsid w:val="00E86E1D"/>
    <w:rsid w:val="00E90E05"/>
    <w:rsid w:val="00E94850"/>
    <w:rsid w:val="00EB4D08"/>
    <w:rsid w:val="00EB6E03"/>
    <w:rsid w:val="00EC6ABD"/>
    <w:rsid w:val="00ED263F"/>
    <w:rsid w:val="00ED657D"/>
    <w:rsid w:val="00ED7831"/>
    <w:rsid w:val="00EE260E"/>
    <w:rsid w:val="00EE3682"/>
    <w:rsid w:val="00EE4221"/>
    <w:rsid w:val="00F04782"/>
    <w:rsid w:val="00F04CB2"/>
    <w:rsid w:val="00F12659"/>
    <w:rsid w:val="00F15E32"/>
    <w:rsid w:val="00F25999"/>
    <w:rsid w:val="00F27444"/>
    <w:rsid w:val="00F30D3F"/>
    <w:rsid w:val="00F30FE9"/>
    <w:rsid w:val="00F348BD"/>
    <w:rsid w:val="00F365DA"/>
    <w:rsid w:val="00F37DC1"/>
    <w:rsid w:val="00F519D1"/>
    <w:rsid w:val="00F527C5"/>
    <w:rsid w:val="00F73B13"/>
    <w:rsid w:val="00F81B51"/>
    <w:rsid w:val="00F872B7"/>
    <w:rsid w:val="00FA3C98"/>
    <w:rsid w:val="00FB314F"/>
    <w:rsid w:val="00FB3655"/>
    <w:rsid w:val="00FC068C"/>
    <w:rsid w:val="00FC152B"/>
    <w:rsid w:val="00FD034D"/>
    <w:rsid w:val="00FD1A50"/>
    <w:rsid w:val="00FD2CDA"/>
    <w:rsid w:val="00FF0972"/>
    <w:rsid w:val="05571DF1"/>
    <w:rsid w:val="0A915AEC"/>
    <w:rsid w:val="118963C6"/>
    <w:rsid w:val="1F2E1635"/>
    <w:rsid w:val="20056BDE"/>
    <w:rsid w:val="224E75F7"/>
    <w:rsid w:val="298E2177"/>
    <w:rsid w:val="2C9068DB"/>
    <w:rsid w:val="2D7F2509"/>
    <w:rsid w:val="2E9F3FE0"/>
    <w:rsid w:val="2EC77423"/>
    <w:rsid w:val="30265E83"/>
    <w:rsid w:val="32C95C97"/>
    <w:rsid w:val="33414D7A"/>
    <w:rsid w:val="36E8428F"/>
    <w:rsid w:val="448D3CAF"/>
    <w:rsid w:val="4A684281"/>
    <w:rsid w:val="4AB81106"/>
    <w:rsid w:val="4CAC545F"/>
    <w:rsid w:val="50C92DE9"/>
    <w:rsid w:val="57F63CE9"/>
    <w:rsid w:val="581321E5"/>
    <w:rsid w:val="5A90578E"/>
    <w:rsid w:val="712D2788"/>
    <w:rsid w:val="743208B1"/>
    <w:rsid w:val="757222AC"/>
    <w:rsid w:val="76BA51AF"/>
    <w:rsid w:val="792425B9"/>
  </w:rsids>
  <w:docVars>
    <w:docVar w:name="commondata" w:val="eyJoZGlkIjoiYjRkZjFiM2MwZWMxMDU1Y2FlN2E2NDdiMGYyNzQ0YWY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qFormat="1"/>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1"/>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Lines/>
      <w:pageBreakBefore w:val="0"/>
      <w:numPr>
        <w:ilvl w:val="0"/>
        <w:numId w:val="1"/>
      </w:numPr>
      <w:spacing w:before="200" w:beforeLines="200" w:line="360" w:lineRule="auto"/>
      <w:ind w:left="431" w:hanging="431"/>
      <w:jc w:val="left"/>
      <w:outlineLvl w:val="0"/>
    </w:pPr>
    <w:rPr>
      <w:rFonts w:ascii="Times New Roman" w:eastAsia="黑体" w:hAnsi="Times New Roman"/>
      <w:bCs/>
      <w:kern w:val="44"/>
      <w:sz w:val="28"/>
      <w:szCs w:val="44"/>
    </w:rPr>
  </w:style>
  <w:style w:type="paragraph" w:styleId="Heading2">
    <w:name w:val="heading 2"/>
    <w:basedOn w:val="Normal"/>
    <w:next w:val="Normal"/>
    <w:link w:val="2Char"/>
    <w:qFormat/>
    <w:pPr>
      <w:keepNext/>
      <w:keepLines/>
      <w:numPr>
        <w:ilvl w:val="1"/>
        <w:numId w:val="1"/>
      </w:numPr>
      <w:snapToGrid w:val="0"/>
      <w:spacing w:before="50" w:beforeLines="50" w:line="360" w:lineRule="auto"/>
      <w:ind w:left="575" w:hanging="575"/>
      <w:outlineLvl w:val="1"/>
    </w:pPr>
    <w:rPr>
      <w:rFonts w:ascii="Arial" w:eastAsia="黑体" w:hAnsi="Arial"/>
      <w:bCs/>
      <w:color w:val="000000"/>
      <w:sz w:val="24"/>
      <w:szCs w:val="28"/>
    </w:rPr>
  </w:style>
  <w:style w:type="paragraph" w:styleId="Heading3">
    <w:name w:val="heading 3"/>
    <w:basedOn w:val="Normal"/>
    <w:next w:val="Normal"/>
    <w:link w:val="3Char"/>
    <w:qFormat/>
    <w:pPr>
      <w:keepNext/>
      <w:keepLines/>
      <w:numPr>
        <w:ilvl w:val="2"/>
        <w:numId w:val="1"/>
      </w:numPr>
      <w:snapToGrid w:val="0"/>
      <w:spacing w:before="50" w:beforeLines="50" w:line="360" w:lineRule="auto"/>
      <w:ind w:left="720" w:hanging="720"/>
      <w:outlineLvl w:val="2"/>
    </w:pPr>
    <w:rPr>
      <w:rFonts w:ascii="黑体" w:eastAsia="黑体" w:hAnsi="黑体"/>
      <w:sz w:val="24"/>
    </w:rPr>
  </w:style>
  <w:style w:type="paragraph" w:styleId="Heading4">
    <w:name w:val="heading 4"/>
    <w:basedOn w:val="Normal"/>
    <w:next w:val="Normal"/>
    <w:link w:val="4Char"/>
    <w:qFormat/>
    <w:pPr>
      <w:keepNext/>
      <w:keepLines/>
      <w:numPr>
        <w:ilvl w:val="3"/>
        <w:numId w:val="1"/>
      </w:numPr>
      <w:spacing w:before="280" w:after="290" w:line="376" w:lineRule="auto"/>
      <w:ind w:left="864" w:hanging="864"/>
      <w:outlineLvl w:val="3"/>
    </w:pPr>
    <w:rPr>
      <w:rFonts w:ascii="Cambria" w:hAnsi="Cambria"/>
      <w:b/>
      <w:bCs/>
      <w:sz w:val="28"/>
      <w:szCs w:val="28"/>
    </w:rPr>
  </w:style>
  <w:style w:type="paragraph" w:styleId="Heading5">
    <w:name w:val="heading 5"/>
    <w:basedOn w:val="Normal"/>
    <w:next w:val="Normal"/>
    <w:unhideWhenUsed/>
    <w:qFormat/>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Heading6">
    <w:name w:val="heading 6"/>
    <w:basedOn w:val="Normal"/>
    <w:next w:val="Normal"/>
    <w:unhideWhenUsed/>
    <w:qFormat/>
    <w:pPr>
      <w:keepNext/>
      <w:keepLines/>
      <w:numPr>
        <w:ilvl w:val="5"/>
        <w:numId w:val="1"/>
      </w:numPr>
      <w:spacing w:before="240" w:beforeLines="0" w:beforeAutospacing="0" w:after="64" w:afterLines="0" w:afterAutospacing="0" w:line="317" w:lineRule="auto"/>
      <w:ind w:left="1151" w:hanging="1151"/>
      <w:outlineLvl w:val="5"/>
    </w:pPr>
    <w:rPr>
      <w:rFonts w:ascii="Arial" w:eastAsia="黑体" w:hAnsi="Arial"/>
      <w:b/>
      <w:sz w:val="24"/>
    </w:rPr>
  </w:style>
  <w:style w:type="paragraph" w:styleId="Heading7">
    <w:name w:val="heading 7"/>
    <w:basedOn w:val="Normal"/>
    <w:next w:val="Normal"/>
    <w:unhideWhenUsed/>
    <w:qFormat/>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Heading8">
    <w:name w:val="heading 8"/>
    <w:basedOn w:val="Normal"/>
    <w:next w:val="Normal"/>
    <w:unhideWhenUsed/>
    <w:qFormat/>
    <w:pPr>
      <w:keepNext/>
      <w:keepLines/>
      <w:numPr>
        <w:ilvl w:val="7"/>
        <w:numId w:val="1"/>
      </w:numPr>
      <w:spacing w:before="240" w:beforeLines="0" w:beforeAutospacing="0" w:after="64" w:afterLines="0" w:afterAutospacing="0" w:line="317" w:lineRule="auto"/>
      <w:ind w:left="1440" w:hanging="1440"/>
      <w:outlineLvl w:val="7"/>
    </w:pPr>
    <w:rPr>
      <w:rFonts w:ascii="Arial" w:eastAsia="黑体" w:hAnsi="Arial"/>
      <w:sz w:val="24"/>
    </w:rPr>
  </w:style>
  <w:style w:type="paragraph" w:styleId="Heading9">
    <w:name w:val="heading 9"/>
    <w:basedOn w:val="Normal"/>
    <w:next w:val="Normal"/>
    <w:unhideWhenUsed/>
    <w:qFormat/>
    <w:pPr>
      <w:keepNext/>
      <w:keepLines/>
      <w:numPr>
        <w:ilvl w:val="8"/>
        <w:numId w:val="1"/>
      </w:numPr>
      <w:spacing w:before="240" w:beforeLines="0" w:beforeAutospacing="0" w:after="64" w:afterLines="0" w:afterAutospacing="0" w:line="317" w:lineRule="auto"/>
      <w:ind w:left="1583" w:hanging="1583"/>
      <w:outlineLvl w:val="8"/>
    </w:pPr>
    <w:rPr>
      <w:rFonts w:ascii="Arial" w:eastAsia="黑体" w:hAnsi="Arial"/>
      <w:sz w:val="21"/>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rPr>
      <w:sz w:val="28"/>
    </w:rPr>
  </w:style>
  <w:style w:type="paragraph" w:styleId="BodyTextIndent">
    <w:name w:val="Body Text Indent"/>
    <w:basedOn w:val="Normal"/>
    <w:qFormat/>
    <w:pPr>
      <w:ind w:firstLine="630"/>
    </w:pPr>
    <w:rPr>
      <w:rFonts w:ascii="仿宋_GB2312" w:eastAsia="仿宋_GB2312"/>
      <w:sz w:val="32"/>
      <w:szCs w:val="20"/>
    </w:rPr>
  </w:style>
  <w:style w:type="paragraph" w:styleId="TOC3">
    <w:name w:val="toc 3"/>
    <w:basedOn w:val="Normal"/>
    <w:next w:val="Normal"/>
    <w:uiPriority w:val="39"/>
    <w:qFormat/>
    <w:pPr>
      <w:ind w:left="420"/>
      <w:jc w:val="left"/>
    </w:pPr>
    <w:rPr>
      <w:rFonts w:ascii="Calibri" w:hAnsi="Calibri" w:cs="Calibri"/>
      <w:i/>
      <w:iCs/>
      <w:sz w:val="20"/>
      <w:szCs w:val="20"/>
    </w:rPr>
  </w:style>
  <w:style w:type="paragraph" w:styleId="Date">
    <w:name w:val="Date"/>
    <w:basedOn w:val="Normal"/>
    <w:next w:val="Normal"/>
    <w:link w:val="Char"/>
    <w:pPr>
      <w:ind w:left="100" w:leftChars="2500"/>
    </w:pPr>
  </w:style>
  <w:style w:type="paragraph" w:styleId="BodyTextIndent2">
    <w:name w:val="Body Text Indent 2"/>
    <w:basedOn w:val="Normal"/>
    <w:qFormat/>
    <w:pPr>
      <w:ind w:firstLine="480"/>
    </w:pPr>
    <w:rPr>
      <w:rFonts w:ascii="宋体" w:hAnsi="宋体"/>
      <w:sz w:val="24"/>
    </w:rPr>
  </w:style>
  <w:style w:type="paragraph" w:styleId="Footer">
    <w:name w:val="footer"/>
    <w:basedOn w:val="Normal"/>
    <w:link w:val="Char0"/>
    <w:uiPriority w:val="99"/>
    <w:pPr>
      <w:tabs>
        <w:tab w:val="center" w:pos="4153"/>
        <w:tab w:val="right" w:pos="8306"/>
      </w:tabs>
      <w:snapToGrid w:val="0"/>
      <w:jc w:val="left"/>
    </w:pPr>
    <w:rPr>
      <w:sz w:val="18"/>
      <w:szCs w:val="18"/>
    </w:rPr>
  </w:style>
  <w:style w:type="paragraph" w:styleId="Header">
    <w:name w:val="header"/>
    <w:basedOn w:val="Normal"/>
    <w:link w:val="Char1"/>
    <w:uiPriority w:val="99"/>
    <w:qFormat/>
    <w:pPr>
      <w:pBdr>
        <w:bottom w:val="single" w:sz="6" w:space="22" w:color="auto"/>
      </w:pBdr>
      <w:tabs>
        <w:tab w:val="center" w:pos="4153"/>
        <w:tab w:val="right" w:pos="8306"/>
      </w:tabs>
      <w:snapToGrid w:val="0"/>
      <w:jc w:val="center"/>
    </w:pPr>
    <w:rPr>
      <w:sz w:val="18"/>
      <w:szCs w:val="21"/>
    </w:rPr>
  </w:style>
  <w:style w:type="paragraph" w:styleId="TOC1">
    <w:name w:val="toc 1"/>
    <w:basedOn w:val="Normal"/>
    <w:next w:val="Normal"/>
    <w:uiPriority w:val="39"/>
    <w:qFormat/>
    <w:pPr>
      <w:spacing w:before="120" w:after="120" w:line="360" w:lineRule="auto"/>
      <w:jc w:val="left"/>
    </w:pPr>
    <w:rPr>
      <w:rFonts w:ascii="Calibri" w:eastAsia="宋体" w:hAnsi="Calibri" w:cs="Calibri"/>
      <w:bCs/>
      <w:caps/>
      <w:sz w:val="24"/>
      <w:szCs w:val="20"/>
    </w:rPr>
  </w:style>
  <w:style w:type="paragraph" w:styleId="TOC2">
    <w:name w:val="toc 2"/>
    <w:basedOn w:val="Normal"/>
    <w:next w:val="Normal"/>
    <w:uiPriority w:val="39"/>
    <w:qFormat/>
    <w:pPr>
      <w:ind w:left="210"/>
      <w:jc w:val="left"/>
    </w:pPr>
    <w:rPr>
      <w:rFonts w:ascii="Calibri" w:hAnsi="Calibri" w:cs="Calibri"/>
      <w:smallCaps/>
      <w:sz w:val="20"/>
      <w:szCs w:val="20"/>
    </w:rPr>
  </w:style>
  <w:style w:type="paragraph" w:styleId="BodyText2">
    <w:name w:val="Body Text 2"/>
    <w:basedOn w:val="Normal"/>
    <w:qFormat/>
    <w:pPr>
      <w:jc w:val="center"/>
    </w:pPr>
    <w:rPr>
      <w:sz w:val="24"/>
    </w:rPr>
  </w:style>
  <w:style w:type="paragraph" w:styleId="Title">
    <w:name w:val="Title"/>
    <w:basedOn w:val="Normal"/>
    <w:next w:val="Normal"/>
    <w:link w:val="Char2"/>
    <w:qFormat/>
    <w:pPr>
      <w:spacing w:before="240" w:after="60"/>
      <w:jc w:val="center"/>
      <w:outlineLvl w:val="0"/>
    </w:pPr>
    <w:rPr>
      <w:rFonts w:ascii="Calibri Light" w:hAnsi="Calibri Light"/>
      <w:b/>
      <w:bCs/>
      <w:sz w:val="32"/>
      <w:szCs w:val="32"/>
    </w:rPr>
  </w:style>
  <w:style w:type="paragraph" w:styleId="BodyTextFirstIndent2">
    <w:name w:val="Body Text First Indent 2"/>
    <w:basedOn w:val="BodyTextIndent"/>
    <w:qFormat/>
    <w:pPr>
      <w:tabs>
        <w:tab w:val="left" w:pos="0"/>
      </w:tabs>
      <w:ind w:left="0" w:firstLine="420" w:leftChars="0" w:firstLineChars="200"/>
    </w:pPr>
    <w:rPr>
      <w:rFonts w:ascii="Times New Roman" w:eastAsia="宋体" w:hAnsi="Times New Roman" w:cs="Times New Roman"/>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qFormat/>
  </w:style>
  <w:style w:type="character" w:styleId="Hyperlink">
    <w:name w:val="Hyperlink"/>
    <w:qFormat/>
    <w:rPr>
      <w:color w:val="0000FF"/>
      <w:u w:val="single"/>
    </w:rPr>
  </w:style>
  <w:style w:type="character" w:customStyle="1" w:styleId="1Char">
    <w:name w:val="标题 1 Char"/>
    <w:link w:val="Heading1"/>
    <w:qFormat/>
    <w:rPr>
      <w:rFonts w:ascii="Times New Roman" w:eastAsia="黑体" w:hAnsi="Times New Roman"/>
      <w:bCs/>
      <w:kern w:val="44"/>
      <w:sz w:val="28"/>
      <w:szCs w:val="44"/>
    </w:rPr>
  </w:style>
  <w:style w:type="character" w:customStyle="1" w:styleId="2Char">
    <w:name w:val="标题 2 Char"/>
    <w:link w:val="Heading2"/>
    <w:qFormat/>
    <w:rPr>
      <w:rFonts w:ascii="Arial" w:eastAsia="黑体" w:hAnsi="Arial"/>
      <w:bCs/>
      <w:color w:val="000000"/>
      <w:kern w:val="2"/>
      <w:sz w:val="24"/>
      <w:szCs w:val="28"/>
    </w:rPr>
  </w:style>
  <w:style w:type="character" w:customStyle="1" w:styleId="3Char">
    <w:name w:val="标题 3 Char"/>
    <w:link w:val="Heading3"/>
    <w:qFormat/>
    <w:rPr>
      <w:rFonts w:ascii="黑体" w:eastAsia="黑体" w:hAnsi="黑体"/>
      <w:kern w:val="2"/>
      <w:sz w:val="24"/>
      <w:szCs w:val="24"/>
    </w:rPr>
  </w:style>
  <w:style w:type="character" w:customStyle="1" w:styleId="4Char">
    <w:name w:val="标题 4 Char"/>
    <w:link w:val="Heading4"/>
    <w:qFormat/>
    <w:rPr>
      <w:rFonts w:ascii="Cambria" w:hAnsi="Cambria"/>
      <w:b/>
      <w:bCs/>
      <w:kern w:val="2"/>
      <w:sz w:val="28"/>
      <w:szCs w:val="28"/>
    </w:rPr>
  </w:style>
  <w:style w:type="character" w:customStyle="1" w:styleId="Char">
    <w:name w:val="日期 Char"/>
    <w:link w:val="Date"/>
    <w:qFormat/>
    <w:rPr>
      <w:kern w:val="2"/>
      <w:sz w:val="21"/>
      <w:szCs w:val="24"/>
    </w:rPr>
  </w:style>
  <w:style w:type="character" w:customStyle="1" w:styleId="Char0">
    <w:name w:val="页脚 Char"/>
    <w:link w:val="Footer"/>
    <w:uiPriority w:val="99"/>
    <w:qFormat/>
    <w:rPr>
      <w:kern w:val="2"/>
      <w:sz w:val="18"/>
      <w:szCs w:val="18"/>
    </w:rPr>
  </w:style>
  <w:style w:type="character" w:customStyle="1" w:styleId="Char1">
    <w:name w:val="页眉 Char"/>
    <w:basedOn w:val="DefaultParagraphFont"/>
    <w:link w:val="Header"/>
    <w:uiPriority w:val="99"/>
    <w:qFormat/>
    <w:rPr>
      <w:kern w:val="2"/>
      <w:sz w:val="18"/>
      <w:szCs w:val="21"/>
    </w:rPr>
  </w:style>
  <w:style w:type="character" w:customStyle="1" w:styleId="Char2">
    <w:name w:val="标题 Char"/>
    <w:link w:val="Title"/>
    <w:qFormat/>
    <w:rPr>
      <w:rFonts w:ascii="Calibri Light" w:hAnsi="Calibri Light"/>
      <w:b/>
      <w:bCs/>
      <w:kern w:val="2"/>
      <w:sz w:val="32"/>
      <w:szCs w:val="32"/>
    </w:rPr>
  </w:style>
  <w:style w:type="character" w:customStyle="1" w:styleId="black141">
    <w:name w:val="black141"/>
    <w:rPr>
      <w:color w:val="003333"/>
      <w:sz w:val="21"/>
      <w:szCs w:val="21"/>
    </w:rPr>
  </w:style>
  <w:style w:type="paragraph" w:customStyle="1" w:styleId="Default">
    <w:name w:val="Default"/>
    <w:qFormat/>
    <w:pPr>
      <w:widowControl w:val="0"/>
      <w:autoSpaceDE w:val="0"/>
      <w:autoSpaceDN w:val="0"/>
      <w:adjustRightInd w:val="0"/>
    </w:pPr>
    <w:rPr>
      <w:rFonts w:ascii="ST Song" w:eastAsia="ST Song" w:hAnsi="Times New Roman" w:cs="ST Song"/>
      <w:color w:val="000000"/>
      <w:sz w:val="24"/>
      <w:szCs w:val="24"/>
      <w:lang w:val="en-US" w:eastAsia="zh-CN" w:bidi="ar-SA"/>
    </w:rPr>
  </w:style>
  <w:style w:type="paragraph" w:customStyle="1" w:styleId="CM19">
    <w:name w:val="CM19"/>
    <w:basedOn w:val="Default"/>
    <w:next w:val="Default"/>
    <w:qFormat/>
    <w:pPr>
      <w:spacing w:after="150"/>
    </w:pPr>
    <w:rPr>
      <w:rFonts w:cs="Times New Roman"/>
      <w:color w:val="auto"/>
    </w:rPr>
  </w:style>
  <w:style w:type="paragraph" w:customStyle="1" w:styleId="CM3">
    <w:name w:val="CM3"/>
    <w:basedOn w:val="Default"/>
    <w:next w:val="Default"/>
    <w:qFormat/>
    <w:pPr>
      <w:spacing w:line="323" w:lineRule="atLeast"/>
    </w:pPr>
    <w:rPr>
      <w:rFonts w:cs="Times New Roman"/>
      <w:color w:val="auto"/>
    </w:rPr>
  </w:style>
  <w:style w:type="paragraph" w:customStyle="1" w:styleId="CM21">
    <w:name w:val="CM21"/>
    <w:basedOn w:val="Default"/>
    <w:next w:val="Default"/>
    <w:pPr>
      <w:spacing w:after="78"/>
    </w:pPr>
    <w:rPr>
      <w:rFonts w:cs="Times New Roman"/>
      <w:color w:val="auto"/>
    </w:rPr>
  </w:style>
  <w:style w:type="paragraph" w:customStyle="1" w:styleId="CM20">
    <w:name w:val="CM20"/>
    <w:basedOn w:val="Default"/>
    <w:next w:val="Default"/>
    <w:pPr>
      <w:spacing w:after="310"/>
    </w:pPr>
    <w:rPr>
      <w:rFonts w:cs="Times New Roman"/>
      <w:color w:val="auto"/>
    </w:rPr>
  </w:style>
  <w:style w:type="paragraph" w:customStyle="1" w:styleId="CM22">
    <w:name w:val="CM22"/>
    <w:basedOn w:val="Default"/>
    <w:next w:val="Default"/>
    <w:qFormat/>
    <w:pPr>
      <w:spacing w:after="238"/>
    </w:pPr>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yperlink" Target="https://d.book118.com/407113006001006046" TargetMode="External" /><Relationship Id="rId25" Type="http://schemas.openxmlformats.org/officeDocument/2006/relationships/header" Target="header10.xml" /><Relationship Id="rId26" Type="http://schemas.openxmlformats.org/officeDocument/2006/relationships/footer" Target="footer10.xml" /><Relationship Id="rId27" Type="http://schemas.microsoft.com/office/2006/relationships/keyMapCustomizations" Target="customizations.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1026</Words>
  <Characters>5854</Characters>
  <Application>Microsoft Office Word</Application>
  <DocSecurity>0</DocSecurity>
  <Lines>48</Lines>
  <Paragraphs>13</Paragraphs>
  <ScaleCrop>false</ScaleCrop>
  <Company/>
  <LinksUpToDate>false</LinksUpToDate>
  <CharactersWithSpaces>6867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赣南师范学院本科生毕业论文（设计）管理规定</dc:title>
  <dc:creator>jwc</dc:creator>
  <cp:lastModifiedBy>蔡淇</cp:lastModifiedBy>
  <cp:revision>6</cp:revision>
  <cp:lastPrinted>2022-09-23T01:40:00Z</cp:lastPrinted>
  <dcterms:created xsi:type="dcterms:W3CDTF">2022-10-17T02:12:00Z</dcterms:created>
  <dcterms:modified xsi:type="dcterms:W3CDTF">2023-02-25T09:37:43Z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6582235AC6F14671A54271B0EBF17BE3</vt:lpwstr>
  </property>
  <property fmtid="{D5CDD505-2E9C-101B-9397-08002B2CF9AE}" pid="3" name="KSOProductBuildVer">
    <vt:lpwstr>2052-11.1.0.13703</vt:lpwstr>
  </property>
</Properties>
</file>