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right"/>
        <w:rPr>
          <w:rStyle w:val="Hyperlink"/>
          <w:rFonts w:asciiTheme="majorEastAsia" w:eastAsiaTheme="majorEastAsia" w:hAnsiTheme="majorEastAsia" w:cstheme="majorEastAsia" w:hint="default"/>
          <w:color w:val="auto"/>
          <w:sz w:val="20"/>
          <w:szCs w:val="20"/>
          <w:u w:val="none"/>
          <w:lang w:val="en-US" w:eastAsia="zh-CN"/>
        </w:rPr>
      </w:pPr>
      <w:r>
        <w:rPr>
          <w:rFonts w:asciiTheme="majorEastAsia" w:eastAsiaTheme="majorEastAsia" w:hAnsiTheme="majorEastAsia" w:cstheme="majorEastAsia" w:hint="eastAsia"/>
          <w:color w:val="auto"/>
          <w:sz w:val="20"/>
          <w:szCs w:val="20"/>
          <w:u w:val="none"/>
          <w:lang w:eastAsia="zh-CN"/>
        </w:rPr>
        <w:fldChar w:fldCharType="begin"/>
      </w:r>
      <w:r>
        <w:rPr>
          <w:rFonts w:asciiTheme="majorEastAsia" w:eastAsiaTheme="majorEastAsia" w:hAnsiTheme="majorEastAsia" w:cstheme="majorEastAsia" w:hint="eastAsia"/>
          <w:color w:val="auto"/>
          <w:sz w:val="20"/>
          <w:szCs w:val="20"/>
          <w:u w:val="none"/>
          <w:lang w:eastAsia="zh-CN"/>
        </w:rPr>
        <w:instrText xml:space="preserve"> HYPERLINK "http://www.31doc.com" </w:instrText>
      </w:r>
      <w:r>
        <w:rPr>
          <w:rFonts w:asciiTheme="majorEastAsia" w:eastAsiaTheme="majorEastAsia" w:hAnsiTheme="majorEastAsia" w:cstheme="majorEastAsia" w:hint="eastAsia"/>
          <w:color w:val="auto"/>
          <w:sz w:val="20"/>
          <w:szCs w:val="20"/>
          <w:u w:val="none"/>
          <w:lang w:eastAsia="zh-CN"/>
        </w:rPr>
        <w:fldChar w:fldCharType="separate"/>
      </w:r>
      <w:r>
        <w:rPr>
          <w:rStyle w:val="Hyperlink"/>
          <w:rFonts w:asciiTheme="majorEastAsia" w:eastAsiaTheme="majorEastAsia" w:hAnsiTheme="majorEastAsia" w:cstheme="majorEastAsia" w:hint="eastAsia"/>
          <w:b/>
          <w:bCs w:val="0"/>
          <w:color w:val="auto"/>
          <w:sz w:val="20"/>
          <w:szCs w:val="20"/>
          <w:u w:val="none"/>
          <w:lang w:eastAsia="zh-CN"/>
        </w:rPr>
        <w:t>竭诚为您提供优质文档</w:t>
      </w:r>
      <w:r>
        <w:rPr>
          <w:rStyle w:val="Hyperlink"/>
          <w:rFonts w:asciiTheme="majorEastAsia" w:eastAsiaTheme="majorEastAsia" w:hAnsiTheme="majorEastAsia" w:cstheme="majorEastAsia" w:hint="eastAsia"/>
          <w:b/>
          <w:bCs w:val="0"/>
          <w:color w:val="auto"/>
          <w:sz w:val="20"/>
          <w:szCs w:val="20"/>
          <w:u w:val="none"/>
          <w:lang w:val="en-US" w:eastAsia="zh-CN"/>
        </w:rPr>
        <w:t>/双击可除</w:t>
      </w:r>
    </w:p>
    <w:p>
      <w:pPr>
        <w:pStyle w:val="Heading2"/>
        <w:jc w:val="center"/>
        <w:rPr>
          <w:rFonts w:ascii="腾祥魅黑简" w:eastAsia="腾祥魅黑简" w:hAnsi="腾祥魅黑简" w:hint="eastAsia"/>
          <w:color w:val="auto"/>
          <w:sz w:val="48"/>
          <w:szCs w:val="48"/>
        </w:rPr>
      </w:pPr>
      <w:r>
        <w:rPr>
          <w:rFonts w:asciiTheme="majorEastAsia" w:eastAsiaTheme="majorEastAsia" w:hAnsiTheme="majorEastAsia" w:cstheme="majorEastAsia" w:hint="eastAsia"/>
          <w:color w:val="auto"/>
          <w:sz w:val="20"/>
          <w:szCs w:val="20"/>
          <w:u w:val="none"/>
          <w:lang w:eastAsia="zh-CN"/>
        </w:rPr>
        <w:fldChar w:fldCharType="end"/>
      </w:r>
    </w:p>
    <w:p>
      <w:pPr>
        <w:pStyle w:val="Heading2"/>
        <w:jc w:val="center"/>
        <w:rPr>
          <w:rFonts w:ascii="腾祥魅黑简" w:eastAsia="腾祥魅黑简" w:hAnsi="腾祥魅黑简" w:hint="eastAsia"/>
          <w:color w:val="auto"/>
          <w:sz w:val="48"/>
          <w:szCs w:val="48"/>
        </w:rPr>
      </w:pPr>
      <w:r>
        <w:rPr>
          <w:rFonts w:ascii="腾祥魅黑简" w:eastAsia="腾祥魅黑简" w:hAnsi="腾祥魅黑简" w:hint="eastAsia"/>
          <w:color w:val="auto"/>
          <w:sz w:val="48"/>
          <w:szCs w:val="48"/>
        </w:rPr>
        <w:t>混凝土销售工作总结</w:t>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b w:val="0"/>
          <w:bCs w:val="0"/>
          <w:sz w:val="28"/>
          <w:szCs w:val="32"/>
        </w:rPr>
      </w:pPr>
      <w:bookmarkStart w:id="0" w:name="_GoBack"/>
      <w:bookmarkEnd w:id="0"/>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5"/>
          <w:footerReference w:type="default" r:id="rId6"/>
          <w:pgSz w:w="11906" w:h="16838"/>
          <w:pgMar w:top="1440" w:right="1800" w:bottom="1440" w:left="1800" w:header="510" w:footer="1020" w:gutter="0"/>
          <w:pgNumType w:fmt="decimal"/>
          <w:cols w:num="1" w:space="425"/>
          <w:docGrid w:type="lines" w:linePitch="312" w:charSpace="0"/>
        </w:sectPr>
      </w:pP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篇一：搅拌站混凝土公司年终总结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居安思危迎难而上管理创新厚积薄发</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全面推进企业的可持续发展</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——混凝土公司20XX年度工作汇报</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度混凝土公司在股东会的正确领导下，并在以总经理负责制的企业管理模式下，以经营工作为中心，以安全和质量为两个基本点，强力推进了企业内部改革，优化企业内部管理结构；全面落实企业各项经营管理工作，促进企业经营管理水平不断提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回顾和总结20XX年度，汇总分析工作中存在的问题，梳理公司发展方向和思路，调整公司市场经营策略，明确公司年度发展目标，全面部署落实20XX年工作，全面打造**品牌新高度。</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7"/>
          <w:footerReference w:type="default" r:id="rId8"/>
          <w:type w:val="nextPage"/>
          <w:pgSz w:w="11906" w:h="16838"/>
          <w:pgMar w:top="1440" w:right="1800" w:bottom="1440" w:left="1800" w:header="510" w:footer="1020" w:gutter="0"/>
          <w:pgNumType w:fmt="decimal" w:start="2"/>
          <w:cols w:num="1" w:space="425"/>
          <w:titlePg w:val="0"/>
          <w:docGrid w:type="lines" w:linePitch="312" w:charSpace="0"/>
        </w:sectPr>
      </w:pPr>
      <w:r>
        <w:rPr>
          <w:rFonts w:asciiTheme="minorEastAsia" w:eastAsiaTheme="minorEastAsia" w:hAnsiTheme="minorEastAsia" w:cstheme="minorEastAsia" w:hint="eastAsia"/>
          <w:b w:val="0"/>
          <w:bCs w:val="0"/>
          <w:sz w:val="32"/>
          <w:szCs w:val="32"/>
        </w:rPr>
        <w:t>　　现将20XX年度工作总结和20XX年度有关工作计划作如下汇报：</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一、20XX年工作总结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进入20XX年尤其是下半年以来，**建筑市场严重萎缩，土地成交量基本为零，房地产市场受到沉重打击，在如此艰难的建筑市场环境下，公司上下坚定信心、开拓进取，落实目标、扎实工作、加强服务、成效显著，使公司经营业绩取得了一定的增长态势，各项经营指标和企业发展目标基本达到了股东会要求的有关目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公司除了受国家房地产政策出台和国内经济不景气影响外，建筑市场竞争日益激烈，银行资金不断压缩，加之混凝土行业已经进入了微利时代，本地区已出现多家同行停产、歇业现象，整个行业面临着洗牌重组。</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在面对企业生产资金紧张的情况下，公司通过调整营销思路，加强成本管理，强化货款收取力度，加大增效降本力度。同时紧紧围绕年初制订的方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针目标，狠抓任务承揽、资金回收、规范成本管理等，有效地推进了公司各项工作。经过一年来的精心运作，产品营销有了新思路，产品质量有了新提高，管理水平有了新提升，企业文化有了新拓展，企业实力有了新加强，成本控制有了新成效，安全工作有了新高度。</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9"/>
          <w:footerReference w:type="default" r:id="rId10"/>
          <w:type w:val="nextPage"/>
          <w:pgSz w:w="11906" w:h="16838"/>
          <w:pgMar w:top="1440" w:right="1800" w:bottom="1440" w:left="1800" w:header="510" w:footer="1020" w:gutter="0"/>
          <w:pgNumType w:fmt="decimal" w:start="3"/>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（一）年度经济指标完成情况：</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全年生产混凝土48.9方，净利润971万元，全年超额完成年度考核目标。几大经济指标完成情况良好，其中修理费、柴油润滑油耗用、行政办公费和业务费等全部满足股东会年度经济指标要求，电费超出考核指标5万余元，主要因20XX年度码头吊机开始投入使用，造成电费平均单耗较高；招待费超考核指标10余万元。本部招待费594145.9元，单耗3.23元/方，较20XX年度单耗同比降低6.38个百分点。</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公司整个管理团队经过不懈努力和团结拼搏，在年度安全管理、质量管理和综合目标管理等专项目标管理全部达到股东会考核要求，专项目标的达标，从侧面体现出公司内部管理有方，外部管理有序，整体管理有度，为公司今后的发展方向和方式打下了坚实的基础。</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（二）加强财务管理，强化资金管理，确保企业正常运转。</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20XX年在总经理办公室正确领导下，围绕年初制定的目标，财务部积极推进财务管理工作，适时根据资金运行情况进行编制相关报表，满足日常生产资金使用管理需求。</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1"/>
          <w:footerReference w:type="default" r:id="rId12"/>
          <w:type w:val="nextPage"/>
          <w:pgSz w:w="11906" w:h="16838"/>
          <w:pgMar w:top="1440" w:right="1800" w:bottom="1440" w:left="1800" w:header="510" w:footer="1020" w:gutter="0"/>
          <w:pgNumType w:fmt="decimal" w:start="4"/>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准确做好砼款收取以及资金支付工作，并按时编制资金日报表，使各级领导及时把握资金动态，对公司各项经济业务进行准确核算，及时完成成本利润分析表编制工作；20XX年5月会同营销部，按月销3万方、4万方、5</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万方分别编制了利润预测表及资金测算表，为领导决策提供参考依据；健全财务管理制度，规范报销流程；审核客户结算单，每月做好应收账款、应付账款对账工作。由于往来客户较多，仅应收账款就达三百余家，很容易发生窜户，往来对账工作显得很重要，财务部在克服人手不足情况下，按时完成往来对账工作；每月按时完成税务申报、发票领购工作，并对送货单进行分类。</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年来，财务管理各项工作稳步推进，在货款管理上重点加大催款力度，避免呆坏账发生；对外加强协调力度，做好税务工商等部门沟通，营造良好外部财税环境；对内突出细节管理，要向成本要效益，加强成本核算，强化监督职能，对领料手续加以规范，各项费用报销，按公司规定严格把关；加强与公司内部部门横向联系，尤其是营销部门、核算部门联系沟通，对应收款核销及核减及时进行账务处理。在全年公司资金紧张的情况下，通过自身的财务运作和资金管理，始终确保生产资金、人员工资等相关费用及时发放支付，确保公司整个生产秩序稳定可靠。</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（三）配置营销团队，开拓营销思路，稳定产品盈利能力。</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3"/>
          <w:footerReference w:type="default" r:id="rId14"/>
          <w:type w:val="nextPage"/>
          <w:pgSz w:w="11906" w:h="16838"/>
          <w:pgMar w:top="1440" w:right="1800" w:bottom="1440" w:left="1800" w:header="510" w:footer="1020" w:gutter="0"/>
          <w:pgNumType w:fmt="decimal" w:start="5"/>
          <w:cols w:num="1" w:space="425"/>
          <w:titlePg w:val="0"/>
          <w:docGrid w:type="lines" w:linePitch="312" w:charSpace="0"/>
        </w:sectPr>
      </w:pPr>
      <w:r>
        <w:rPr>
          <w:rFonts w:asciiTheme="minorEastAsia" w:eastAsiaTheme="minorEastAsia" w:hAnsiTheme="minorEastAsia" w:cstheme="minorEastAsia" w:hint="eastAsia"/>
          <w:b w:val="0"/>
          <w:bCs w:val="0"/>
          <w:sz w:val="32"/>
          <w:szCs w:val="32"/>
        </w:rPr>
        <w:t>　　20XX年度营销部门在公司总经理的正确领导以及生产技术部门的支持配合下，累计销售混凝土491840.5方，销售总额达157195685.5元。回款金额达到121071946.3元，全年回款率高达77%。</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我们公司已经建立了一支熟悉业务而且相对稳定的销售队伍，公司销售签订的大部分业务量是由业务员接洽，跟踪，结算。各业务员与营销部门上下团结，严格遵守公司关于销售业务的各项制度，营销内勤、核算按时完成工作，做到上传下达。做到每周一次例会，每周反馈市场行情，回款情况，</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严格控制垫资额度，不错不漏的完成销售、对账、收款任务。在供应的同时，也存在一些困难和问题，混凝土坍落度的掌控、还有因为种种原因不能及时按需方时间供货，我们营销人员都能在第一时间出现在现场，尽可能帮助协调和解决。</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加强对供砼单位工程资质，经济实力的审核，业务员接洽业务严格按照公司既定流程，及时与营销主管和总经理沟通，了解用砼单位市场信誉，能够最大限度的规避风险，同时综合利用各种收款手段，包括停砼、发财务催款函、律师催款函等，避免过量的垫资，尾款难收等情况；</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5"/>
          <w:footerReference w:type="default" r:id="rId16"/>
          <w:type w:val="nextPage"/>
          <w:pgSz w:w="11906" w:h="16838"/>
          <w:pgMar w:top="1440" w:right="1800" w:bottom="1440" w:left="1800" w:header="510" w:footer="1020" w:gutter="0"/>
          <w:pgNumType w:fmt="decimal" w:start="6"/>
          <w:cols w:num="1" w:space="425"/>
          <w:titlePg w:val="0"/>
          <w:docGrid w:type="lines" w:linePitch="312" w:charSpace="0"/>
        </w:sectPr>
      </w:pPr>
      <w:r>
        <w:rPr>
          <w:rFonts w:asciiTheme="minorEastAsia" w:eastAsiaTheme="minorEastAsia" w:hAnsiTheme="minorEastAsia" w:cstheme="minorEastAsia" w:hint="eastAsia"/>
          <w:b w:val="0"/>
          <w:bCs w:val="0"/>
          <w:sz w:val="32"/>
          <w:szCs w:val="32"/>
        </w:rPr>
        <w:t>　　销售市场的拓展做的很有成效，从起初在**区范围内的几家，已经辐射到清浦区，**市经济开发区并且我们公司供应了**好多个标志性工程，比如**中南世纪城、**区天鹅湾、**区奥体国际星城、四川英祥承德公馆等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当然营销工作在20XX年度依然也存在一定的问题，诸如：合同工地回款不及时，部分业务员缺乏主动性。不能做到穷追不舍；公司由于报价，调度发货不及时等原因导致竞争力下滑，市场混乱导致业务不能顺利谈拢；沟通不够深入，会发生不能及时发现工地违约，临时用其他公司的混凝土。这些确实存在的问题都将是今后营销部门日常管理中不容忽视的问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（四）落实生产管理，突出管理重点，保障生产稳定有序。</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年来，生产部整体运营良好，基本完成各项指标，基本无较大的人员流动，各项工作运营基本良好，对外维护公司形象，提高服务质量，20XX年重点加强与施工单位的衔接和协调作为工作重点，加大内外协调力度。坚持“以人为本，管理为辅”的原则，不断加强调度对外窗口服务水平。通过加强对调度员有关车辆调度、文明用语、勘察作业现场等方式管理，认</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7"/>
          <w:footerReference w:type="default" r:id="rId18"/>
          <w:type w:val="nextPage"/>
          <w:pgSz w:w="11906" w:h="16838"/>
          <w:pgMar w:top="1440" w:right="1800" w:bottom="1440" w:left="1800" w:header="510" w:footer="1020" w:gutter="0"/>
          <w:pgNumType w:fmt="decimal" w:start="7"/>
          <w:cols w:num="1" w:space="425"/>
          <w:titlePg w:val="0"/>
          <w:docGrid w:type="lines" w:linePitch="312" w:charSpace="0"/>
        </w:sectPr>
      </w:pPr>
      <w:r>
        <w:rPr>
          <w:rFonts w:asciiTheme="minorEastAsia" w:eastAsiaTheme="minorEastAsia" w:hAnsiTheme="minorEastAsia" w:cstheme="minorEastAsia" w:hint="eastAsia"/>
          <w:b w:val="0"/>
          <w:bCs w:val="0"/>
          <w:sz w:val="32"/>
          <w:szCs w:val="32"/>
        </w:rPr>
        <w:t>　　真履行岗位职责，积极树立良好窗口形象，全年在有效的管理和岗位责任落实下，对外窗口全年无重大投诉。加强对外服务岗位满意度调查。通过对合作单位和施工单位的问卷调查，全面覆盖公司对外岗位、产品质量情况、服务水平等关键问题，及时发现公司对外服务过程中出现的问题，并寻求解决协调处理方案。并定期召开相关联系协调会议，切实解决生产服务过程中出现的问题。定期定期召开生产部门例会，落实生产任务。生产纪律落实，确保生产管理目标得到落实执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（五）细化安全管理，落实安全责任，夯实企业发展基础。</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安全是一切工作的基础，一年来，我们高度重视了企业的安全工作，始终坚持了“安全第一，从严治本”的指导思想，坚持把强化安全生产管理放在各项管理的重中之重。</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全年重大交通和安全事故为零的目标。公司建立了以安全设备部安全主管为安全责任人的安全保障体系，建立健全了较为全面的安全管理规范；积极主动沟通外部道路交通关系，全年外协罚款费3.6万元，较去年下降12个百分点，外协管理工作显著。</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19"/>
          <w:footerReference w:type="default" r:id="rId20"/>
          <w:type w:val="nextPage"/>
          <w:pgSz w:w="11906" w:h="16838"/>
          <w:pgMar w:top="1440" w:right="1800" w:bottom="1440" w:left="1800" w:header="510" w:footer="1020" w:gutter="0"/>
          <w:pgNumType w:fmt="decimal" w:start="8"/>
          <w:cols w:num="1" w:space="425"/>
          <w:titlePg w:val="0"/>
          <w:docGrid w:type="lines" w:linePitch="312" w:charSpace="0"/>
        </w:sectPr>
      </w:pPr>
      <w:r>
        <w:rPr>
          <w:rFonts w:asciiTheme="minorEastAsia" w:eastAsiaTheme="minorEastAsia" w:hAnsiTheme="minorEastAsia" w:cstheme="minorEastAsia" w:hint="eastAsia"/>
          <w:b w:val="0"/>
          <w:bCs w:val="0"/>
          <w:sz w:val="32"/>
          <w:szCs w:val="32"/>
        </w:rPr>
        <w:t>　　加强安全基础设施检查力度，通过对公司所有生产区域、办公区域的不定期检查，强化岗位安全位置管理意识。积极主动寻求上级安全主管部门帮助，认真落实完善和做好安全台账建设。通过对存在安全隐患的位置及时悬挂警示标志、与码头船主签订安全协议等方式和手段，规范安全管理要求，杜绝隐患位置和码头作业安全事故发生，真正做到安全工作有重点，安全管理有方法。在6月份通过举办安全生产月的活动，将安全工作推向一个新的</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篇二：混凝土销售工作总结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篇一：混凝土公司年度总结</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公司20XX年工作总结及</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20XX年工作打算</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以来，在集团的正确领导下，紧密围绕集团党委、董事局的工作部署，以经营工作为中心，以安全和质量为两个基本点，强力推进了企业内部改革，经营管理水平不断提高。一年来，公司上下坚定信心、开拓进取，落实任务、努力工作、亮点突出、成效显著，公司经营业绩获得了较好的增长态势，各项承包经营指标和企业发展目标都达到了集团年初规划目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一、20XX年工作总结</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1"/>
          <w:footerReference w:type="default" r:id="rId22"/>
          <w:type w:val="nextPage"/>
          <w:pgSz w:w="11906" w:h="16838"/>
          <w:pgMar w:top="1440" w:right="1800" w:bottom="1440" w:left="1800" w:header="510" w:footer="1020" w:gutter="0"/>
          <w:pgNumType w:fmt="decimal" w:start="9"/>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一年来，在集团有关领导的大力支持下，公司克服了资金极度紧张、原材料价格持续上涨、政府限购、限贷步步惊心的调控政策等层层困难，紧紧围绕年初制订的方针目标，狠抓任务承揽、资金回收、增资融资、战略合作与规范管理，有效地推进了公司各项工作。经过一年来的精心运作，市场开拓有了新突破，产品开发有了新提高，管理水平有了新提升，企业文化有了新拓展，企业实力有了新加强，成本控制有了新成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（一）年度经济指标完成情况：</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（二）完善机制开拓市场优化营销团队配置提高盈利水平和能力</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在当前市场经济条件下，建筑企业要生存发展，根本出路就在于开拓市场和占领市场，尤其是今年以来，建筑市场竞争更加激烈，各混凝土企业间的相互压价、让利愈演愈烈，这种无序和自相残杀的竞争使公司的生产经营形势面临严峻考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一是公司领导及销售部的业务精英们面对这种形势，审时度势，及时洞察了市场发展方向，积极寻找形势变化及发展给公司带来的机遇，努力争取建筑面积较大的的规模建筑，市场任务的承接取得了可喜的成绩。</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而今年销售工作中的一个亮点就是团签署了长期战略合作协议独家供应。这是我们所一直倡导的“大营销”迈出的坚实而又稳重的一部。由此，全公司的生产经营工作呈现出了一片勃勃生机。</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3"/>
          <w:footerReference w:type="default" r:id="rId24"/>
          <w:type w:val="nextPage"/>
          <w:pgSz w:w="11906" w:h="16838"/>
          <w:pgMar w:top="1440" w:right="1800" w:bottom="1440" w:left="1800" w:header="510" w:footer="1020" w:gutter="0"/>
          <w:pgNumType w:fmt="decimal" w:start="10"/>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二是密切跟踪研究房地产市场的发展动态，了解市场变化和发展趋势，为公司战略决策提供了有力的参考依据。三是进一步完善了《销售人员考核管理办法》，在销售人员中深入落实了经营责任，切实体现了“按劳分配”原则，使业务员适应了市场发展形势的需要，又大大提高了其营销能力及其工作的积极性和主动性。</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四是今年对较大项目实行专人跟踪并积极参与投标，。</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五是加强了对业务人员的组织管理,提高了经济效益和结算效率。业务员对自己所承揽工地的业务联系包括工程结算、现场服务、资金回收等实行一条龙服务，项目完成的好坏以及快慢都直接与其个人的报酬挂钩。</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（三）资金形势空前严峻，公司面临较为严峻的增长瓶颈。</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我们在资金上面临的异常严峻的压力，突出表现在石子等骨料的采购上必须做到现金日结，这使得我们的资金及供应压力与日剧增，公司本来就非常脆弱的资金链已不堪重负、雪上加霜，可以说公司在整个20XX年资金都显得极度匮乏、资金形势极为严峻。若春节前资金状况没有明显缓解，势必影响公司下一步的正常生产及公司稳定，这也是我们当前所面临的最大的问题。</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面临着一边是火焰、一边是悬崖的极度严峻形势，我们采取了如下措施进行应对：</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sectPr>
          <w:headerReference w:type="default" r:id="rId25"/>
          <w:footerReference w:type="default" r:id="rId26"/>
          <w:type w:val="nextPage"/>
          <w:pgSz w:w="11906" w:h="16838"/>
          <w:pgMar w:top="1440" w:right="1800" w:bottom="1440" w:left="1800" w:header="510" w:footer="1020" w:gutter="0"/>
          <w:pgNumType w:fmt="decimal" w:start="11"/>
          <w:cols w:num="1" w:space="425"/>
          <w:titlePg w:val="0"/>
          <w:docGrid w:type="lines" w:linePitch="312" w:charSpace="0"/>
        </w:sectPr>
      </w:pPr>
      <w:r>
        <w:rPr>
          <w:rFonts w:asciiTheme="minorEastAsia" w:eastAsiaTheme="minorEastAsia" w:hAnsiTheme="minorEastAsia" w:cstheme="minorEastAsia" w:hint="eastAsia"/>
          <w:b w:val="0"/>
          <w:bCs w:val="0"/>
          <w:sz w:val="32"/>
          <w:szCs w:val="32"/>
        </w:rPr>
        <w:t>　　一是在今年已连续召开不下数十次领导班子会议、业务人员会议，在会上通报了公司所面临的形势，部署资金回收以及任务承揽指标，听取了有关部门的意见和建议，鼓动大家群策群力，共同努力，务必采取各种措施加强任务承揽、强化资金回收。</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二是在巨大资金压力影响下，公司领导会同材料科有关部门想尽千方百计采购石子、水泥等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紧缺材料，尽全力确保济南市公安局等重点工程顺利施工，而不至于对公司信誉和品牌产生不良影响，这也从侧面缓解了资金压力。</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三是加强了清欠回收工作的组织和领导，健全了清欠组织和人员，由分管经理统一领导，确立了回收目标，制定了回收方案；对部分欠款大户及态度恶劣的欠款户，不惜一切代价进行了社会力量的清欠，并取得了快速、良好的效果。</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（四）加强财务管理，提升资金管理和运作水平，确保企业正常运转。</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20XX年的财务工作面临了诸多的考验和压力，积极处理了历史遗留事宜、会计核算业务的变化、会计人员的调整、银行还贷压力、资金筹措压力、大量资金结算业务，繁杂的日常报销工作、日常财务、会计监督工作，外部税务、银行等工作的协调等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1、资金筹措方面</w:t>
      </w:r>
      <w:r>
        <w:rPr>
          <w:rFonts w:asciiTheme="minorEastAsia" w:eastAsiaTheme="minorEastAsia" w:hAnsiTheme="minorEastAsia" w:cstheme="minorEastAsia" w:hint="eastAsia"/>
          <w:b w:val="0"/>
          <w:bCs w:val="0"/>
          <w:sz w:val="32"/>
          <w:szCs w:val="32"/>
        </w:rPr>
        <w:br/>
      </w:r>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pPr>
      <w:r>
        <w:rPr>
          <w:rFonts w:asciiTheme="minorEastAsia" w:eastAsiaTheme="minorEastAsia" w:hAnsiTheme="minorEastAsia" w:cstheme="minorEastAsia" w:hint="eastAsia"/>
          <w:b w:val="0"/>
          <w:bCs w:val="0"/>
          <w:sz w:val="32"/>
          <w:szCs w:val="32"/>
        </w:rPr>
        <w:t>　　20XX年前十个月，央行多次上调存款准备金率和金融机构存款利率，无论从新增绝对规模还是同比增速来看，均较去年同期明显下降。而银行流动性趋紧无形中又增加了银行惜贷情绪，商业银行贷款利率大幅攀升，这又直接导致了民间融资成本快速抬高，上述原因成为加剧混凝土企业困难的主要因素。而对我们来讲，更是面临着劳动力成本提升、原材料价格上涨、融资成本上升等多重困难因素的严峻考验。</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自20XX年初混凝土公司就面临了还贷款的巨大压力，具体原因为：第一、国家为控制宏观经济发展的速度，提高资本投入的效率，全面压缩、限制银行贷款；第二、公司不能提供银行贷款认可的担保单位和担保资产。第三、公司现有的财务收支情况也限制了转贷款和新增加银行贷款；第四、由于公司日均银行存款余额较少，不能满足银行提出的存款与贷款的余额比例关系等等。</w:t>
      </w:r>
      <w:r>
        <w:rPr>
          <w:rFonts w:asciiTheme="minorEastAsia" w:eastAsiaTheme="minorEastAsia" w:hAnsiTheme="minorEastAsia" w:cstheme="minorEastAsia" w:hint="eastAsia"/>
          <w:b w:val="0"/>
          <w:bCs w:val="0"/>
          <w:sz w:val="32"/>
          <w:szCs w:val="32"/>
        </w:rPr>
        <w:br/>
      </w:r>
      <w:r>
        <w:rPr>
          <w:rFonts w:asciiTheme="minorEastAsia" w:eastAsiaTheme="minorEastAsia" w:hAnsiTheme="minorEastAsia" w:cstheme="minorEastAsia" w:hint="eastAsia"/>
          <w:b w:val="0"/>
          <w:bCs w:val="0"/>
          <w:sz w:val="32"/>
          <w:szCs w:val="32"/>
        </w:rPr>
        <w:t>　　在银行贷款流动性趋紧的不利形势下，我们积极进行了多渠道融资，这其中包括公司职工内部集资、小额贷款公司合作、产权抵押、社会其他渠道融资等，但是通过与宜信、友信、银联、鲁信、国际信托等多家公司的前期洽谈来看，尽管效率高，但小额贷款所牵扯的精力、融资的成本等都较大，而且这种贷款实实在在的考验着我们的神经承受力。</w:t>
      </w:r>
      <w:r>
        <w:rPr>
          <w:rFonts w:asciiTheme="minorEastAsia" w:eastAsiaTheme="minorEastAsia" w:hAnsiTheme="minorEastAsia" w:cstheme="minorEastAsia" w:hint="eastAsia"/>
          <w:b w:val="0"/>
          <w:bCs w:val="0"/>
          <w:sz w:val="32"/>
          <w:szCs w:val="32"/>
        </w:rPr>
        <w:br/>
      </w:r>
      <w:r>
        <w:rPr>
          <w:rFonts w:asciiTheme="minorEastAsia" w:hAnsiTheme="minorEastAsia" w:cstheme="minorEastAsia" w:hint="eastAsia"/>
          <w:sz w:val="32"/>
          <w:szCs w:val="32"/>
        </w:rPr>
        <w:br/>
      </w:r>
      <w:r>
        <w:rPr>
          <w:rFonts w:asciiTheme="minorEastAsia" w:hAnsiTheme="minorEastAsia" w:cstheme="minorEastAsia" w:hint="eastAsia"/>
          <w:sz w:val="32"/>
          <w:szCs w:val="3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https://d.book118.com/407122013123006051</w:t>
        </w:r>
      </w:hyperlink>
    </w:p>
    <w:p>
      <w:pPr>
        <w:keepNext w:val="0"/>
        <w:keepLines w:val="0"/>
        <w:pageBreakBefore w:val="0"/>
        <w:widowControl/>
        <w:kinsoku/>
        <w:wordWrap/>
        <w:overflowPunct/>
        <w:topLinePunct w:val="0"/>
        <w:autoSpaceDE/>
        <w:autoSpaceDN/>
        <w:bidi w:val="0"/>
        <w:adjustRightInd/>
        <w:snapToGrid/>
        <w:spacing w:line="360" w:lineRule="auto"/>
        <w:ind w:left="0" w:firstLine="0" w:leftChars="0" w:firstLineChars="0"/>
        <w:jc w:val="left"/>
        <w:textAlignment w:val="auto"/>
        <w:rPr>
          <w:rFonts w:asciiTheme="minorEastAsia" w:hAnsiTheme="minorEastAsia" w:cstheme="minorEastAsia" w:hint="eastAsia"/>
          <w:sz w:val="32"/>
          <w:szCs w:val="32"/>
        </w:rPr>
      </w:pPr>
    </w:p>
    <w:sectPr>
      <w:headerReference w:type="default" r:id="rId28"/>
      <w:footerReference w:type="default" r:id="rId29"/>
      <w:type w:val="nextPage"/>
      <w:pgSz w:w="11906" w:h="16838"/>
      <w:pgMar w:top="1440" w:right="1800" w:bottom="1440" w:left="1800" w:header="510" w:footer="1020" w:gutter="0"/>
      <w:pgNumType w:fmt="decimal"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腾祥魅黑简">
    <w:altName w:val="黑体"/>
    <w:panose1 w:val="0101010401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131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87"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49" type="#_x0000_t202" style="width:1in;height:24.9pt;margin-top:6.65pt;margin-left:415.6pt;mso-wrap-distance-bottom:0;mso-wrap-distance-left:9pt;mso-wrap-distance-right:9pt;mso-wrap-distance-top:0;mso-wrap-style:none;position:absolute;v-text-anchor:top;z-index:25166028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53"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0" type="#_x0000_t7" style="width:124.2pt;height:18.2pt;margin-top:6.75pt;margin-left:408.4pt;mso-wrap-distance-bottom:0;mso-wrap-distance-left:9pt;mso-wrap-distance-right:9pt;mso-wrap-distance-top:0;position:absolute;v-text-anchor:middle;z-index:251658240" fillcolor="#0083ff" stroked="f" strokecolor="#41719c" strokeweight="1pt"/>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540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074798938"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2</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1" type="#_x0000_t202" style="width:1in;height:24.9pt;margin-top:6.65pt;margin-left:415.6pt;mso-wrap-distance-bottom:0;mso-wrap-distance-left:9pt;mso-wrap-distance-right:9pt;mso-wrap-distance-top:0;mso-wrap-style:none;position:absolute;v-text-anchor:top;z-index:25166438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2</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42350311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2" type="#_x0000_t7" style="width:124.2pt;height:18.2pt;margin-top:6.75pt;margin-left:408.4pt;mso-wrap-distance-bottom:0;mso-wrap-distance-left:9pt;mso-wrap-distance-right:9pt;mso-wrap-distance-top:0;position:absolute;v-text-anchor:middle;z-index:251662336" fillcolor="#0083ff" stroked="f" strokecolor="#41719c" strokeweight="1pt"/>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9504"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980093575"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3</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3" type="#_x0000_t202" style="width:1in;height:24.9pt;margin-top:6.65pt;margin-left:415.6pt;mso-wrap-distance-bottom:0;mso-wrap-distance-left:9pt;mso-wrap-distance-right:9pt;mso-wrap-distance-top:0;mso-wrap-style:none;position:absolute;v-text-anchor:top;z-index:251668480"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3</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67456"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237777931"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4" type="#_x0000_t7" style="width:124.2pt;height:18.2pt;margin-top:6.75pt;margin-left:408.4pt;mso-wrap-distance-bottom:0;mso-wrap-distance-left:9pt;mso-wrap-distance-right:9pt;mso-wrap-distance-top:0;position:absolute;v-text-anchor:middle;z-index:251666432" fillcolor="#0083ff" stroked="f" strokecolor="#41719c" strokeweight="1pt"/>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73600"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543399435"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5</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5" type="#_x0000_t202" style="width:1in;height:24.9pt;margin-top:6.65pt;margin-left:415.6pt;mso-wrap-distance-bottom:0;mso-wrap-distance-left:9pt;mso-wrap-distance-right:9pt;mso-wrap-distance-top:0;mso-wrap-style:none;position:absolute;v-text-anchor:top;z-index:251672576"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5</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1552"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23384213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6" type="#_x0000_t7" style="width:124.2pt;height:18.2pt;margin-top:6.75pt;margin-left:408.4pt;mso-wrap-distance-bottom:0;mso-wrap-distance-left:9pt;mso-wrap-distance-right:9pt;mso-wrap-distance-top:0;position:absolute;v-text-anchor:middle;z-index:251670528" fillcolor="#0083ff" stroked="f" strokecolor="#41719c" strokeweight="1pt"/>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77696"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279606152"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5</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7" type="#_x0000_t202" style="width:1in;height:24.9pt;margin-top:6.65pt;margin-left:415.6pt;mso-wrap-distance-bottom:0;mso-wrap-distance-left:9pt;mso-wrap-distance-right:9pt;mso-wrap-distance-top:0;mso-wrap-style:none;position:absolute;v-text-anchor:top;z-index:251676672"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5</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5648"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393149485"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58" type="#_x0000_t7" style="width:124.2pt;height:18.2pt;margin-top:6.75pt;margin-left:408.4pt;mso-wrap-distance-bottom:0;mso-wrap-distance-left:9pt;mso-wrap-distance-right:9pt;mso-wrap-distance-top:0;position:absolute;v-text-anchor:middle;z-index:251674624" fillcolor="#0083ff" stroked="f" strokecolor="#41719c" strokeweight="1pt"/>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179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902600061"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59" type="#_x0000_t202" style="width:1in;height:24.9pt;margin-top:6.65pt;margin-left:415.6pt;mso-wrap-distance-bottom:0;mso-wrap-distance-left:9pt;mso-wrap-distance-right:9pt;mso-wrap-distance-top:0;mso-wrap-style:none;position:absolute;v-text-anchor:top;z-index:25168076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7974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21889211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0" type="#_x0000_t7" style="width:124.2pt;height:18.2pt;margin-top:6.75pt;margin-left:408.4pt;mso-wrap-distance-bottom:0;mso-wrap-distance-left:9pt;mso-wrap-distance-right:9pt;mso-wrap-distance-top:0;position:absolute;v-text-anchor:middle;z-index:251678720" fillcolor="#0083ff" stroked="f" strokecolor="#41719c" strokeweight="1pt"/>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588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345044412"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7</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1" type="#_x0000_t202" style="width:1in;height:24.9pt;margin-top:6.65pt;margin-left:415.6pt;mso-wrap-distance-bottom:0;mso-wrap-distance-left:9pt;mso-wrap-distance-right:9pt;mso-wrap-distance-top:0;mso-wrap-style:none;position:absolute;v-text-anchor:top;z-index:25168486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7</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8384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100041460"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2" type="#_x0000_t7" style="width:124.2pt;height:18.2pt;margin-top:6.75pt;margin-left:408.4pt;mso-wrap-distance-bottom:0;mso-wrap-distance-left:9pt;mso-wrap-distance-right:9pt;mso-wrap-distance-top:0;position:absolute;v-text-anchor:middle;z-index:251682816" fillcolor="#0083ff" stroked="f" strokecolor="#41719c" strokeweight="1pt"/>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89984"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243855714"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8</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3" type="#_x0000_t202" style="width:1in;height:24.9pt;margin-top:6.65pt;margin-left:415.6pt;mso-wrap-distance-bottom:0;mso-wrap-distance-left:9pt;mso-wrap-distance-right:9pt;mso-wrap-distance-top:0;mso-wrap-style:none;position:absolute;v-text-anchor:top;z-index:251688960"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8</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87936"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893705504"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4" type="#_x0000_t7" style="width:124.2pt;height:18.2pt;margin-top:6.75pt;margin-left:408.4pt;mso-wrap-distance-bottom:0;mso-wrap-distance-left:9pt;mso-wrap-distance-right:9pt;mso-wrap-distance-top:0;position:absolute;v-text-anchor:middle;z-index:251686912" fillcolor="#0083ff" stroked="f" strokecolor="#41719c" strokeweight="1pt"/>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94080"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022105364"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10</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5" type="#_x0000_t202" style="width:1in;height:24.9pt;margin-top:6.65pt;margin-left:415.6pt;mso-wrap-distance-bottom:0;mso-wrap-distance-left:9pt;mso-wrap-distance-right:9pt;mso-wrap-distance-top:0;mso-wrap-style:none;position:absolute;v-text-anchor:top;z-index:251693056"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10</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92032"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455483632"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6" type="#_x0000_t7" style="width:124.2pt;height:18.2pt;margin-top:6.75pt;margin-left:408.4pt;mso-wrap-distance-bottom:0;mso-wrap-distance-left:9pt;mso-wrap-distance-right:9pt;mso-wrap-distance-top:0;position:absolute;v-text-anchor:middle;z-index:251691008" fillcolor="#0083ff" stroked="f" strokecolor="#41719c" strokeweight="1pt"/>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98176"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938570176"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11</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7" type="#_x0000_t202" style="width:1in;height:24.9pt;margin-top:6.65pt;margin-left:415.6pt;mso-wrap-distance-bottom:0;mso-wrap-distance-left:9pt;mso-wrap-distance-right:9pt;mso-wrap-distance-top:0;mso-wrap-style:none;position:absolute;v-text-anchor:top;z-index:251697152"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11</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696128"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1487518994"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68" type="#_x0000_t7" style="width:124.2pt;height:18.2pt;margin-top:6.75pt;margin-left:408.4pt;mso-wrap-distance-bottom:0;mso-wrap-distance-left:9pt;mso-wrap-distance-right:9pt;mso-wrap-distance-top:0;position:absolute;v-text-anchor:middle;z-index:251695104" fillcolor="#0083ff" stroked="f" strokecolor="#41719c" strokeweight="1pt"/>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02272"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1653449537"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12</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69" type="#_x0000_t202" style="width:1in;height:24.9pt;margin-top:6.65pt;margin-left:415.6pt;mso-wrap-distance-bottom:0;mso-wrap-distance-left:9pt;mso-wrap-distance-right:9pt;mso-wrap-distance-top:0;mso-wrap-style:none;position:absolute;v-text-anchor:top;z-index:251701248"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12</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00224"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424374476"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0" type="#_x0000_t7" style="width:124.2pt;height:18.2pt;margin-top:6.75pt;margin-left:408.4pt;mso-wrap-distance-bottom:0;mso-wrap-distance-left:9pt;mso-wrap-distance-right:9pt;mso-wrap-distance-top:0;position:absolute;v-text-anchor:middle;z-index:251699200" fillcolor="#0083ff" stroked="f" strokecolor="#41719c" strokeweight="1pt"/>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706368" behindDoc="0" locked="0" layoutInCell="1" allowOverlap="1">
              <wp:simplePos x="0" y="0"/>
              <wp:positionH relativeFrom="column">
                <wp:posOffset>5278120</wp:posOffset>
              </wp:positionH>
              <wp:positionV relativeFrom="paragraph">
                <wp:posOffset>84455</wp:posOffset>
              </wp:positionV>
              <wp:extent cx="914400" cy="316230"/>
              <wp:effectExtent l="0" t="0" r="0" b="0"/>
              <wp:wrapNone/>
              <wp:docPr id="353222291" name="文本框 187"/>
              <wp:cNvGraphicFramePr/>
              <a:graphic xmlns:a="http://schemas.openxmlformats.org/drawingml/2006/main">
                <a:graphicData uri="http://schemas.microsoft.com/office/word/2010/wordprocessingShape">
                  <wps:wsp xmlns:wps="http://schemas.microsoft.com/office/word/2010/wordprocessingShape">
                    <wps:cNvSpPr txBox="1"/>
                    <wps:spPr>
                      <a:xfrm>
                        <a:off x="0" y="0"/>
                        <a:ext cx="914400" cy="3162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int="eastAsia"/>
                              <w:b/>
                              <w:color w:val="FFFFFF" w:themeColor="background1"/>
                              <w:sz w:val="18"/>
                              <w:szCs w:val="18"/>
                              <w14:textFill>
                                <w14:solidFill>
                                  <w14:schemeClr w14:val="bg1"/>
                                </w14:solidFill>
                              </w14:textFill>
                            </w:rPr>
                          </w:pPr>
                          <w:r>
                            <w:rPr>
                              <w:rFonts w:hint="eastAsia"/>
                              <w:b/>
                              <w:color w:val="FFFFFF" w:themeColor="background1"/>
                              <w:sz w:val="18"/>
                              <w:szCs w:val="18"/>
                              <w:lang w:eastAsia="zh-CN"/>
                              <w14:textFill>
                                <w14:solidFill>
                                  <w14:schemeClr w14:val="bg1"/>
                                </w14:solidFill>
                              </w14:textFill>
                            </w:rPr>
                            <w:t xml:space="preserve">第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PAGE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12</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 共 </w:t>
                          </w:r>
                          <w:r>
                            <w:rPr>
                              <w:rFonts w:hint="eastAsia"/>
                              <w:b/>
                              <w:color w:val="FFFFFF" w:themeColor="background1"/>
                              <w:sz w:val="18"/>
                              <w:szCs w:val="18"/>
                              <w:lang w:eastAsia="zh-CN"/>
                              <w14:textFill>
                                <w14:solidFill>
                                  <w14:schemeClr w14:val="bg1"/>
                                </w14:solidFill>
                              </w14:textFill>
                            </w:rPr>
                            <w:fldChar w:fldCharType="begin"/>
                          </w:r>
                          <w:r>
                            <w:rPr>
                              <w:rFonts w:hint="eastAsia"/>
                              <w:b/>
                              <w:color w:val="FFFFFF" w:themeColor="background1"/>
                              <w:sz w:val="18"/>
                              <w:szCs w:val="18"/>
                              <w:lang w:eastAsia="zh-CN"/>
                              <w14:textFill>
                                <w14:solidFill>
                                  <w14:schemeClr w14:val="bg1"/>
                                </w14:solidFill>
                              </w14:textFill>
                            </w:rPr>
                            <w:instrText xml:space="preserve"> NUMPAGES  \* MERGEFORMAT </w:instrText>
                          </w:r>
                          <w:r>
                            <w:rPr>
                              <w:rFonts w:hint="eastAsia"/>
                              <w:b/>
                              <w:color w:val="FFFFFF" w:themeColor="background1"/>
                              <w:sz w:val="18"/>
                              <w:szCs w:val="18"/>
                              <w:lang w:eastAsia="zh-CN"/>
                              <w14:textFill>
                                <w14:solidFill>
                                  <w14:schemeClr w14:val="bg1"/>
                                </w14:solidFill>
                              </w14:textFill>
                            </w:rPr>
                            <w:fldChar w:fldCharType="separate"/>
                          </w:r>
                          <w:r>
                            <w:rPr>
                              <w:rFonts w:hint="eastAsia"/>
                              <w:b/>
                              <w:color w:val="FFFFFF" w:themeColor="background1"/>
                              <w:sz w:val="18"/>
                              <w:szCs w:val="18"/>
                              <w:lang w:eastAsia="zh-CN"/>
                              <w14:textFill>
                                <w14:solidFill>
                                  <w14:schemeClr w14:val="bg1"/>
                                </w14:solidFill>
                              </w14:textFill>
                            </w:rPr>
                            <w:t>16</w:t>
                          </w:r>
                          <w:r>
                            <w:rPr>
                              <w:rFonts w:hint="eastAsia"/>
                              <w:b/>
                              <w:color w:val="FFFFFF" w:themeColor="background1"/>
                              <w:sz w:val="18"/>
                              <w:szCs w:val="18"/>
                              <w:lang w:eastAsia="zh-CN"/>
                              <w14:textFill>
                                <w14:solidFill>
                                  <w14:schemeClr w14:val="bg1"/>
                                </w14:solidFill>
                              </w14:textFill>
                            </w:rPr>
                            <w:fldChar w:fldCharType="end"/>
                          </w:r>
                          <w:r>
                            <w:rPr>
                              <w:rFonts w:hint="eastAsia"/>
                              <w:b/>
                              <w:color w:val="FFFFFF" w:themeColor="background1"/>
                              <w:sz w:val="18"/>
                              <w:szCs w:val="18"/>
                              <w:lang w:eastAsia="zh-CN"/>
                              <w14:textFill>
                                <w14:solidFill>
                                  <w14:schemeClr w14:val="bg1"/>
                                </w14:solidFill>
                              </w14:textFill>
                            </w:rPr>
                            <w:t xml:space="preserve"> 页</w:t>
                          </w:r>
                        </w:p>
                      </w:txbxContent>
                    </wps:txbx>
                    <wps:bodyPr rot="0" spcFirstLastPara="0" vertOverflow="overflow" horzOverflow="overflow" vert="horz" wrap="non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87" o:spid="_x0000_s2071" type="#_x0000_t202" style="width:1in;height:24.9pt;margin-top:6.65pt;margin-left:415.6pt;mso-wrap-distance-bottom:0;mso-wrap-distance-left:9pt;mso-wrap-distance-right:9pt;mso-wrap-distance-top:0;mso-wrap-style:none;position:absolute;v-text-anchor:top;z-index:251705344" filled="f" fillcolor="this" stroked="f" strokeweight="0.5pt">
              <v:textbox>
                <w:txbxContent>
                  <w:p>
                    <w:pPr>
                      <w:rPr>
                        <w:rFonts w:hint="eastAsia"/>
                        <w:b/>
                        <w:color w:val="FFFFFF" w:themeColor="background1"/>
                        <w:sz w:val="18"/>
                        <w:szCs w:val="18"/>
                      </w:rPr>
                    </w:pPr>
                    <w:r>
                      <w:rPr>
                        <w:rFonts w:hint="eastAsia"/>
                        <w:b/>
                        <w:color w:val="FFFFFF" w:themeColor="background1"/>
                        <w:sz w:val="18"/>
                        <w:szCs w:val="18"/>
                        <w:lang w:eastAsia="zh-CN"/>
                      </w:rPr>
                      <w:t xml:space="preserve">第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PAGE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12</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 共 </w:t>
                    </w:r>
                    <w:r>
                      <w:rPr>
                        <w:rFonts w:hint="eastAsia"/>
                        <w:b/>
                        <w:color w:val="FFFFFF" w:themeColor="background1"/>
                        <w:sz w:val="18"/>
                        <w:szCs w:val="18"/>
                        <w:lang w:eastAsia="zh-CN"/>
                      </w:rPr>
                      <w:fldChar w:fldCharType="begin"/>
                    </w:r>
                    <w:r>
                      <w:rPr>
                        <w:rFonts w:hint="eastAsia"/>
                        <w:b/>
                        <w:color w:val="FFFFFF" w:themeColor="background1"/>
                        <w:sz w:val="18"/>
                        <w:szCs w:val="18"/>
                        <w:lang w:eastAsia="zh-CN"/>
                      </w:rPr>
                      <w:instrText xml:space="preserve"> NUMPAGES  \* MERGEFORMAT </w:instrText>
                    </w:r>
                    <w:r>
                      <w:rPr>
                        <w:rFonts w:hint="eastAsia"/>
                        <w:b/>
                        <w:color w:val="FFFFFF" w:themeColor="background1"/>
                        <w:sz w:val="18"/>
                        <w:szCs w:val="18"/>
                        <w:lang w:eastAsia="zh-CN"/>
                      </w:rPr>
                      <w:fldChar w:fldCharType="separate"/>
                    </w:r>
                    <w:r>
                      <w:rPr>
                        <w:rFonts w:hint="eastAsia"/>
                        <w:b/>
                        <w:color w:val="FFFFFF" w:themeColor="background1"/>
                        <w:sz w:val="18"/>
                        <w:szCs w:val="18"/>
                        <w:lang w:eastAsia="zh-CN"/>
                      </w:rPr>
                      <w:t>16</w:t>
                    </w:r>
                    <w:r>
                      <w:rPr>
                        <w:rFonts w:hint="eastAsia"/>
                        <w:b/>
                        <w:color w:val="FFFFFF" w:themeColor="background1"/>
                        <w:sz w:val="18"/>
                        <w:szCs w:val="18"/>
                        <w:lang w:eastAsia="zh-CN"/>
                      </w:rPr>
                      <w:fldChar w:fldCharType="end"/>
                    </w:r>
                    <w:r>
                      <w:rPr>
                        <w:rFonts w:hint="eastAsia"/>
                        <w:b/>
                        <w:color w:val="FFFFFF" w:themeColor="background1"/>
                        <w:sz w:val="18"/>
                        <w:szCs w:val="18"/>
                        <w:lang w:eastAsia="zh-CN"/>
                      </w:rPr>
                      <w:t xml:space="preserve"> 页</w:t>
                    </w:r>
                  </w:p>
                </w:txbxContent>
              </v:textbox>
            </v:shape>
          </w:pict>
        </mc:Fallback>
      </mc:AlternateContent>
    </w:r>
    <w:r>
      <w:rPr>
        <w:sz w:val="18"/>
      </w:rPr>
      <mc:AlternateContent>
        <mc:Choice Requires="wps">
          <w:drawing>
            <wp:anchor distT="0" distB="0" distL="114300" distR="114300" simplePos="0" relativeHeight="251704320" behindDoc="0" locked="0" layoutInCell="1" allowOverlap="1">
              <wp:simplePos x="0" y="0"/>
              <wp:positionH relativeFrom="column">
                <wp:posOffset>5186680</wp:posOffset>
              </wp:positionH>
              <wp:positionV relativeFrom="paragraph">
                <wp:posOffset>85725</wp:posOffset>
              </wp:positionV>
              <wp:extent cx="1577340" cy="231140"/>
              <wp:effectExtent l="10795" t="6350" r="12065" b="10160"/>
              <wp:wrapNone/>
              <wp:docPr id="783195313" name="平行四边形 53"/>
              <wp:cNvGraphicFramePr/>
              <a:graphic xmlns:a="http://schemas.openxmlformats.org/drawingml/2006/main">
                <a:graphicData uri="http://schemas.microsoft.com/office/word/2010/wordprocessingShape">
                  <wps:wsp xmlns:wps="http://schemas.microsoft.com/office/word/2010/wordprocessingShape">
                    <wps:cNvSpPr/>
                    <wps:spPr>
                      <a:xfrm>
                        <a:off x="0" y="0"/>
                        <a:ext cx="1577340" cy="231140"/>
                      </a:xfrm>
                      <a:prstGeom prst="parallelogram">
                        <a:avLst>
                          <a:gd name="adj" fmla="val 53523"/>
                        </a:avLst>
                      </a:prstGeom>
                      <a:solidFill>
                        <a:srgbClr val="0083F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边形 53" o:spid="_x0000_s2072" type="#_x0000_t7" style="width:124.2pt;height:18.2pt;margin-top:6.75pt;margin-left:408.4pt;mso-wrap-distance-bottom:0;mso-wrap-distance-left:9pt;mso-wrap-distance-right:9pt;mso-wrap-distance-top:0;position:absolute;v-text-anchor:middle;z-index:251703296" fillcolor="#0083ff" stroked="f" strokecolor="#41719c" strokeweight="1pt"/>
          </w:pict>
        </mc:Fallback>
      </mc:AlternateConten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ing2"/>
      <w:keepNext/>
      <w:keepLines/>
      <w:pageBreakBefore w:val="0"/>
      <w:widowControl w:val="0"/>
      <w:pBdr>
        <w:bottom w:val="none" w:sz="0" w:space="0" w:color="auto"/>
      </w:pBdr>
      <w:kinsoku/>
      <w:wordWrap w:val="0"/>
      <w:overflowPunct/>
      <w:topLinePunct w:val="0"/>
      <w:autoSpaceDE/>
      <w:autoSpaceDN/>
      <w:bidi w:val="0"/>
      <w:adjustRightInd/>
      <w:snapToGrid/>
      <w:spacing w:before="240" w:after="120" w:line="100" w:lineRule="atLeast"/>
      <w:jc w:val="right"/>
      <w:textAlignment w:val="auto"/>
      <w:rPr>
        <w:rFonts w:asciiTheme="minorEastAsia" w:eastAsiaTheme="minorEastAsia" w:hAnsiTheme="minorEastAsia" w:cstheme="minorEastAsia" w:hint="eastAsia"/>
        <w:color w:val="auto"/>
        <w:sz w:val="22"/>
        <w:szCs w:val="22"/>
        <w:lang w:val="en-US" w:eastAsia="zh-CN"/>
      </w:rPr>
    </w:pPr>
    <w:r>
      <w:rPr>
        <w:rFonts w:asciiTheme="minorEastAsia" w:eastAsiaTheme="minorEastAsia" w:hAnsiTheme="minorEastAsia" w:cstheme="minorEastAsia" w:hint="eastAsia"/>
        <w:color w:val="auto"/>
        <w:sz w:val="22"/>
        <w:szCs w:val="22"/>
        <w:lang w:val="en-US" w:eastAsia="zh-CN"/>
      </w:rPr>
      <w:t xml:space="preserve"> </w:t>
    </w:r>
  </w:p>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66ED0"/>
    <w:rsid w:val="00C663F4"/>
    <w:rsid w:val="02D34E2A"/>
    <w:rsid w:val="07732220"/>
    <w:rsid w:val="16692849"/>
    <w:rsid w:val="1A527943"/>
    <w:rsid w:val="1A5E2DDE"/>
    <w:rsid w:val="23DD03E3"/>
    <w:rsid w:val="2754306F"/>
    <w:rsid w:val="3B9F5BB7"/>
    <w:rsid w:val="3CA13B63"/>
    <w:rsid w:val="3FB757EE"/>
    <w:rsid w:val="40851511"/>
    <w:rsid w:val="457E1597"/>
    <w:rsid w:val="46EF77BB"/>
    <w:rsid w:val="48966ED0"/>
    <w:rsid w:val="4DE97767"/>
    <w:rsid w:val="5079545B"/>
    <w:rsid w:val="542D51A6"/>
    <w:rsid w:val="5E7A57E2"/>
    <w:rsid w:val="62BB3B65"/>
    <w:rsid w:val="71D24D09"/>
    <w:rsid w:val="7464753C"/>
    <w:rsid w:val="755730E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character" w:styleId="Hyperlink">
    <w:name w:val="Hyperlink"/>
    <w:basedOn w:val="DefaultParagraphFont"/>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yperlink" Target="https://d.book118.com/407122013123006051" TargetMode="Externa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PVer</dc:creator>
  <cp:lastModifiedBy>zhaoyanan</cp:lastModifiedBy>
  <cp:revision>1</cp:revision>
  <dcterms:created xsi:type="dcterms:W3CDTF">2018-11-30T09:01:00Z</dcterms:created>
  <dcterms:modified xsi:type="dcterms:W3CDTF">2019-05-28T07:56:56Z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