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5" w:line="221" w:lineRule="auto"/>
        <w:ind w:left="3279"/>
        <w:outlineLvl w:val="0"/>
        <w:rPr>
          <w:rFonts w:ascii="SimHei" w:eastAsia="SimHei" w:hAnsi="SimHei" w:cs="SimHei"/>
          <w:sz w:val="34"/>
          <w:szCs w:val="34"/>
        </w:rPr>
      </w:pPr>
      <w:r>
        <w:rPr>
          <w:rFonts w:ascii="SimHei" w:eastAsia="SimHei" w:hAnsi="SimHei" w:cs="SimHei"/>
          <w:b/>
          <w:bCs/>
          <w:spacing w:val="-4"/>
          <w:sz w:val="34"/>
          <w:szCs w:val="34"/>
        </w:rPr>
        <w:t>江西省“双通道”药品备案材料清单(2024年1月</w:t>
      </w:r>
      <w:r>
        <w:rPr>
          <w:rFonts w:ascii="SimHei" w:eastAsia="SimHei" w:hAnsi="SimHei" w:cs="SimHei"/>
          <w:b/>
          <w:bCs/>
          <w:spacing w:val="-5"/>
          <w:sz w:val="34"/>
          <w:szCs w:val="34"/>
        </w:rPr>
        <w:t>版)</w:t>
      </w:r>
    </w:p>
    <w:tbl>
      <w:tblPr>
        <w:tblStyle w:val="TableNormal"/>
        <w:tblW w:w="144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74"/>
        <w:gridCol w:w="1969"/>
        <w:gridCol w:w="5396"/>
        <w:gridCol w:w="580"/>
        <w:gridCol w:w="5941"/>
      </w:tblGrid>
      <w:tr>
        <w:tblPrEx>
          <w:tblW w:w="1446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64"/>
        </w:trPr>
        <w:tc>
          <w:tcPr>
            <w:tcW w:w="574" w:type="dxa"/>
            <w:vAlign w:val="top"/>
          </w:tcPr>
          <w:p>
            <w:pPr>
              <w:pStyle w:val="TableText"/>
              <w:spacing w:before="190" w:line="221" w:lineRule="auto"/>
              <w:ind w:left="97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190" w:line="220" w:lineRule="auto"/>
              <w:ind w:left="613"/>
            </w:pPr>
            <w:r>
              <w:rPr>
                <w:b/>
                <w:bCs/>
                <w:spacing w:val="-4"/>
              </w:rPr>
              <w:t>药品名称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90" w:line="221" w:lineRule="auto"/>
              <w:ind w:left="2534"/>
            </w:pPr>
            <w:r>
              <w:rPr>
                <w:b/>
                <w:bCs/>
                <w:spacing w:val="-5"/>
              </w:rPr>
              <w:t>备注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59" w:line="249" w:lineRule="auto"/>
              <w:ind w:left="108" w:right="110"/>
            </w:pPr>
            <w:r>
              <w:rPr>
                <w:b/>
                <w:bCs/>
                <w:spacing w:val="-7"/>
              </w:rPr>
              <w:t>分类</w:t>
            </w:r>
            <w:r>
              <w:t xml:space="preserve"> </w:t>
            </w:r>
            <w:r>
              <w:rPr>
                <w:b/>
                <w:bCs/>
                <w:spacing w:val="-8"/>
              </w:rPr>
              <w:t>结果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188" w:line="219" w:lineRule="auto"/>
              <w:ind w:left="2428"/>
            </w:pPr>
            <w:r>
              <w:rPr>
                <w:b/>
                <w:bCs/>
                <w:spacing w:val="-3"/>
              </w:rPr>
              <w:t>所需备案材料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49"/>
        </w:trPr>
        <w:tc>
          <w:tcPr>
            <w:tcW w:w="574" w:type="dxa"/>
            <w:vAlign w:val="top"/>
          </w:tcPr>
          <w:p>
            <w:pPr>
              <w:pStyle w:val="TableText"/>
              <w:spacing w:before="233" w:line="184" w:lineRule="auto"/>
              <w:ind w:left="234"/>
            </w:pPr>
            <w:r>
              <w:t>1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188" w:line="219" w:lineRule="auto"/>
              <w:ind w:left="610"/>
            </w:pPr>
            <w:r>
              <w:rPr>
                <w:spacing w:val="3"/>
              </w:rPr>
              <w:t>伊马替尼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233" w:line="184" w:lineRule="auto"/>
              <w:ind w:left="238"/>
            </w:pPr>
            <w:r>
              <w:rPr>
                <w:b/>
                <w:bCs/>
                <w:spacing w:val="-2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86" w:line="232" w:lineRule="auto"/>
              <w:ind w:left="94" w:right="344" w:hanging="9"/>
            </w:pPr>
            <w:r>
              <w:t>1.出院小结或疾病证明书原件；2.骨髓常规报告(胃肠间质瘤患者不需</w:t>
            </w:r>
            <w:r>
              <w:rPr>
                <w:spacing w:val="10"/>
              </w:rPr>
              <w:t xml:space="preserve"> </w:t>
            </w:r>
            <w:r>
              <w:t>要);3.染色体或融合基因报告(胃肠间质瘤患者不需要)。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39"/>
        </w:trPr>
        <w:tc>
          <w:tcPr>
            <w:tcW w:w="574" w:type="dxa"/>
            <w:vAlign w:val="top"/>
          </w:tcPr>
          <w:p>
            <w:pPr>
              <w:pStyle w:val="TableText"/>
              <w:spacing w:before="225" w:line="183" w:lineRule="auto"/>
              <w:ind w:left="234"/>
            </w:pPr>
            <w:r>
              <w:t>2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179" w:line="219" w:lineRule="auto"/>
              <w:ind w:left="160"/>
            </w:pPr>
            <w:r>
              <w:t>甲磺酸仑伐替尼胶囊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224" w:line="184" w:lineRule="auto"/>
              <w:ind w:left="238"/>
            </w:pPr>
            <w:r>
              <w:rPr>
                <w:b/>
                <w:bCs/>
                <w:spacing w:val="-2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68" w:line="236" w:lineRule="auto"/>
              <w:ind w:left="95" w:right="242"/>
            </w:pPr>
            <w:r>
              <w:t>1.出院小结或疾病证明书原件，并标明几线治疗；2.医生评估无手术指</w:t>
            </w:r>
            <w:r>
              <w:rPr>
                <w:spacing w:val="11"/>
              </w:rPr>
              <w:t xml:space="preserve"> </w:t>
            </w:r>
            <w:r>
              <w:t>征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69"/>
        </w:trPr>
        <w:tc>
          <w:tcPr>
            <w:tcW w:w="574" w:type="dxa"/>
            <w:vAlign w:val="top"/>
          </w:tcPr>
          <w:p>
            <w:pPr>
              <w:pStyle w:val="TableText"/>
              <w:spacing w:before="246" w:line="183" w:lineRule="auto"/>
              <w:ind w:left="234"/>
            </w:pPr>
            <w:r>
              <w:t>3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00" w:line="219" w:lineRule="auto"/>
              <w:ind w:left="610"/>
            </w:pPr>
            <w:r>
              <w:rPr>
                <w:spacing w:val="3"/>
              </w:rPr>
              <w:t>吉非替尼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245" w:line="184" w:lineRule="auto"/>
              <w:ind w:left="238"/>
            </w:pPr>
            <w:r>
              <w:rPr>
                <w:b/>
                <w:bCs/>
                <w:spacing w:val="-2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98" w:line="236" w:lineRule="auto"/>
              <w:ind w:left="94" w:right="208" w:hanging="9"/>
            </w:pPr>
            <w:r>
              <w:rPr>
                <w:spacing w:val="2"/>
              </w:rPr>
              <w:t>1.出院小结或疾病证明书原件，并标明几线治</w:t>
            </w:r>
            <w:r>
              <w:rPr>
                <w:spacing w:val="1"/>
              </w:rPr>
              <w:t>疗；2.基因检测报告；3.</w:t>
            </w:r>
            <w:r>
              <w:t xml:space="preserve"> </w:t>
            </w:r>
            <w:r>
              <w:t>病理报告；4.影像报告。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79"/>
        </w:trPr>
        <w:tc>
          <w:tcPr>
            <w:tcW w:w="574" w:type="dxa"/>
            <w:vAlign w:val="top"/>
          </w:tcPr>
          <w:p>
            <w:pPr>
              <w:pStyle w:val="TableText"/>
              <w:spacing w:before="247" w:line="183" w:lineRule="auto"/>
              <w:ind w:left="234"/>
            </w:pPr>
            <w:r>
              <w:t>4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01" w:line="219" w:lineRule="auto"/>
              <w:ind w:left="610"/>
            </w:pPr>
            <w:r>
              <w:rPr>
                <w:spacing w:val="1"/>
              </w:rPr>
              <w:t>阿比特龙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246" w:line="184" w:lineRule="auto"/>
              <w:ind w:left="238"/>
            </w:pPr>
            <w:r>
              <w:rPr>
                <w:b/>
                <w:bCs/>
                <w:spacing w:val="-2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100" w:line="237" w:lineRule="auto"/>
              <w:ind w:left="95" w:right="247"/>
            </w:pPr>
            <w:r>
              <w:t>1.出院小结或疾病证明书原件，并标明几线治疗；2.病理报告；3.影像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报告。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69"/>
        </w:trPr>
        <w:tc>
          <w:tcPr>
            <w:tcW w:w="574" w:type="dxa"/>
            <w:vAlign w:val="top"/>
          </w:tcPr>
          <w:p>
            <w:pPr>
              <w:pStyle w:val="TableText"/>
              <w:spacing w:before="249" w:line="182" w:lineRule="auto"/>
              <w:ind w:left="234"/>
            </w:pPr>
            <w:r>
              <w:t>5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02" w:line="220" w:lineRule="auto"/>
              <w:ind w:left="610"/>
            </w:pPr>
            <w:r>
              <w:rPr>
                <w:spacing w:val="3"/>
              </w:rPr>
              <w:t>索拉非尼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247" w:line="184" w:lineRule="auto"/>
              <w:ind w:left="235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91" w:line="237" w:lineRule="auto"/>
              <w:ind w:left="95" w:right="337"/>
            </w:pPr>
            <w:r>
              <w:t>1.出院小结或疾病证明书原件，并标明几线治疗；2.病理报告(肝细胞</w:t>
            </w:r>
            <w:r>
              <w:rPr>
                <w:spacing w:val="6"/>
              </w:rPr>
              <w:t xml:space="preserve"> </w:t>
            </w:r>
            <w:r>
              <w:t>癌不需要);3.影像报告。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39"/>
        </w:trPr>
        <w:tc>
          <w:tcPr>
            <w:tcW w:w="574" w:type="dxa"/>
            <w:vAlign w:val="top"/>
          </w:tcPr>
          <w:p>
            <w:pPr>
              <w:pStyle w:val="TableText"/>
              <w:spacing w:before="229" w:line="183" w:lineRule="auto"/>
              <w:ind w:left="234"/>
            </w:pPr>
            <w:r>
              <w:t>6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183" w:line="219" w:lineRule="auto"/>
              <w:ind w:left="610"/>
            </w:pPr>
            <w:r>
              <w:rPr>
                <w:spacing w:val="3"/>
              </w:rPr>
              <w:t>厄洛替尼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228" w:line="184" w:lineRule="auto"/>
              <w:ind w:left="235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92" w:line="224" w:lineRule="auto"/>
              <w:ind w:left="95" w:right="247"/>
            </w:pPr>
            <w:r>
              <w:t>1.出院小结或疾病证明书原件；2.基因检测报告；3.病理报告；4.影像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报告。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69"/>
        </w:trPr>
        <w:tc>
          <w:tcPr>
            <w:tcW w:w="574" w:type="dxa"/>
            <w:vAlign w:val="top"/>
          </w:tcPr>
          <w:p>
            <w:pPr>
              <w:pStyle w:val="TableText"/>
              <w:spacing w:before="251" w:line="182" w:lineRule="auto"/>
              <w:ind w:left="234"/>
            </w:pPr>
            <w:r>
              <w:t>7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04" w:line="219" w:lineRule="auto"/>
              <w:ind w:left="610"/>
            </w:pPr>
            <w:r>
              <w:rPr>
                <w:spacing w:val="3"/>
              </w:rPr>
              <w:t>阿法替尼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249" w:line="184" w:lineRule="auto"/>
              <w:ind w:left="235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102" w:line="234" w:lineRule="auto"/>
              <w:ind w:left="94" w:right="347" w:hanging="9"/>
            </w:pPr>
            <w:r>
              <w:t>1.出院小结或疾病证明书原件；2.基因检测报告(仅非鳞状非小细胞肺</w:t>
            </w:r>
            <w:r>
              <w:rPr>
                <w:spacing w:val="6"/>
              </w:rPr>
              <w:t xml:space="preserve"> </w:t>
            </w:r>
            <w:r>
              <w:t>癌提供);3.病理报告；4.影像报告。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340"/>
        </w:trPr>
        <w:tc>
          <w:tcPr>
            <w:tcW w:w="574" w:type="dxa"/>
            <w:vAlign w:val="top"/>
          </w:tcPr>
          <w:p>
            <w:pPr>
              <w:pStyle w:val="TableText"/>
              <w:spacing w:before="131" w:line="183" w:lineRule="auto"/>
              <w:ind w:left="234"/>
            </w:pPr>
            <w:r>
              <w:t>8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85" w:line="219" w:lineRule="auto"/>
              <w:ind w:left="610"/>
            </w:pPr>
            <w:r>
              <w:rPr>
                <w:spacing w:val="3"/>
              </w:rPr>
              <w:t>舒尼替尼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130" w:line="184" w:lineRule="auto"/>
              <w:ind w:left="235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83" w:line="218" w:lineRule="auto"/>
              <w:ind w:left="95"/>
            </w:pPr>
            <w:r>
              <w:t>1.出院小结或疾病证明书原件；2.病理报告；3.影像报告。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340"/>
        </w:trPr>
        <w:tc>
          <w:tcPr>
            <w:tcW w:w="574" w:type="dxa"/>
            <w:vAlign w:val="top"/>
          </w:tcPr>
          <w:p>
            <w:pPr>
              <w:pStyle w:val="TableText"/>
              <w:spacing w:before="131" w:line="183" w:lineRule="auto"/>
              <w:ind w:left="234"/>
            </w:pPr>
            <w:r>
              <w:t>9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85" w:line="220" w:lineRule="auto"/>
              <w:ind w:left="610"/>
            </w:pPr>
            <w:r>
              <w:rPr>
                <w:spacing w:val="-2"/>
              </w:rPr>
              <w:t>培美曲塞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130" w:line="184" w:lineRule="auto"/>
              <w:ind w:left="235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83" w:line="218" w:lineRule="auto"/>
              <w:ind w:left="95"/>
            </w:pPr>
            <w:r>
              <w:t>1.出院小结或疾病证明书原件；2.病理报告；3.影像报告。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310"/>
        </w:trPr>
        <w:tc>
          <w:tcPr>
            <w:tcW w:w="574" w:type="dxa"/>
            <w:vAlign w:val="top"/>
          </w:tcPr>
          <w:p>
            <w:pPr>
              <w:pStyle w:val="TableText"/>
              <w:spacing w:before="121" w:line="183" w:lineRule="auto"/>
              <w:ind w:left="184"/>
            </w:pPr>
            <w:r>
              <w:rPr>
                <w:spacing w:val="-6"/>
              </w:rPr>
              <w:t>10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75" w:line="219" w:lineRule="auto"/>
              <w:ind w:left="610"/>
            </w:pPr>
            <w:r>
              <w:rPr>
                <w:spacing w:val="-2"/>
              </w:rPr>
              <w:t>硼替佐米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120" w:line="184" w:lineRule="auto"/>
              <w:ind w:left="235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73" w:line="218" w:lineRule="auto"/>
              <w:ind w:left="95"/>
            </w:pPr>
            <w:r>
              <w:t>1.出院小结或疾病证明书原件；2.病理报告(或骨髓细胞学报告)。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340"/>
        </w:trPr>
        <w:tc>
          <w:tcPr>
            <w:tcW w:w="574" w:type="dxa"/>
            <w:vAlign w:val="top"/>
          </w:tcPr>
          <w:p>
            <w:pPr>
              <w:pStyle w:val="TableText"/>
              <w:spacing w:before="130" w:line="184" w:lineRule="auto"/>
              <w:ind w:left="184"/>
            </w:pPr>
            <w:r>
              <w:rPr>
                <w:spacing w:val="-6"/>
              </w:rPr>
              <w:t>11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86" w:line="220" w:lineRule="auto"/>
              <w:ind w:left="610"/>
            </w:pPr>
            <w:r>
              <w:rPr>
                <w:spacing w:val="2"/>
              </w:rPr>
              <w:t>阿扎胞苷</w:t>
            </w:r>
          </w:p>
        </w:tc>
        <w:tc>
          <w:tcPr>
            <w:tcW w:w="539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130" w:line="184" w:lineRule="auto"/>
              <w:ind w:left="235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83" w:line="218" w:lineRule="auto"/>
              <w:ind w:left="95"/>
            </w:pPr>
            <w:r>
              <w:t>1.出院小结或疾病证明书原件；2.病理报告(或骨髓细胞学报告)。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280"/>
        </w:trPr>
        <w:tc>
          <w:tcPr>
            <w:tcW w:w="574" w:type="dxa"/>
            <w:vAlign w:val="top"/>
          </w:tcPr>
          <w:p>
            <w:pPr>
              <w:pStyle w:val="TableText"/>
              <w:spacing w:before="101" w:line="173" w:lineRule="auto"/>
              <w:ind w:left="184"/>
            </w:pPr>
            <w:r>
              <w:rPr>
                <w:spacing w:val="-6"/>
              </w:rPr>
              <w:t>12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56" w:line="219" w:lineRule="auto"/>
              <w:ind w:left="160"/>
            </w:pPr>
            <w:r>
              <w:t>门冬氨酸鸟氨酸颗粒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55" w:line="219" w:lineRule="auto"/>
              <w:ind w:left="71"/>
            </w:pPr>
            <w:r>
              <w:t>限因急、慢性肝病如肝硬化、脂肪肝、肝炎所致的高血氨症。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103" w:line="171" w:lineRule="auto"/>
              <w:ind w:left="235"/>
            </w:pPr>
            <w: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54" w:line="219" w:lineRule="auto"/>
              <w:ind w:left="95"/>
            </w:pPr>
            <w:r>
              <w:t>1.出院小结或疾病证明书原件。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280"/>
        </w:trPr>
        <w:tc>
          <w:tcPr>
            <w:tcW w:w="574" w:type="dxa"/>
            <w:vAlign w:val="top"/>
          </w:tcPr>
          <w:p>
            <w:pPr>
              <w:pStyle w:val="TableText"/>
              <w:spacing w:before="101" w:line="173" w:lineRule="auto"/>
              <w:ind w:left="184"/>
            </w:pPr>
            <w:r>
              <w:rPr>
                <w:spacing w:val="-6"/>
              </w:rPr>
              <w:t>13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55" w:line="219" w:lineRule="auto"/>
              <w:ind w:left="430"/>
            </w:pPr>
            <w:r>
              <w:rPr>
                <w:spacing w:val="-2"/>
              </w:rPr>
              <w:t>利那洛肽胶囊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55" w:line="219" w:lineRule="auto"/>
              <w:ind w:left="71"/>
            </w:pPr>
            <w:r>
              <w:t>限成人便秘型肠易激综合征(IBS-C)。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103" w:line="171" w:lineRule="auto"/>
              <w:ind w:left="235"/>
            </w:pPr>
            <w: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54" w:line="219" w:lineRule="auto"/>
              <w:ind w:left="95"/>
            </w:pPr>
            <w:r>
              <w:t>1.出院小结或疾病证明书原件。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280"/>
        </w:trPr>
        <w:tc>
          <w:tcPr>
            <w:tcW w:w="574" w:type="dxa"/>
            <w:vAlign w:val="top"/>
          </w:tcPr>
          <w:p>
            <w:pPr>
              <w:pStyle w:val="TableText"/>
              <w:spacing w:before="101" w:line="173" w:lineRule="auto"/>
              <w:ind w:left="184"/>
            </w:pPr>
            <w:r>
              <w:rPr>
                <w:spacing w:val="-6"/>
              </w:rPr>
              <w:t>14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55" w:line="220" w:lineRule="auto"/>
              <w:ind w:left="340"/>
            </w:pPr>
            <w:r>
              <w:rPr>
                <w:spacing w:val="-2"/>
              </w:rPr>
              <w:t>艾塞那肽注射液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55" w:line="220" w:lineRule="auto"/>
              <w:ind w:left="71"/>
            </w:pPr>
            <w:r>
              <w:rPr>
                <w:spacing w:val="2"/>
              </w:rPr>
              <w:t>限2型糖尿病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103" w:line="171" w:lineRule="auto"/>
              <w:ind w:left="235"/>
            </w:pPr>
            <w: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54" w:line="219" w:lineRule="auto"/>
              <w:ind w:left="95"/>
            </w:pPr>
            <w:r>
              <w:t>1.出院小结或疾病证明书原件。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839"/>
        </w:trPr>
        <w:tc>
          <w:tcPr>
            <w:tcW w:w="574" w:type="dxa"/>
            <w:vAlign w:val="top"/>
          </w:tcPr>
          <w:p>
            <w:pPr>
              <w:pStyle w:val="TableText"/>
              <w:spacing w:before="260" w:line="184" w:lineRule="auto"/>
              <w:ind w:left="184"/>
            </w:pPr>
            <w:r>
              <w:rPr>
                <w:spacing w:val="-6"/>
              </w:rPr>
              <w:t>15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36" w:line="220" w:lineRule="auto"/>
              <w:ind w:left="340"/>
            </w:pPr>
            <w:r>
              <w:rPr>
                <w:spacing w:val="-1"/>
              </w:rPr>
              <w:t>利司那肽注射液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03" w:line="238" w:lineRule="auto"/>
              <w:ind w:left="71" w:right="447"/>
            </w:pPr>
            <w:r>
              <w:t>限二甲双胍等口服降糖药或胰岛素控制效果不佳的BMI≥25的</w:t>
            </w:r>
            <w:r>
              <w:rPr>
                <w:spacing w:val="6"/>
              </w:rPr>
              <w:t xml:space="preserve">  </w:t>
            </w:r>
            <w:r>
              <w:t>患者，首次处方时需由二级及以上医疗机构专科医师开具处方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262" w:line="182" w:lineRule="auto"/>
              <w:ind w:left="235"/>
            </w:pPr>
            <w: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224" w:line="219" w:lineRule="auto"/>
              <w:ind w:left="95"/>
            </w:pPr>
            <w:r>
              <w:t>1.出院小结或疾病证明书原件。</w:t>
            </w:r>
          </w:p>
        </w:tc>
      </w:tr>
    </w:tbl>
    <w:p>
      <w:pPr>
        <w:sectPr>
          <w:pgSz w:w="16840" w:h="11910"/>
          <w:pgMar w:top="1012" w:right="1314" w:bottom="0" w:left="1055" w:header="0" w:footer="0" w:gutter="0"/>
          <w:cols w:space="708"/>
        </w:sectPr>
      </w:pPr>
    </w:p>
    <w:tbl>
      <w:tblPr>
        <w:tblStyle w:val="TableNormal0"/>
        <w:tblW w:w="144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74"/>
        <w:gridCol w:w="1969"/>
        <w:gridCol w:w="5396"/>
        <w:gridCol w:w="580"/>
        <w:gridCol w:w="5941"/>
      </w:tblGrid>
      <w:tr>
        <w:tblPrEx>
          <w:tblW w:w="1446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439"/>
        </w:trPr>
        <w:tc>
          <w:tcPr>
            <w:tcW w:w="57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4" w:lineRule="auto"/>
              <w:ind w:left="184"/>
            </w:pPr>
            <w:r>
              <w:rPr>
                <w:spacing w:val="-6"/>
              </w:rPr>
              <w:t>16</w:t>
            </w:r>
          </w:p>
        </w:tc>
        <w:tc>
          <w:tcPr>
            <w:tcW w:w="1969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19" w:lineRule="auto"/>
              <w:ind w:left="250"/>
            </w:pPr>
            <w:r>
              <w:t>司美格鲁肽注射液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17" w:line="269" w:lineRule="auto"/>
              <w:ind w:left="31" w:right="194" w:firstLine="40"/>
            </w:pPr>
            <w:r>
              <w:t xml:space="preserve">限：1.成人2型糖尿病患者的血糖控制：在饮食控制和运动基础  </w:t>
            </w:r>
            <w:r>
              <w:rPr>
                <w:spacing w:val="1"/>
              </w:rPr>
              <w:t>上，接受二甲双胍和/或磺脲类药物治疗血糖仍控制不佳的成人2</w:t>
            </w:r>
            <w:r>
              <w:t xml:space="preserve">  </w:t>
            </w:r>
            <w:r>
              <w:rPr>
                <w:spacing w:val="1"/>
              </w:rPr>
              <w:t>型糖尿病患者；2.降低伴有心血管疾病的2型糖尿病成人患者的主</w:t>
            </w:r>
            <w:r>
              <w:t xml:space="preserve"> </w:t>
            </w:r>
            <w:r>
              <w:t>要心血管不良事件(心血管死亡、非致死性心</w:t>
            </w:r>
            <w:r>
              <w:rPr>
                <w:spacing w:val="-1"/>
              </w:rPr>
              <w:t>肌梗死或非致死性卒</w:t>
            </w:r>
            <w:r>
              <w:t xml:space="preserve"> </w:t>
            </w:r>
            <w:r>
              <w:rPr>
                <w:spacing w:val="7"/>
              </w:rPr>
              <w:t>中)风险。</w:t>
            </w:r>
          </w:p>
        </w:tc>
        <w:tc>
          <w:tcPr>
            <w:tcW w:w="58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2" w:lineRule="auto"/>
              <w:ind w:left="235"/>
            </w:pPr>
            <w:r>
              <w:t>B</w:t>
            </w:r>
          </w:p>
        </w:tc>
        <w:tc>
          <w:tcPr>
            <w:tcW w:w="5941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19" w:lineRule="auto"/>
              <w:ind w:left="95"/>
            </w:pPr>
            <w:r>
              <w:t>1.出院小结或疾病证明书原件。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280"/>
        </w:trPr>
        <w:tc>
          <w:tcPr>
            <w:tcW w:w="574" w:type="dxa"/>
            <w:vAlign w:val="top"/>
          </w:tcPr>
          <w:p>
            <w:pPr>
              <w:pStyle w:val="TableText"/>
              <w:spacing w:before="103" w:line="171" w:lineRule="auto"/>
              <w:ind w:left="184"/>
            </w:pPr>
            <w:r>
              <w:rPr>
                <w:spacing w:val="-6"/>
              </w:rPr>
              <w:t>17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56" w:line="219" w:lineRule="auto"/>
              <w:ind w:left="430"/>
            </w:pPr>
            <w:r>
              <w:rPr>
                <w:spacing w:val="-2"/>
              </w:rPr>
              <w:t>麦格司他胶囊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57" w:line="218" w:lineRule="auto"/>
              <w:ind w:left="71"/>
            </w:pPr>
            <w:r>
              <w:t>限C型尼曼匹克病患者。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102" w:line="172" w:lineRule="auto"/>
              <w:ind w:left="235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56" w:line="219" w:lineRule="auto"/>
              <w:ind w:left="95"/>
            </w:pPr>
            <w:r>
              <w:t>1.出院小结或疾病证明书原件。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94"/>
        </w:trPr>
        <w:tc>
          <w:tcPr>
            <w:tcW w:w="574" w:type="dxa"/>
            <w:vAlign w:val="top"/>
          </w:tcPr>
          <w:p>
            <w:pPr>
              <w:pStyle w:val="TableText"/>
              <w:spacing w:before="262" w:line="184" w:lineRule="auto"/>
              <w:ind w:left="184"/>
            </w:pPr>
            <w:r>
              <w:rPr>
                <w:spacing w:val="-6"/>
              </w:rPr>
              <w:t>18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17" w:line="219" w:lineRule="auto"/>
              <w:ind w:left="160"/>
            </w:pPr>
            <w:r>
              <w:rPr>
                <w:spacing w:val="-1"/>
              </w:rPr>
              <w:t>注射用维得利珠单抗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18" w:line="237" w:lineRule="auto"/>
              <w:ind w:left="71" w:right="271" w:hanging="10"/>
            </w:pPr>
            <w:r>
              <w:t>限中度至重度活动性溃疡性结肠炎的二线用药或中度至重度活动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性克罗恩病的二线用药。</w:t>
            </w:r>
          </w:p>
        </w:tc>
        <w:tc>
          <w:tcPr>
            <w:tcW w:w="580" w:type="dxa"/>
            <w:vAlign w:val="top"/>
          </w:tcPr>
          <w:p>
            <w:pPr>
              <w:pStyle w:val="TableText"/>
              <w:spacing w:before="262" w:line="184" w:lineRule="auto"/>
              <w:ind w:left="235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216" w:line="219" w:lineRule="auto"/>
              <w:ind w:left="95"/>
            </w:pPr>
            <w:r>
              <w:t>1.出院小结或疾病证明书原件，并标明几线治疗。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type w:val="nextPage"/>
          <w:pgSz w:w="16840" w:h="11910"/>
          <w:pgMar w:top="1012" w:right="1314" w:bottom="0" w:left="1055" w:header="0" w:footer="0" w:gutter="0"/>
          <w:pgNumType w:start="2"/>
          <w:cols w:space="708"/>
          <w:titlePg w:val="0"/>
        </w:sectPr>
      </w:pPr>
    </w:p>
    <w:p>
      <w:pPr>
        <w:spacing w:before="10"/>
      </w:pPr>
    </w:p>
    <w:tbl>
      <w:tblPr>
        <w:tblStyle w:val="TableNormal1"/>
        <w:tblW w:w="144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68"/>
        <w:gridCol w:w="5426"/>
        <w:gridCol w:w="550"/>
        <w:gridCol w:w="5984"/>
      </w:tblGrid>
      <w:tr>
        <w:tblPrEx>
          <w:tblW w:w="14473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884"/>
        </w:trPr>
        <w:tc>
          <w:tcPr>
            <w:tcW w:w="545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165"/>
              <w:rPr>
                <w:sz w:val="19"/>
                <w:szCs w:val="19"/>
              </w:rPr>
            </w:pPr>
            <w:r>
              <w:rPr>
                <w:spacing w:val="-6"/>
                <w:sz w:val="19"/>
                <w:szCs w:val="19"/>
              </w:rPr>
              <w:t>19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222" w:line="256" w:lineRule="auto"/>
              <w:ind w:left="880" w:right="29" w:hanging="86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阿加糖酶α注射用浓溶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液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02" w:line="250" w:lineRule="auto"/>
              <w:ind w:left="52" w:right="6" w:firstLine="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限法布雷病(α-半乳糖苷酶A缺乏症)患者的长期酶替代治疗，适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用于成人、儿童和青少年。尚未确定本品在0</w:t>
            </w:r>
            <w:r>
              <w:rPr>
                <w:sz w:val="19"/>
                <w:szCs w:val="19"/>
              </w:rPr>
              <w:t xml:space="preserve">-6岁儿童中的安全  </w:t>
            </w:r>
            <w:r>
              <w:rPr>
                <w:spacing w:val="-1"/>
                <w:sz w:val="19"/>
                <w:szCs w:val="19"/>
              </w:rPr>
              <w:t>性和有效性。</w:t>
            </w:r>
          </w:p>
        </w:tc>
        <w:tc>
          <w:tcPr>
            <w:tcW w:w="55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19" w:lineRule="auto"/>
              <w:ind w:left="76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37" w:line="183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20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89" w:line="219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司来帕格片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89" w:line="219" w:lineRule="auto"/>
              <w:ind w:left="5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限WHO功能分级Ⅱ级-Ⅲ级的肺动脉高压(WHO第</w:t>
            </w:r>
            <w:r>
              <w:rPr>
                <w:spacing w:val="-1"/>
                <w:sz w:val="19"/>
                <w:szCs w:val="19"/>
              </w:rPr>
              <w:t>1组)的患者。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236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87" w:line="229" w:lineRule="auto"/>
              <w:ind w:left="76" w:firstLine="4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1.出院小结或疾病证明书原件，并标明几线治疗；2.心脏彩超报告或右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心导管报告。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549"/>
        </w:trPr>
        <w:tc>
          <w:tcPr>
            <w:tcW w:w="545" w:type="dxa"/>
            <w:vAlign w:val="top"/>
          </w:tcPr>
          <w:p>
            <w:pPr>
              <w:pStyle w:val="TableText"/>
              <w:spacing w:before="227" w:line="184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21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78" w:line="219" w:lineRule="auto"/>
              <w:ind w:left="12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甲苯磺酸艾多沙班片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79" w:line="223" w:lineRule="auto"/>
              <w:ind w:left="52" w:right="4" w:firstLine="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限华法林治疗控制不良或出血高危的非瓣膜性房颤、深静脉血栓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、肺栓塞患者。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229" w:line="182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79" w:line="223" w:lineRule="auto"/>
              <w:ind w:left="76" w:firstLine="4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1.出院小结或疾病证明书原件，并标明几线治疗；2.心电图提示心房颤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动，肺动脉CTA或动静脉彩超提示血栓。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2078"/>
        </w:trPr>
        <w:tc>
          <w:tcPr>
            <w:tcW w:w="545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83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22</w:t>
            </w:r>
          </w:p>
        </w:tc>
        <w:tc>
          <w:tcPr>
            <w:tcW w:w="1968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46" w:lineRule="auto"/>
              <w:ind w:left="830" w:right="45" w:hanging="81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注射用重组人凝血因子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VIa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40" w:line="259" w:lineRule="auto"/>
              <w:ind w:left="52" w:right="3" w:firstLine="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限下列患者群体出血的治疗，以及外科手术或有创操作出血的防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治：1.凝血因子VⅢ或IX的抑制物&gt;5个Bethesda单位(BU)的先天</w:t>
            </w:r>
            <w:r>
              <w:rPr>
                <w:spacing w:val="8"/>
                <w:sz w:val="19"/>
                <w:szCs w:val="19"/>
              </w:rPr>
              <w:t xml:space="preserve">  </w:t>
            </w:r>
            <w:r>
              <w:rPr>
                <w:spacing w:val="-1"/>
                <w:sz w:val="19"/>
                <w:szCs w:val="19"/>
              </w:rPr>
              <w:t>性血友病患者；预计对注射凝血因子VⅢ或凝血因子IX,具有高</w:t>
            </w:r>
          </w:p>
          <w:p>
            <w:pPr>
              <w:pStyle w:val="TableText"/>
              <w:spacing w:before="70"/>
              <w:ind w:left="52" w:right="5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记忆应答的先天性血友病患者；2.获得性血友病</w:t>
            </w:r>
            <w:r>
              <w:rPr>
                <w:spacing w:val="-1"/>
                <w:sz w:val="19"/>
                <w:szCs w:val="19"/>
              </w:rPr>
              <w:t>患者；3.先天性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凝血因子VI(FVII)缺乏症患者；4.具有血小板膜糖蛋白I</w:t>
            </w:r>
            <w:r>
              <w:rPr>
                <w:spacing w:val="-1"/>
                <w:sz w:val="19"/>
                <w:szCs w:val="19"/>
              </w:rPr>
              <w:t>b-</w:t>
            </w:r>
          </w:p>
          <w:p>
            <w:pPr>
              <w:pStyle w:val="TableText"/>
              <w:spacing w:before="75" w:line="237" w:lineRule="auto"/>
              <w:ind w:left="52" w:right="2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Ⅲa(GPIIb -Ia)和/或人白细胞抗原(HLA)抗</w:t>
            </w:r>
            <w:r>
              <w:rPr>
                <w:spacing w:val="-1"/>
                <w:sz w:val="19"/>
                <w:szCs w:val="19"/>
              </w:rPr>
              <w:t>体和既往或现在对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血小板输注无效或不佳的血小板无力症患者。</w:t>
            </w:r>
          </w:p>
        </w:tc>
        <w:tc>
          <w:tcPr>
            <w:tcW w:w="55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7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1.出院小结或疾病证明书原件；2.凝血因子</w:t>
            </w:r>
            <w:r>
              <w:rPr>
                <w:spacing w:val="-1"/>
                <w:sz w:val="19"/>
                <w:szCs w:val="19"/>
              </w:rPr>
              <w:t>浓度测定。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41" w:line="183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23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93" w:line="219" w:lineRule="auto"/>
              <w:ind w:left="12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马来酸阿伐曲泊帕片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81" w:line="232" w:lineRule="auto"/>
              <w:ind w:left="52" w:right="4" w:firstLine="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限择期行诊断性操作或者手术的慢性肝病相关血小板减少症的成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年患者。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242" w:line="182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191" w:line="219" w:lineRule="auto"/>
              <w:ind w:left="7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1.出院小结或疾病证明书原件；2.血常规血</w:t>
            </w:r>
            <w:r>
              <w:rPr>
                <w:spacing w:val="-1"/>
                <w:sz w:val="19"/>
                <w:szCs w:val="19"/>
              </w:rPr>
              <w:t>小板减少。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280"/>
        </w:trPr>
        <w:tc>
          <w:tcPr>
            <w:tcW w:w="545" w:type="dxa"/>
            <w:vAlign w:val="top"/>
          </w:tcPr>
          <w:p>
            <w:pPr>
              <w:pStyle w:val="TableText"/>
              <w:spacing w:before="103" w:line="162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24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54" w:line="209" w:lineRule="auto"/>
              <w:ind w:left="40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人凝血因子IX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54" w:line="209" w:lineRule="auto"/>
              <w:ind w:left="5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限凝血因子IX缺乏症(B型血友病)患者的出血治</w:t>
            </w:r>
            <w:r>
              <w:rPr>
                <w:spacing w:val="-1"/>
                <w:sz w:val="19"/>
                <w:szCs w:val="19"/>
              </w:rPr>
              <w:t>疗。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101" w:line="16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52" w:line="211" w:lineRule="auto"/>
              <w:ind w:left="7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1.出院小结或疾病证明书原件；2.凝血因子</w:t>
            </w:r>
            <w:r>
              <w:rPr>
                <w:spacing w:val="-1"/>
                <w:sz w:val="19"/>
                <w:szCs w:val="19"/>
              </w:rPr>
              <w:t>浓度测定。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869"/>
        </w:trPr>
        <w:tc>
          <w:tcPr>
            <w:tcW w:w="545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25</w:t>
            </w:r>
          </w:p>
        </w:tc>
        <w:tc>
          <w:tcPr>
            <w:tcW w:w="196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艾曲泊帕乙醇胺片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02" w:line="245" w:lineRule="auto"/>
              <w:ind w:left="52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限：1.既往对糖皮质激素、免疫球蛋白等治疗反</w:t>
            </w:r>
            <w:r>
              <w:rPr>
                <w:spacing w:val="-4"/>
                <w:sz w:val="19"/>
                <w:szCs w:val="19"/>
              </w:rPr>
              <w:t>应不佳的成人和6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岁及以上儿童慢性免疫性(特发性)血小板减少症(ITP)患者；2.既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往对免疫抑制治疗缓解不充分的重型再生障碍性贫血(SAA)患者。</w:t>
            </w:r>
          </w:p>
        </w:tc>
        <w:tc>
          <w:tcPr>
            <w:tcW w:w="550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8" w:lineRule="auto"/>
              <w:ind w:right="1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1.出院小结或疾病证明书原件，并标明几线治疗；2.骨髓细胞</w:t>
            </w:r>
            <w:r>
              <w:rPr>
                <w:spacing w:val="-1"/>
                <w:sz w:val="19"/>
                <w:szCs w:val="19"/>
              </w:rPr>
              <w:t>学报告。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859"/>
        </w:trPr>
        <w:tc>
          <w:tcPr>
            <w:tcW w:w="545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26</w:t>
            </w:r>
          </w:p>
        </w:tc>
        <w:tc>
          <w:tcPr>
            <w:tcW w:w="196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海曲泊帕乙醇胺片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23" w:line="235" w:lineRule="auto"/>
              <w:ind w:left="52" w:firstLine="29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限：1.既往对糖皮质激素、免疫球蛋白等治疗反应不佳的慢性原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发免疫性血小板减少症(</w:t>
            </w:r>
            <w:r>
              <w:rPr>
                <w:sz w:val="19"/>
                <w:szCs w:val="19"/>
              </w:rPr>
              <w:t>ITP</w:t>
            </w:r>
            <w:r>
              <w:rPr>
                <w:spacing w:val="1"/>
                <w:sz w:val="19"/>
                <w:szCs w:val="19"/>
              </w:rPr>
              <w:t>)成人患者；2.对免疫抑制治疗(</w:t>
            </w:r>
            <w:r>
              <w:rPr>
                <w:sz w:val="19"/>
                <w:szCs w:val="19"/>
              </w:rPr>
              <w:t>IST</w:t>
            </w:r>
            <w:r>
              <w:rPr>
                <w:spacing w:val="1"/>
                <w:sz w:val="19"/>
                <w:szCs w:val="19"/>
              </w:rPr>
              <w:t>)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疗效不佳的重型再生障碍性贫血(SAA)成</w:t>
            </w:r>
            <w:r>
              <w:rPr>
                <w:spacing w:val="-1"/>
                <w:sz w:val="19"/>
                <w:szCs w:val="19"/>
              </w:rPr>
              <w:t>人患者。</w:t>
            </w:r>
          </w:p>
        </w:tc>
        <w:tc>
          <w:tcPr>
            <w:tcW w:w="550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223" w:line="245" w:lineRule="auto"/>
              <w:ind w:left="76" w:firstLine="2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1.出院小结或疾病证明书原件，并标明几线治疗；2.病理报告或骨髓图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片报告。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280"/>
        </w:trPr>
        <w:tc>
          <w:tcPr>
            <w:tcW w:w="545" w:type="dxa"/>
            <w:vAlign w:val="top"/>
          </w:tcPr>
          <w:p>
            <w:pPr>
              <w:pStyle w:val="TableText"/>
              <w:spacing w:before="105" w:line="160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27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55" w:line="208" w:lineRule="auto"/>
              <w:ind w:left="40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罗沙司他胶囊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55" w:line="208" w:lineRule="auto"/>
              <w:ind w:left="5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限慢性肾脏病(CKD)引起的贫血。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106" w:line="159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53" w:line="210" w:lineRule="auto"/>
              <w:ind w:left="7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1.出院小结或疾病证明书；2.近两周的血常规</w:t>
            </w:r>
            <w:r>
              <w:rPr>
                <w:spacing w:val="-1"/>
                <w:sz w:val="19"/>
                <w:szCs w:val="19"/>
              </w:rPr>
              <w:t>检验报告单。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44" w:line="183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28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96" w:line="220" w:lineRule="auto"/>
              <w:ind w:left="590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波生坦片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95" w:line="219" w:lineRule="auto"/>
              <w:ind w:left="5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限WHO功能分级Ⅱ级-IV级的肺动脉高压(WHO第1</w:t>
            </w:r>
            <w:r>
              <w:rPr>
                <w:spacing w:val="-1"/>
                <w:sz w:val="19"/>
                <w:szCs w:val="19"/>
              </w:rPr>
              <w:t>组)的患者。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243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93" w:line="226" w:lineRule="auto"/>
              <w:ind w:left="76" w:firstLine="2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1.出院小结或疾病证明书原件，并标明几线治疗；2.心脏彩超报告或右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心导管报告。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280"/>
        </w:trPr>
        <w:tc>
          <w:tcPr>
            <w:tcW w:w="545" w:type="dxa"/>
            <w:vAlign w:val="top"/>
          </w:tcPr>
          <w:p>
            <w:pPr>
              <w:pStyle w:val="TableText"/>
              <w:spacing w:before="105" w:line="160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29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56" w:line="207" w:lineRule="auto"/>
              <w:ind w:left="40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波生坦分散片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56" w:line="207" w:lineRule="auto"/>
              <w:ind w:left="52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限3-12岁特发性或先天性肺动脉高压患者。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104" w:line="161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55" w:line="208" w:lineRule="auto"/>
              <w:ind w:left="7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1.出院小结或疾病证明书原件；2.心脏</w:t>
            </w:r>
            <w:r>
              <w:rPr>
                <w:spacing w:val="-1"/>
                <w:sz w:val="19"/>
                <w:szCs w:val="19"/>
              </w:rPr>
              <w:t>彩超。</w:t>
            </w:r>
          </w:p>
        </w:tc>
      </w:tr>
    </w:tbl>
    <w:p>
      <w:pPr>
        <w:sectPr>
          <w:pgSz w:w="16840" w:h="11910"/>
          <w:pgMar w:top="1012" w:right="1281" w:bottom="0" w:left="1074" w:header="0" w:footer="0" w:gutter="0"/>
          <w:pgNumType w:start="3"/>
          <w:cols w:space="708"/>
        </w:sectPr>
      </w:pPr>
    </w:p>
    <w:tbl>
      <w:tblPr>
        <w:tblStyle w:val="TableNormal2"/>
        <w:tblW w:w="144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68"/>
        <w:gridCol w:w="5426"/>
        <w:gridCol w:w="550"/>
        <w:gridCol w:w="5984"/>
      </w:tblGrid>
      <w:tr>
        <w:tblPrEx>
          <w:tblW w:w="14473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859"/>
        </w:trPr>
        <w:tc>
          <w:tcPr>
            <w:tcW w:w="545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30</w:t>
            </w:r>
          </w:p>
        </w:tc>
        <w:tc>
          <w:tcPr>
            <w:tcW w:w="196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8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利奥西呱片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07" w:line="223" w:lineRule="auto"/>
              <w:ind w:left="62" w:right="72" w:firstLine="2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限：1.术后持续性或复发性慢性血栓栓塞性肺动脉高压(</w:t>
            </w:r>
            <w:r>
              <w:rPr>
                <w:sz w:val="19"/>
                <w:szCs w:val="19"/>
              </w:rPr>
              <w:t>CTEPH</w:t>
            </w:r>
            <w:r>
              <w:rPr>
                <w:spacing w:val="1"/>
                <w:sz w:val="19"/>
                <w:szCs w:val="19"/>
              </w:rPr>
              <w:t>)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或不能手术的CTEPH,且(WHO FC)为I-I</w:t>
            </w:r>
            <w:r>
              <w:rPr>
                <w:spacing w:val="-1"/>
                <w:sz w:val="19"/>
                <w:szCs w:val="19"/>
              </w:rPr>
              <w:t>Ⅲ的患者；2.动脉性肺</w:t>
            </w:r>
          </w:p>
          <w:p>
            <w:pPr>
              <w:pStyle w:val="TableText"/>
              <w:spacing w:before="79" w:line="197" w:lineRule="auto"/>
              <w:ind w:left="5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动脉高压(PAH)且(WHO FC)为I-Ⅲ患者的二线用药。</w:t>
            </w:r>
          </w:p>
        </w:tc>
        <w:tc>
          <w:tcPr>
            <w:tcW w:w="550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19" w:lineRule="auto"/>
              <w:ind w:left="7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1.出院小结或疾病证明书原件，并标明常规治</w:t>
            </w:r>
            <w:r>
              <w:rPr>
                <w:spacing w:val="-1"/>
                <w:sz w:val="19"/>
                <w:szCs w:val="19"/>
              </w:rPr>
              <w:t>疗效果不佳。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290"/>
        </w:trPr>
        <w:tc>
          <w:tcPr>
            <w:tcW w:w="545" w:type="dxa"/>
            <w:vAlign w:val="top"/>
          </w:tcPr>
          <w:p>
            <w:pPr>
              <w:pStyle w:val="TableText"/>
              <w:spacing w:before="106" w:line="169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31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58" w:line="215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马昔腾坦片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57" w:line="216" w:lineRule="auto"/>
              <w:ind w:left="5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限WHO功能分级Ⅱ级-Ⅲ级的肺动脉高压(WHO第</w:t>
            </w:r>
            <w:r>
              <w:rPr>
                <w:spacing w:val="-1"/>
                <w:sz w:val="19"/>
                <w:szCs w:val="19"/>
              </w:rPr>
              <w:t>1组)的患者。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105" w:line="170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56" w:line="217" w:lineRule="auto"/>
              <w:ind w:left="7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1.出院小结或疾病证明书原件，并标明几线治疗；2.心脏彩</w:t>
            </w:r>
            <w:r>
              <w:rPr>
                <w:spacing w:val="-1"/>
                <w:sz w:val="19"/>
                <w:szCs w:val="19"/>
              </w:rPr>
              <w:t>超。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305"/>
        </w:trPr>
        <w:tc>
          <w:tcPr>
            <w:tcW w:w="545" w:type="dxa"/>
            <w:vAlign w:val="top"/>
          </w:tcPr>
          <w:p>
            <w:pPr>
              <w:pStyle w:val="TableText"/>
              <w:spacing w:before="116" w:line="173" w:lineRule="auto"/>
              <w:ind w:left="16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32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67" w:line="219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阿齐沙坦片</w:t>
            </w:r>
          </w:p>
        </w:tc>
        <w:tc>
          <w:tcPr>
            <w:tcW w:w="542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117" w:line="172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84" w:type="dxa"/>
            <w:vAlign w:val="top"/>
          </w:tcPr>
          <w:p>
            <w:pPr>
              <w:pStyle w:val="TableText"/>
              <w:spacing w:before="66" w:line="219" w:lineRule="auto"/>
              <w:ind w:left="76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type w:val="nextPage"/>
          <w:pgSz w:w="16840" w:h="11910"/>
          <w:pgMar w:top="1012" w:right="1281" w:bottom="0" w:left="1074" w:header="0" w:footer="0" w:gutter="0"/>
          <w:pgNumType w:start="4"/>
          <w:cols w:space="708"/>
          <w:titlePg w:val="0"/>
        </w:sectPr>
      </w:pPr>
    </w:p>
    <w:p>
      <w:pPr>
        <w:spacing w:before="15"/>
      </w:pPr>
    </w:p>
    <w:tbl>
      <w:tblPr>
        <w:tblStyle w:val="TableNormal3"/>
        <w:tblW w:w="1445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89"/>
        <w:gridCol w:w="5396"/>
        <w:gridCol w:w="579"/>
        <w:gridCol w:w="5941"/>
      </w:tblGrid>
      <w:tr>
        <w:tblPrEx>
          <w:tblW w:w="1445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350"/>
        </w:trPr>
        <w:tc>
          <w:tcPr>
            <w:tcW w:w="54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264"/>
            </w:pPr>
            <w:r>
              <w:rPr>
                <w:spacing w:val="-3"/>
              </w:rPr>
              <w:t>33</w:t>
            </w:r>
          </w:p>
        </w:tc>
        <w:tc>
          <w:tcPr>
            <w:tcW w:w="198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219" w:lineRule="auto"/>
              <w:ind w:left="260"/>
            </w:pPr>
            <w:r>
              <w:rPr>
                <w:spacing w:val="-1"/>
              </w:rPr>
              <w:t>依洛尤单抗注射液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72" w:line="271" w:lineRule="auto"/>
              <w:ind w:left="50" w:right="287"/>
            </w:pPr>
            <w:r>
              <w:t>限：1.降低心血管事件的风险：在已有动脉粥样硬化性心血管疾</w:t>
            </w:r>
            <w:r>
              <w:rPr>
                <w:spacing w:val="6"/>
              </w:rPr>
              <w:t xml:space="preserve"> </w:t>
            </w:r>
            <w:r>
              <w:t>病的成人患者中，降低心肌梗死、卒中以及冠</w:t>
            </w:r>
            <w:r>
              <w:rPr>
                <w:spacing w:val="-1"/>
              </w:rPr>
              <w:t>脉血运重建的风险</w:t>
            </w:r>
            <w:r>
              <w:t xml:space="preserve"> </w:t>
            </w:r>
            <w:r>
              <w:rPr>
                <w:spacing w:val="-3"/>
              </w:rPr>
              <w:t>。通过：与最大耐受剂量的他汀类药物联合用药，伴随或不伴随</w:t>
            </w:r>
          </w:p>
          <w:p>
            <w:pPr>
              <w:pStyle w:val="TableText"/>
              <w:spacing w:before="77" w:line="219" w:lineRule="auto"/>
              <w:ind w:left="41"/>
            </w:pPr>
            <w:r>
              <w:t>其他降脂疗法，或者在他汀类药物不耐受或禁忌使用的患者中，</w:t>
            </w:r>
          </w:p>
          <w:p>
            <w:pPr>
              <w:pStyle w:val="TableText"/>
              <w:spacing w:before="76" w:line="219" w:lineRule="auto"/>
              <w:ind w:left="60"/>
            </w:pPr>
            <w:r>
              <w:t>单独用药或与其他降脂疗法联合用药；2.原</w:t>
            </w:r>
            <w:r>
              <w:rPr>
                <w:spacing w:val="-1"/>
              </w:rPr>
              <w:t>发性高胆固醇血症(包</w:t>
            </w:r>
          </w:p>
          <w:p>
            <w:pPr>
              <w:pStyle w:val="TableText"/>
              <w:spacing w:before="74" w:line="278" w:lineRule="auto"/>
              <w:ind w:left="41" w:right="184" w:hanging="20"/>
            </w:pPr>
            <w:r>
              <w:rPr>
                <w:spacing w:val="-1"/>
              </w:rPr>
              <w:t xml:space="preserve">括杂合子型家族性高胆固醇血症)和混合型血脂异常：可作为饮食 </w:t>
            </w:r>
            <w:r>
              <w:rPr>
                <w:spacing w:val="1"/>
              </w:rPr>
              <w:t>的辅助疗法，用于成人原发性高胆固醇血症(杂合子家族性和非家</w:t>
            </w:r>
            <w:r>
              <w:t xml:space="preserve"> </w:t>
            </w:r>
            <w:r>
              <w:t>族性)或混合型血脂异常患者的治疗，以降低低密度脂蛋白胆固醇</w:t>
            </w:r>
            <w:r>
              <w:rPr>
                <w:spacing w:val="12"/>
              </w:rPr>
              <w:t xml:space="preserve"> </w:t>
            </w:r>
            <w:r>
              <w:t>(LDL-C)水平：在接受最大耐受剂量的他汀类药物治疗仍无法达</w:t>
            </w:r>
          </w:p>
          <w:p>
            <w:pPr>
              <w:pStyle w:val="TableText"/>
              <w:spacing w:before="96" w:line="266" w:lineRule="auto"/>
              <w:ind w:left="21" w:right="286" w:firstLine="29"/>
            </w:pPr>
            <w:r>
              <w:rPr>
                <w:spacing w:val="-1"/>
              </w:rPr>
              <w:t>到LDL-C目标的患者中，与他汀类药物、或者与他汀类药物及其</w:t>
            </w:r>
            <w:r>
              <w:rPr>
                <w:spacing w:val="8"/>
              </w:rPr>
              <w:t xml:space="preserve">  </w:t>
            </w:r>
            <w:r>
              <w:rPr>
                <w:spacing w:val="1"/>
              </w:rPr>
              <w:t>他降脂疗法联合用药，或者在他汀类药物不耐受或禁忌使用的患</w:t>
            </w:r>
            <w:r>
              <w:rPr>
                <w:spacing w:val="9"/>
              </w:rPr>
              <w:t xml:space="preserve"> </w:t>
            </w:r>
            <w:r>
              <w:t>者</w:t>
            </w:r>
          </w:p>
          <w:p>
            <w:pPr>
              <w:pStyle w:val="TableText"/>
              <w:spacing w:before="93" w:line="219" w:lineRule="auto"/>
              <w:ind w:left="60"/>
            </w:pPr>
            <w:r>
              <w:t>中，单独用药或与其他降脂疗法联合用药；3.纯合子型家族性高</w:t>
            </w:r>
          </w:p>
          <w:p>
            <w:pPr>
              <w:pStyle w:val="TableText"/>
              <w:spacing w:before="88" w:line="280" w:lineRule="auto"/>
              <w:ind w:left="21" w:right="311" w:firstLine="20"/>
            </w:pPr>
            <w:r>
              <w:t>胆固醇血症：用于成人或12岁以上青少年的</w:t>
            </w:r>
            <w:r>
              <w:rPr>
                <w:spacing w:val="-1"/>
              </w:rPr>
              <w:t>纯合子型家族性高胆</w:t>
            </w:r>
            <w:r>
              <w:t xml:space="preserve"> </w:t>
            </w:r>
            <w:r>
              <w:rPr>
                <w:spacing w:val="3"/>
              </w:rPr>
              <w:t>固醇血症。可与饮食疗法和其他降低密度脂蛋白胆</w:t>
            </w:r>
            <w:r>
              <w:rPr>
                <w:spacing w:val="2"/>
              </w:rPr>
              <w:t>固醇(</w:t>
            </w:r>
            <w:r>
              <w:t>LDL</w:t>
            </w:r>
            <w:r>
              <w:rPr>
                <w:spacing w:val="2"/>
              </w:rPr>
              <w:t>-C)</w:t>
            </w:r>
            <w:r>
              <w:t xml:space="preserve"> </w:t>
            </w:r>
            <w:r>
              <w:rPr>
                <w:spacing w:val="2"/>
              </w:rPr>
              <w:t>治疗(例如他汀类药物、依折麦布、</w:t>
            </w:r>
            <w:r>
              <w:t>LDL</w:t>
            </w:r>
            <w:r>
              <w:rPr>
                <w:spacing w:val="2"/>
              </w:rPr>
              <w:t>分离术)合</w:t>
            </w:r>
            <w:r>
              <w:rPr>
                <w:spacing w:val="1"/>
              </w:rPr>
              <w:t>用，用于患有</w:t>
            </w:r>
            <w:r>
              <w:t xml:space="preserve"> </w:t>
            </w:r>
            <w:r>
              <w:t>纯合子型家族性高胆固醇血症(HoFH)且需要进一步降低LDL-C的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</w:rPr>
              <w:t>患者。</w:t>
            </w:r>
          </w:p>
        </w:tc>
        <w:tc>
          <w:tcPr>
            <w:tcW w:w="57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4" w:lineRule="auto"/>
              <w:ind w:left="234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219" w:lineRule="auto"/>
              <w:ind w:left="65"/>
            </w:pPr>
            <w:r>
              <w:t>1.出院小结或疾病证明书原件，并标明几线治疗。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510"/>
        </w:trPr>
        <w:tc>
          <w:tcPr>
            <w:tcW w:w="545" w:type="dxa"/>
            <w:vAlign w:val="top"/>
          </w:tcPr>
          <w:p>
            <w:pPr>
              <w:pStyle w:val="TableText"/>
              <w:spacing w:before="268" w:line="183" w:lineRule="auto"/>
              <w:ind w:left="264"/>
            </w:pPr>
            <w:r>
              <w:rPr>
                <w:spacing w:val="-3"/>
              </w:rPr>
              <w:t>34</w:t>
            </w:r>
          </w:p>
        </w:tc>
        <w:tc>
          <w:tcPr>
            <w:tcW w:w="1989" w:type="dxa"/>
            <w:vAlign w:val="top"/>
          </w:tcPr>
          <w:p>
            <w:pPr>
              <w:pStyle w:val="TableText"/>
              <w:spacing w:before="221" w:line="219" w:lineRule="auto"/>
              <w:ind w:left="440"/>
            </w:pPr>
            <w:r>
              <w:rPr>
                <w:spacing w:val="2"/>
              </w:rPr>
              <w:t>本维莫德乳膏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01" w:line="219" w:lineRule="auto"/>
              <w:ind w:left="60"/>
            </w:pPr>
            <w:r>
              <w:t>限轻中度稳定性寻常型银屑病患者的二线治疗，需按说明书用药</w:t>
            </w:r>
          </w:p>
        </w:tc>
        <w:tc>
          <w:tcPr>
            <w:tcW w:w="579" w:type="dxa"/>
            <w:vAlign w:val="top"/>
          </w:tcPr>
          <w:p>
            <w:pPr>
              <w:pStyle w:val="TableText"/>
              <w:spacing w:before="269" w:line="182" w:lineRule="auto"/>
              <w:ind w:left="234"/>
            </w:pPr>
            <w: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231" w:line="219" w:lineRule="auto"/>
              <w:ind w:left="65"/>
            </w:pPr>
            <w:r>
              <w:t>1.出院小结或疾病证明书原件，并标明几线治疗。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48" w:line="183" w:lineRule="auto"/>
              <w:ind w:left="264"/>
            </w:pPr>
            <w:r>
              <w:rPr>
                <w:spacing w:val="-3"/>
              </w:rPr>
              <w:t>35</w:t>
            </w:r>
          </w:p>
        </w:tc>
        <w:tc>
          <w:tcPr>
            <w:tcW w:w="1989" w:type="dxa"/>
            <w:vAlign w:val="top"/>
          </w:tcPr>
          <w:p>
            <w:pPr>
              <w:pStyle w:val="TableText"/>
              <w:spacing w:before="202" w:line="219" w:lineRule="auto"/>
              <w:ind w:left="169"/>
            </w:pPr>
            <w:r>
              <w:rPr>
                <w:spacing w:val="-1"/>
              </w:rPr>
              <w:t>度普利尤单抗注射液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90"/>
              <w:ind w:left="50" w:right="466"/>
            </w:pPr>
            <w:r>
              <w:t>限对传统治疗无效、有禁忌或不耐受的中重度特应性皮炎患者</w:t>
            </w:r>
            <w:r>
              <w:rPr>
                <w:spacing w:val="7"/>
              </w:rPr>
              <w:t xml:space="preserve"> </w:t>
            </w:r>
            <w:r>
              <w:t>需按说明书用药。</w:t>
            </w:r>
          </w:p>
        </w:tc>
        <w:tc>
          <w:tcPr>
            <w:tcW w:w="579" w:type="dxa"/>
            <w:vAlign w:val="top"/>
          </w:tcPr>
          <w:p>
            <w:pPr>
              <w:pStyle w:val="TableText"/>
              <w:spacing w:before="247" w:line="184" w:lineRule="auto"/>
              <w:ind w:left="234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201" w:line="219" w:lineRule="auto"/>
              <w:ind w:left="65"/>
            </w:pPr>
            <w:r>
              <w:t>1.出院小结或疾病证明书原件，并标明几线治疗。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280"/>
        </w:trPr>
        <w:tc>
          <w:tcPr>
            <w:tcW w:w="545" w:type="dxa"/>
            <w:vAlign w:val="top"/>
          </w:tcPr>
          <w:p>
            <w:pPr>
              <w:pStyle w:val="TableText"/>
              <w:spacing w:before="100" w:line="174" w:lineRule="auto"/>
              <w:ind w:left="264"/>
            </w:pPr>
            <w:r>
              <w:rPr>
                <w:spacing w:val="-3"/>
              </w:rPr>
              <w:t>36</w:t>
            </w:r>
          </w:p>
        </w:tc>
        <w:tc>
          <w:tcPr>
            <w:tcW w:w="1989" w:type="dxa"/>
            <w:vAlign w:val="top"/>
          </w:tcPr>
          <w:p>
            <w:pPr>
              <w:pStyle w:val="TableText"/>
              <w:spacing w:before="52" w:line="219" w:lineRule="auto"/>
              <w:ind w:left="440"/>
            </w:pPr>
            <w:r>
              <w:rPr>
                <w:spacing w:val="2"/>
              </w:rPr>
              <w:t>克立硼罗软膏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53" w:line="219" w:lineRule="auto"/>
              <w:ind w:left="60"/>
            </w:pPr>
            <w:r>
              <w:rPr>
                <w:spacing w:val="-1"/>
              </w:rPr>
              <w:t>限2岁及以上轻度至中度特应性皮炎患者。</w:t>
            </w:r>
          </w:p>
        </w:tc>
        <w:tc>
          <w:tcPr>
            <w:tcW w:w="579" w:type="dxa"/>
            <w:vAlign w:val="top"/>
          </w:tcPr>
          <w:p>
            <w:pPr>
              <w:pStyle w:val="TableText"/>
              <w:spacing w:before="101" w:line="173" w:lineRule="auto"/>
              <w:ind w:left="234"/>
            </w:pPr>
            <w: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52" w:line="219" w:lineRule="auto"/>
              <w:ind w:left="65"/>
            </w:pPr>
            <w:r>
              <w:t>1.出院小结或疾病证明书原件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859"/>
        </w:trPr>
        <w:tc>
          <w:tcPr>
            <w:tcW w:w="545" w:type="dxa"/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264"/>
            </w:pPr>
            <w:r>
              <w:rPr>
                <w:spacing w:val="-3"/>
              </w:rPr>
              <w:t>37</w:t>
            </w:r>
          </w:p>
        </w:tc>
        <w:tc>
          <w:tcPr>
            <w:tcW w:w="198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18" w:lineRule="auto"/>
              <w:ind w:left="79"/>
            </w:pPr>
            <w:r>
              <w:rPr>
                <w:spacing w:val="-1"/>
              </w:rPr>
              <w:t>注射用醋酸奥曲肽微球</w:t>
            </w:r>
          </w:p>
        </w:tc>
        <w:tc>
          <w:tcPr>
            <w:tcW w:w="539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219" w:lineRule="auto"/>
              <w:ind w:left="50"/>
            </w:pPr>
            <w:r>
              <w:t>限胃肠胰内分泌肿瘤、肢端肥大症，按说明书用药。</w:t>
            </w:r>
          </w:p>
        </w:tc>
        <w:tc>
          <w:tcPr>
            <w:tcW w:w="579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4" w:lineRule="auto"/>
              <w:ind w:left="234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132" w:line="245" w:lineRule="auto"/>
              <w:ind w:left="65" w:right="344" w:firstLine="20"/>
            </w:pPr>
            <w:r>
              <w:t>1.出院小结或疾病证明书原件；2.生长激素测定；3.垂体磁共振(胃肠</w:t>
            </w:r>
            <w:r>
              <w:rPr>
                <w:spacing w:val="9"/>
              </w:rPr>
              <w:t xml:space="preserve"> </w:t>
            </w:r>
            <w:r>
              <w:t>胰内分泌肿瘤患者仅要加病理报告，不需要生长激</w:t>
            </w:r>
            <w:r>
              <w:rPr>
                <w:spacing w:val="-1"/>
              </w:rPr>
              <w:t>素测定和垂体磁共</w:t>
            </w:r>
            <w:r>
              <w:t xml:space="preserve">  </w:t>
            </w:r>
            <w:r>
              <w:t>振)。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50" w:line="183" w:lineRule="auto"/>
              <w:ind w:left="264"/>
            </w:pPr>
            <w:r>
              <w:rPr>
                <w:spacing w:val="-3"/>
              </w:rPr>
              <w:t>38</w:t>
            </w:r>
          </w:p>
        </w:tc>
        <w:tc>
          <w:tcPr>
            <w:tcW w:w="1989" w:type="dxa"/>
            <w:vAlign w:val="top"/>
          </w:tcPr>
          <w:p>
            <w:pPr>
              <w:pStyle w:val="TableText"/>
              <w:spacing w:before="124" w:line="219" w:lineRule="auto"/>
              <w:ind w:left="79"/>
            </w:pPr>
            <w:r>
              <w:rPr>
                <w:spacing w:val="-1"/>
              </w:rPr>
              <w:t>醋酸兰瑞肽缓释注射液</w:t>
            </w:r>
          </w:p>
          <w:p>
            <w:pPr>
              <w:pStyle w:val="TableText"/>
              <w:spacing w:before="36" w:line="189" w:lineRule="auto"/>
              <w:ind w:left="620"/>
            </w:pPr>
            <w:r>
              <w:rPr>
                <w:spacing w:val="7"/>
              </w:rPr>
              <w:t>(预充式)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203" w:line="219" w:lineRule="auto"/>
              <w:ind w:left="60"/>
            </w:pPr>
            <w:r>
              <w:t>限肢端肥大症，按说明书用药。</w:t>
            </w:r>
          </w:p>
        </w:tc>
        <w:tc>
          <w:tcPr>
            <w:tcW w:w="579" w:type="dxa"/>
            <w:vAlign w:val="top"/>
          </w:tcPr>
          <w:p>
            <w:pPr>
              <w:pStyle w:val="TableText"/>
              <w:spacing w:before="249" w:line="184" w:lineRule="auto"/>
              <w:ind w:left="234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203" w:line="219" w:lineRule="auto"/>
              <w:ind w:left="65"/>
            </w:pPr>
            <w:r>
              <w:t>1.出院小结或疾病证明书原件；2.生长激素测定；3.垂体磁共振。</w:t>
            </w:r>
          </w:p>
        </w:tc>
      </w:tr>
    </w:tbl>
    <w:p>
      <w:pPr>
        <w:sectPr>
          <w:pgSz w:w="16840" w:h="11910"/>
          <w:pgMar w:top="1012" w:right="1314" w:bottom="0" w:left="1065" w:header="0" w:footer="0" w:gutter="0"/>
          <w:pgNumType w:start="5"/>
          <w:cols w:space="708"/>
        </w:sectPr>
      </w:pPr>
    </w:p>
    <w:tbl>
      <w:tblPr>
        <w:tblStyle w:val="TableNormal4"/>
        <w:tblW w:w="1445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89"/>
        <w:gridCol w:w="5396"/>
        <w:gridCol w:w="579"/>
        <w:gridCol w:w="5941"/>
      </w:tblGrid>
      <w:tr>
        <w:tblPrEx>
          <w:tblW w:w="1445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039"/>
        </w:trPr>
        <w:tc>
          <w:tcPr>
            <w:tcW w:w="545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264"/>
            </w:pPr>
            <w:r>
              <w:rPr>
                <w:spacing w:val="-3"/>
              </w:rPr>
              <w:t>39</w:t>
            </w:r>
          </w:p>
        </w:tc>
        <w:tc>
          <w:tcPr>
            <w:tcW w:w="1989" w:type="dxa"/>
            <w:vAlign w:val="top"/>
          </w:tcPr>
          <w:p>
            <w:pPr>
              <w:pStyle w:val="TableText"/>
              <w:spacing w:before="245" w:line="268" w:lineRule="auto"/>
              <w:ind w:left="349" w:right="236" w:hanging="130"/>
            </w:pPr>
            <w:r>
              <w:rPr>
                <w:spacing w:val="-1"/>
              </w:rPr>
              <w:t>注射用两性霉素B胆</w:t>
            </w:r>
            <w:r>
              <w:t xml:space="preserve"> </w:t>
            </w:r>
            <w:r>
              <w:rPr>
                <w:spacing w:val="1"/>
              </w:rPr>
              <w:t>固醇硫酸酯复合</w:t>
            </w:r>
            <w:r>
              <w:t xml:space="preserve">  </w:t>
            </w:r>
            <w:r>
              <w:t>物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15" w:line="242" w:lineRule="auto"/>
              <w:ind w:left="41" w:right="276" w:firstLine="19"/>
            </w:pPr>
            <w:r>
              <w:t>限患有深部真菌感染的患者；因肾损伤或药物毒性而不能使用有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效剂量的两性霉素B的患者，或已经接受过两性霉素B治疗无效</w:t>
            </w:r>
          </w:p>
          <w:p>
            <w:pPr>
              <w:pStyle w:val="TableText"/>
              <w:spacing w:before="67" w:line="219" w:lineRule="auto"/>
              <w:ind w:left="30"/>
            </w:pPr>
            <w:r>
              <w:rPr>
                <w:spacing w:val="-1"/>
              </w:rPr>
              <w:t>的患者均可使用。</w:t>
            </w:r>
          </w:p>
        </w:tc>
        <w:tc>
          <w:tcPr>
            <w:tcW w:w="579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4" w:lineRule="auto"/>
              <w:ind w:left="234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244" w:line="247" w:lineRule="auto"/>
              <w:ind w:left="65" w:right="250" w:firstLine="20"/>
            </w:pPr>
            <w:r>
              <w:t>1.出院小结或疾病证明书原件，并标明几线治疗；2.药敏报告或者病原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菌NGS报告。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854"/>
        </w:trPr>
        <w:tc>
          <w:tcPr>
            <w:tcW w:w="545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3" w:lineRule="auto"/>
              <w:ind w:left="264"/>
            </w:pPr>
            <w:r>
              <w:rPr>
                <w:spacing w:val="-2"/>
              </w:rPr>
              <w:t>40</w:t>
            </w:r>
          </w:p>
        </w:tc>
        <w:tc>
          <w:tcPr>
            <w:tcW w:w="1989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8" w:line="219" w:lineRule="auto"/>
              <w:ind w:left="169"/>
            </w:pPr>
            <w:r>
              <w:rPr>
                <w:spacing w:val="-2"/>
              </w:rPr>
              <w:t>泊沙康唑口服混悬液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15" w:line="249" w:lineRule="auto"/>
              <w:ind w:left="60" w:right="276"/>
              <w:jc w:val="both"/>
            </w:pPr>
            <w:r>
              <w:t>限：1.预防移植后(干细胞及实体器官移植)及恶性肿瘤患者有重</w:t>
            </w:r>
            <w:r>
              <w:rPr>
                <w:spacing w:val="7"/>
              </w:rPr>
              <w:t xml:space="preserve"> </w:t>
            </w:r>
            <w:r>
              <w:t>度粒细胞缺乏的侵袭性曲霉菌和念球菌感染；2</w:t>
            </w:r>
            <w:r>
              <w:rPr>
                <w:spacing w:val="-1"/>
              </w:rPr>
              <w:t>.伊曲康唑或氟康</w:t>
            </w:r>
            <w:r>
              <w:t xml:space="preserve"> </w:t>
            </w:r>
            <w:r>
              <w:t>唑难治性口咽念珠菌病；3.接合菌纲类感染。</w:t>
            </w:r>
          </w:p>
        </w:tc>
        <w:tc>
          <w:tcPr>
            <w:tcW w:w="579" w:type="dxa"/>
            <w:vAlign w:val="top"/>
          </w:tcPr>
          <w:p>
            <w:pPr>
              <w:spacing w:line="44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4" w:lineRule="auto"/>
              <w:ind w:left="234"/>
            </w:pPr>
            <w: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114" w:line="218" w:lineRule="auto"/>
              <w:ind w:left="65"/>
            </w:pPr>
            <w:r>
              <w:t>1.出院小结或疾病证明书原件；2.血常规；3.病源学报告(预防用药</w:t>
            </w:r>
          </w:p>
          <w:p>
            <w:pPr>
              <w:pStyle w:val="TableText"/>
              <w:spacing w:before="77" w:line="243" w:lineRule="exact"/>
              <w:ind w:left="65"/>
            </w:pPr>
            <w:r>
              <w:rPr>
                <w:position w:val="4"/>
              </w:rPr>
              <w:t>时，无需病源学报告);4.骨穿报告；5.病理报告(血液患者</w:t>
            </w:r>
          </w:p>
          <w:p>
            <w:pPr>
              <w:pStyle w:val="TableText"/>
              <w:spacing w:line="201" w:lineRule="auto"/>
              <w:ind w:left="65"/>
            </w:pPr>
            <w:r>
              <w:rPr>
                <w:spacing w:val="20"/>
                <w:w w:val="109"/>
              </w:rPr>
              <w:t>1+2+3+4)(肿瘤患者1+2+3+5)。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type w:val="nextPage"/>
          <w:pgSz w:w="16840" w:h="11910"/>
          <w:pgMar w:top="1012" w:right="1314" w:bottom="0" w:left="1065" w:header="0" w:footer="0" w:gutter="0"/>
          <w:pgNumType w:start="6"/>
          <w:cols w:space="708"/>
          <w:titlePg w:val="0"/>
        </w:sectPr>
      </w:pPr>
    </w:p>
    <w:tbl>
      <w:tblPr>
        <w:tblStyle w:val="TableNormal5"/>
        <w:tblW w:w="144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55"/>
        <w:gridCol w:w="1989"/>
        <w:gridCol w:w="5396"/>
        <w:gridCol w:w="579"/>
        <w:gridCol w:w="5941"/>
      </w:tblGrid>
      <w:tr>
        <w:tblPrEx>
          <w:tblW w:w="1446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50"/>
        </w:trPr>
        <w:tc>
          <w:tcPr>
            <w:tcW w:w="555" w:type="dxa"/>
            <w:vAlign w:val="top"/>
          </w:tcPr>
          <w:p>
            <w:pPr>
              <w:pStyle w:val="TableText"/>
              <w:spacing w:before="281" w:line="158" w:lineRule="exact"/>
              <w:ind w:left="175"/>
              <w:rPr>
                <w:sz w:val="19"/>
                <w:szCs w:val="19"/>
              </w:rPr>
            </w:pPr>
            <w:r>
              <w:rPr>
                <w:spacing w:val="-2"/>
                <w:position w:val="-2"/>
                <w:sz w:val="19"/>
                <w:szCs w:val="19"/>
              </w:rPr>
              <w:t>41</w:t>
            </w:r>
          </w:p>
        </w:tc>
        <w:tc>
          <w:tcPr>
            <w:tcW w:w="1989" w:type="dxa"/>
            <w:vAlign w:val="top"/>
          </w:tcPr>
          <w:p>
            <w:pPr>
              <w:pStyle w:val="TableText"/>
              <w:spacing w:before="233" w:line="201" w:lineRule="auto"/>
              <w:ind w:left="51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德拉马尼片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233" w:line="201" w:lineRule="auto"/>
              <w:ind w:left="6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限耐多药结核患者。</w:t>
            </w:r>
          </w:p>
        </w:tc>
        <w:tc>
          <w:tcPr>
            <w:tcW w:w="579" w:type="dxa"/>
            <w:vAlign w:val="top"/>
          </w:tcPr>
          <w:p>
            <w:pPr>
              <w:pStyle w:val="TableText"/>
              <w:spacing w:before="273" w:line="162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232" w:line="202" w:lineRule="auto"/>
              <w:jc w:val="right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1.出院小结或疾病证明书原件，并标明几线治疗；2.结核菌药敏实验。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89"/>
        </w:trPr>
        <w:tc>
          <w:tcPr>
            <w:tcW w:w="555" w:type="dxa"/>
            <w:vAlign w:val="top"/>
          </w:tcPr>
          <w:p>
            <w:pPr>
              <w:pStyle w:val="TableText"/>
              <w:spacing w:before="251" w:line="183" w:lineRule="auto"/>
              <w:ind w:left="17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42</w:t>
            </w:r>
          </w:p>
        </w:tc>
        <w:tc>
          <w:tcPr>
            <w:tcW w:w="1989" w:type="dxa"/>
            <w:vAlign w:val="top"/>
          </w:tcPr>
          <w:p>
            <w:pPr>
              <w:pStyle w:val="TableText"/>
              <w:spacing w:before="202" w:line="219" w:lineRule="auto"/>
              <w:ind w:left="32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艾米替诺福韦片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203" w:line="220" w:lineRule="auto"/>
              <w:ind w:left="6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限慢性乙型肝炎成人患者。</w:t>
            </w:r>
          </w:p>
        </w:tc>
        <w:tc>
          <w:tcPr>
            <w:tcW w:w="579" w:type="dxa"/>
            <w:vAlign w:val="top"/>
          </w:tcPr>
          <w:p>
            <w:pPr>
              <w:pStyle w:val="TableText"/>
              <w:spacing w:before="252" w:line="182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111" w:line="227" w:lineRule="auto"/>
              <w:ind w:left="55" w:right="35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1.出院小结或疾病证明书原件；2.乙肝五项，HBV-DNA化验单(既往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接受过抗乙肝病毒药物治疗的患者无需提供</w:t>
            </w:r>
            <w:r>
              <w:rPr>
                <w:spacing w:val="-1"/>
                <w:sz w:val="19"/>
                <w:szCs w:val="19"/>
              </w:rPr>
              <w:t>)。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pgSz w:w="16840" w:h="11910"/>
          <w:pgMar w:top="1004" w:right="1304" w:bottom="0" w:left="1065" w:header="0" w:footer="0" w:gutter="0"/>
          <w:pgNumType w:start="7"/>
          <w:cols w:space="708"/>
        </w:sectPr>
      </w:pPr>
    </w:p>
    <w:p>
      <w:pPr>
        <w:spacing w:before="15"/>
      </w:pPr>
    </w:p>
    <w:tbl>
      <w:tblPr>
        <w:tblStyle w:val="TableNormal6"/>
        <w:tblW w:w="1445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68"/>
        <w:gridCol w:w="5416"/>
        <w:gridCol w:w="560"/>
        <w:gridCol w:w="5961"/>
      </w:tblGrid>
      <w:tr>
        <w:tblPrEx>
          <w:tblW w:w="1445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65"/>
        </w:trPr>
        <w:tc>
          <w:tcPr>
            <w:tcW w:w="545" w:type="dxa"/>
            <w:vAlign w:val="top"/>
          </w:tcPr>
          <w:p>
            <w:pPr>
              <w:pStyle w:val="TableText"/>
              <w:spacing w:before="241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43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92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恩替卡韦口服溶液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91" w:line="225" w:lineRule="auto"/>
              <w:ind w:left="80" w:right="100" w:hanging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限慢性乙型肝炎成人患者或2岁至&lt;18岁慢性HBV感染代偿性肝病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的核苷初治儿童患者。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42" w:line="182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91" w:line="219" w:lineRule="auto"/>
              <w:ind w:left="8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1.出院小结或疾病证明书原件；2.乙肝五项，HBV-DNA化验单。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280"/>
        </w:trPr>
        <w:tc>
          <w:tcPr>
            <w:tcW w:w="545" w:type="dxa"/>
            <w:vAlign w:val="top"/>
          </w:tcPr>
          <w:p>
            <w:pPr>
              <w:pStyle w:val="TableText"/>
              <w:spacing w:before="97" w:line="168" w:lineRule="auto"/>
              <w:ind w:left="25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44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46" w:line="217" w:lineRule="auto"/>
              <w:ind w:left="12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来迪派韦索磷布韦片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46" w:line="217" w:lineRule="auto"/>
              <w:ind w:left="8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限成人和12至&lt;18岁青少年的慢性丙型肝炎病毒(H</w:t>
            </w:r>
            <w:r>
              <w:rPr>
                <w:spacing w:val="-1"/>
                <w:sz w:val="19"/>
                <w:szCs w:val="19"/>
              </w:rPr>
              <w:t>CV)感染。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98" w:line="167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46" w:line="217" w:lineRule="auto"/>
              <w:ind w:left="8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290"/>
        </w:trPr>
        <w:tc>
          <w:tcPr>
            <w:tcW w:w="545" w:type="dxa"/>
            <w:vAlign w:val="top"/>
          </w:tcPr>
          <w:p>
            <w:pPr>
              <w:pStyle w:val="TableText"/>
              <w:spacing w:before="96" w:line="178" w:lineRule="auto"/>
              <w:ind w:left="25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45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87" w:line="187" w:lineRule="auto"/>
              <w:ind w:left="12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索磷布韦维帕他韦片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87" w:line="187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限成人慢性丙型肝炎病毒(HCV)感染。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97" w:line="177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87" w:line="187" w:lineRule="auto"/>
              <w:ind w:left="8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280"/>
        </w:trPr>
        <w:tc>
          <w:tcPr>
            <w:tcW w:w="545" w:type="dxa"/>
            <w:vAlign w:val="top"/>
          </w:tcPr>
          <w:p>
            <w:pPr>
              <w:pStyle w:val="TableText"/>
              <w:spacing w:before="97" w:line="168" w:lineRule="auto"/>
              <w:ind w:left="25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46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47" w:line="216" w:lineRule="auto"/>
              <w:ind w:left="20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盐酸可洛派韦胶囊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48" w:line="215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限基因1、2、3、6型成人慢性丙型肝炎。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95" w:line="170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46" w:line="217" w:lineRule="auto"/>
              <w:ind w:left="8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1.出院小结或疾病证明书原件；2.丙肝基</w:t>
            </w:r>
            <w:r>
              <w:rPr>
                <w:spacing w:val="-1"/>
                <w:sz w:val="19"/>
                <w:szCs w:val="19"/>
              </w:rPr>
              <w:t>因分型。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36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47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86" w:line="219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索磷维伏片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97" w:line="224" w:lineRule="auto"/>
              <w:ind w:left="81" w:right="9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限既往接受过含直接抗病毒药物(DAA)方案、无肝硬化或伴代偿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性肝硬化(Child-Pugh A)的成人慢性丙型肝炎病毒(HCV)感染。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35" w:line="184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97" w:line="224" w:lineRule="auto"/>
              <w:ind w:left="85" w:right="6" w:hanging="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1.出院小结或疾病证明书原件，并标明几线治疗；2.抗病毒药物治疗病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史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37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48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88" w:line="219" w:lineRule="auto"/>
              <w:ind w:left="3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达诺瑞韦钠片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97" w:line="224" w:lineRule="auto"/>
              <w:ind w:left="81" w:right="18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限与盐酸拉维达韦片等联合用于治疗初治的非肝硬化的基因1b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型慢性丙型肝炎成人患者。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38" w:line="182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87" w:line="219" w:lineRule="auto"/>
              <w:ind w:left="8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1.出院小结或疾病证明书原件，并标明几线治疗；2.丙肝基</w:t>
            </w:r>
            <w:r>
              <w:rPr>
                <w:spacing w:val="-1"/>
                <w:sz w:val="19"/>
                <w:szCs w:val="19"/>
              </w:rPr>
              <w:t>因分型。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280"/>
        </w:trPr>
        <w:tc>
          <w:tcPr>
            <w:tcW w:w="545" w:type="dxa"/>
            <w:vAlign w:val="top"/>
          </w:tcPr>
          <w:p>
            <w:pPr>
              <w:pStyle w:val="TableText"/>
              <w:spacing w:before="99" w:line="166" w:lineRule="auto"/>
              <w:ind w:left="25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49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49" w:line="214" w:lineRule="auto"/>
              <w:ind w:left="310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盐酸拉维达韦片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49" w:line="214" w:lineRule="auto"/>
              <w:ind w:right="9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限初治的基因1b型慢性丙型肝炎病毒感染的非肝硬</w:t>
            </w:r>
            <w:r>
              <w:rPr>
                <w:spacing w:val="-1"/>
                <w:sz w:val="19"/>
                <w:szCs w:val="19"/>
              </w:rPr>
              <w:t>化成人患者。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97" w:line="168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48" w:line="215" w:lineRule="auto"/>
              <w:ind w:left="8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1.出院小结或疾病证明书原件，并标明几线治疗；2.丙肝基</w:t>
            </w:r>
            <w:r>
              <w:rPr>
                <w:spacing w:val="-1"/>
                <w:sz w:val="19"/>
                <w:szCs w:val="19"/>
              </w:rPr>
              <w:t>因分型。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38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50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88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磷酸依米他韦胶囊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89" w:line="228" w:lineRule="auto"/>
              <w:ind w:left="81" w:right="9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限与索磷布韦片联合，用于治疗成人基因1型非肝硬化慢性丙型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肝炎。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37" w:line="184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88" w:line="219" w:lineRule="auto"/>
              <w:ind w:left="8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1.出院小结或疾病证明书原件，并标明几线治疗；2.丙肝基</w:t>
            </w:r>
            <w:r>
              <w:rPr>
                <w:spacing w:val="-1"/>
                <w:sz w:val="19"/>
                <w:szCs w:val="19"/>
              </w:rPr>
              <w:t>因分型。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779"/>
        </w:trPr>
        <w:tc>
          <w:tcPr>
            <w:tcW w:w="545" w:type="dxa"/>
            <w:vAlign w:val="top"/>
          </w:tcPr>
          <w:p>
            <w:pPr>
              <w:pStyle w:val="TableText"/>
              <w:spacing w:before="258" w:line="184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51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220" w:line="219" w:lineRule="auto"/>
              <w:ind w:left="3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艾考恩丙替片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210" w:line="219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限艾滋病病毒感染。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60" w:line="182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99" w:line="252" w:lineRule="auto"/>
              <w:ind w:left="85" w:right="1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1.出院小结或疾病证明书原件；2.HIV确诊试验结果或HIV-RNA检查结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果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799"/>
        </w:trPr>
        <w:tc>
          <w:tcPr>
            <w:tcW w:w="545" w:type="dxa"/>
            <w:vAlign w:val="top"/>
          </w:tcPr>
          <w:p>
            <w:pPr>
              <w:pStyle w:val="TableText"/>
              <w:spacing w:before="270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52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11" w:line="227" w:lineRule="auto"/>
              <w:ind w:left="779" w:right="46" w:hanging="75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奈韦拉平齐多拉米双夫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定片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231" w:line="219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限艾滋病病毒感染。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81" w:line="182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20" w:line="247" w:lineRule="auto"/>
              <w:ind w:left="85" w:right="1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1.出院小结或疾病证明书原件；2.HIV确诊试验结果或HIV-RNA检查结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果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809"/>
        </w:trPr>
        <w:tc>
          <w:tcPr>
            <w:tcW w:w="545" w:type="dxa"/>
            <w:vAlign w:val="top"/>
          </w:tcPr>
          <w:p>
            <w:pPr>
              <w:pStyle w:val="TableText"/>
              <w:spacing w:before="271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53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232" w:line="219" w:lineRule="auto"/>
              <w:ind w:left="31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注射用艾博韦泰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232" w:line="219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限艾滋病病毒感染。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72" w:line="182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21" w:line="252" w:lineRule="auto"/>
              <w:ind w:left="85" w:right="164" w:hanging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1.出院小结或疾病证明书原件；2.HIV确诊试验结果或HIV-RNA检查结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果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769"/>
        </w:trPr>
        <w:tc>
          <w:tcPr>
            <w:tcW w:w="545" w:type="dxa"/>
            <w:vAlign w:val="top"/>
          </w:tcPr>
          <w:p>
            <w:pPr>
              <w:pStyle w:val="TableText"/>
              <w:spacing w:before="262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54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223" w:line="219" w:lineRule="auto"/>
              <w:ind w:left="3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比克恩丙诺片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213" w:line="219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限艾滋病病毒感染。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61" w:line="184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92" w:line="247" w:lineRule="auto"/>
              <w:ind w:left="85" w:right="1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1.出院小结或疾病证明书原件；2.HIV确诊试验结果或HIV-RNA检查结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果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809"/>
        </w:trPr>
        <w:tc>
          <w:tcPr>
            <w:tcW w:w="545" w:type="dxa"/>
            <w:vAlign w:val="top"/>
          </w:tcPr>
          <w:p>
            <w:pPr>
              <w:pStyle w:val="TableText"/>
              <w:spacing w:before="264" w:line="182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55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244" w:line="219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艾诺韦林片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244" w:line="219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限艾滋病病毒感染。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84" w:line="182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23" w:line="252" w:lineRule="auto"/>
              <w:ind w:left="85" w:right="15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1.出院小结或疾病证明书原件；2.HIV确诊试验结果或HIV-RNA检查结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果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799"/>
        </w:trPr>
        <w:tc>
          <w:tcPr>
            <w:tcW w:w="545" w:type="dxa"/>
            <w:vAlign w:val="top"/>
          </w:tcPr>
          <w:p>
            <w:pPr>
              <w:pStyle w:val="TableText"/>
              <w:spacing w:before="264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56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235" w:line="219" w:lineRule="auto"/>
              <w:ind w:left="12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拉米夫定多替拉韦片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235" w:line="219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限艾滋病病毒感染。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73" w:line="184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14" w:line="247" w:lineRule="auto"/>
              <w:ind w:left="85" w:right="134" w:firstLine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1.出院小结或疾病证明书原件；2.HIV确诊试验结果或HIV-RNA检查结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果</w:t>
            </w:r>
          </w:p>
        </w:tc>
      </w:tr>
    </w:tbl>
    <w:p>
      <w:pPr>
        <w:sectPr>
          <w:footerReference w:type="default" r:id="rId4"/>
          <w:pgSz w:w="16840" w:h="11910"/>
          <w:pgMar w:top="1012" w:right="1314" w:bottom="1" w:left="1065" w:header="0" w:footer="0" w:gutter="0"/>
          <w:pgNumType w:start="8"/>
          <w:cols w:space="708"/>
        </w:sectPr>
      </w:pPr>
    </w:p>
    <w:tbl>
      <w:tblPr>
        <w:tblStyle w:val="TableNormal7"/>
        <w:tblW w:w="1445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68"/>
        <w:gridCol w:w="5416"/>
        <w:gridCol w:w="560"/>
        <w:gridCol w:w="5961"/>
      </w:tblGrid>
      <w:tr>
        <w:tblPrEx>
          <w:tblW w:w="1445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70"/>
        </w:trPr>
        <w:tc>
          <w:tcPr>
            <w:tcW w:w="545" w:type="dxa"/>
            <w:vAlign w:val="top"/>
          </w:tcPr>
          <w:p>
            <w:pPr>
              <w:pStyle w:val="TableText"/>
              <w:spacing w:before="246" w:line="182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57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86" w:line="230" w:lineRule="auto"/>
              <w:ind w:left="499" w:right="46" w:hanging="47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重组细胞因子基因衍生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蛋白注射液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190" w:line="214" w:lineRule="auto"/>
              <w:ind w:left="8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限HBeAg阳性的慢性乙型肝炎患者。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46" w:line="182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95" w:line="219" w:lineRule="auto"/>
              <w:ind w:left="8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1.出院小结或疾病证明书原件；2.乙肝</w:t>
            </w:r>
            <w:r>
              <w:rPr>
                <w:spacing w:val="-1"/>
                <w:sz w:val="19"/>
                <w:szCs w:val="19"/>
              </w:rPr>
              <w:t>六项。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280"/>
        </w:trPr>
        <w:tc>
          <w:tcPr>
            <w:tcW w:w="545" w:type="dxa"/>
            <w:vAlign w:val="top"/>
          </w:tcPr>
          <w:p>
            <w:pPr>
              <w:pStyle w:val="TableText"/>
              <w:spacing w:before="106" w:line="159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58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56" w:line="207" w:lineRule="auto"/>
              <w:ind w:left="20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盐酸阿比多尔颗粒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56" w:line="207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限流感重症高危人群及重症患者的抗流感病毒治疗。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107" w:line="158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55" w:line="208" w:lineRule="auto"/>
              <w:ind w:left="8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540"/>
        </w:trPr>
        <w:tc>
          <w:tcPr>
            <w:tcW w:w="545" w:type="dxa"/>
            <w:vAlign w:val="top"/>
          </w:tcPr>
          <w:p>
            <w:pPr>
              <w:pStyle w:val="TableText"/>
              <w:spacing w:before="235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59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06" w:line="219" w:lineRule="auto"/>
              <w:jc w:val="right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法维拉韦片(又称：法匹</w:t>
            </w:r>
          </w:p>
          <w:p>
            <w:pPr>
              <w:pStyle w:val="TableText"/>
              <w:spacing w:before="14" w:line="178" w:lineRule="auto"/>
              <w:ind w:left="639"/>
              <w:rPr>
                <w:sz w:val="19"/>
                <w:szCs w:val="19"/>
              </w:rPr>
            </w:pPr>
            <w:r>
              <w:rPr>
                <w:spacing w:val="9"/>
                <w:sz w:val="19"/>
                <w:szCs w:val="19"/>
              </w:rPr>
              <w:t>拉韦片)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186" w:line="219" w:lineRule="auto"/>
              <w:ind w:left="8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限流感重症高危人群及重症患者的抗流感病毒治疗。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36" w:line="182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85" w:line="219" w:lineRule="auto"/>
              <w:ind w:left="8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574"/>
        </w:trPr>
        <w:tc>
          <w:tcPr>
            <w:tcW w:w="545" w:type="dxa"/>
            <w:vAlign w:val="top"/>
          </w:tcPr>
          <w:p>
            <w:pPr>
              <w:pStyle w:val="TableText"/>
              <w:spacing w:before="245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60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257" w:line="219" w:lineRule="auto"/>
              <w:ind w:left="3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玛巴洛沙韦片</w:t>
            </w:r>
          </w:p>
        </w:tc>
        <w:tc>
          <w:tcPr>
            <w:tcW w:w="5416" w:type="dxa"/>
            <w:vAlign w:val="top"/>
          </w:tcPr>
          <w:p>
            <w:pPr>
              <w:pStyle w:val="TableText"/>
              <w:spacing w:before="117" w:line="217" w:lineRule="auto"/>
              <w:ind w:left="81" w:right="96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限成人和5岁及以上儿童单纯性甲型和乙型流感患者，或存在流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感相关并发症高风险的成人和12岁及以上</w:t>
            </w:r>
            <w:r>
              <w:rPr>
                <w:spacing w:val="-1"/>
                <w:sz w:val="19"/>
                <w:szCs w:val="19"/>
              </w:rPr>
              <w:t>儿童流感患者。</w:t>
            </w:r>
          </w:p>
        </w:tc>
        <w:tc>
          <w:tcPr>
            <w:tcW w:w="560" w:type="dxa"/>
            <w:vAlign w:val="top"/>
          </w:tcPr>
          <w:p>
            <w:pPr>
              <w:pStyle w:val="TableText"/>
              <w:spacing w:before="296" w:line="182" w:lineRule="auto"/>
              <w:ind w:left="22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265" w:line="219" w:lineRule="auto"/>
              <w:ind w:left="8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1.出院小结或疾病证明书原件。</w:t>
            </w:r>
          </w:p>
        </w:tc>
      </w:tr>
    </w:tbl>
    <w:p>
      <w:pPr>
        <w:spacing w:line="53" w:lineRule="exact"/>
        <w:rPr>
          <w:rFonts w:ascii="Arial"/>
          <w:sz w:val="4"/>
        </w:rPr>
      </w:pPr>
    </w:p>
    <w:p>
      <w:pPr>
        <w:spacing w:line="53" w:lineRule="exact"/>
        <w:rPr>
          <w:rFonts w:ascii="Arial" w:eastAsia="Arial" w:hAnsi="Arial" w:cs="Arial"/>
          <w:sz w:val="4"/>
          <w:szCs w:val="4"/>
        </w:rPr>
        <w:sectPr>
          <w:footerReference w:type="default" r:id="rId5"/>
          <w:type w:val="nextPage"/>
          <w:pgSz w:w="16840" w:h="11910"/>
          <w:pgMar w:top="1012" w:right="1314" w:bottom="1" w:left="1065" w:header="0" w:footer="0" w:gutter="0"/>
          <w:pgNumType w:start="9"/>
          <w:cols w:space="708"/>
          <w:titlePg w:val="0"/>
        </w:sectPr>
      </w:pPr>
    </w:p>
    <w:tbl>
      <w:tblPr>
        <w:tblStyle w:val="TableNormal8"/>
        <w:tblW w:w="144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98"/>
        <w:gridCol w:w="5406"/>
        <w:gridCol w:w="550"/>
        <w:gridCol w:w="5961"/>
      </w:tblGrid>
      <w:tr>
        <w:tblPrEx>
          <w:tblW w:w="1446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138"/>
        </w:trPr>
        <w:tc>
          <w:tcPr>
            <w:tcW w:w="545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4" w:lineRule="auto"/>
              <w:ind w:left="175"/>
            </w:pPr>
            <w:r>
              <w:rPr>
                <w:spacing w:val="-3"/>
              </w:rPr>
              <w:t>61</w:t>
            </w:r>
          </w:p>
        </w:tc>
        <w:tc>
          <w:tcPr>
            <w:tcW w:w="199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19" w:lineRule="auto"/>
              <w:ind w:left="269"/>
            </w:pPr>
            <w:r>
              <w:rPr>
                <w:spacing w:val="-2"/>
              </w:rPr>
              <w:t>西妥昔单抗注射液</w:t>
            </w:r>
          </w:p>
        </w:tc>
        <w:tc>
          <w:tcPr>
            <w:tcW w:w="540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19" w:lineRule="auto"/>
              <w:ind w:left="51"/>
            </w:pPr>
            <w:r>
              <w:t>限：1.RAS基因野生型的转移性结直肠癌；2.头颈部鳞状细胞癌。</w:t>
            </w:r>
          </w:p>
        </w:tc>
        <w:tc>
          <w:tcPr>
            <w:tcW w:w="550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84" w:lineRule="auto"/>
              <w:ind w:left="226"/>
            </w:pPr>
            <w:r>
              <w:t>A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20" w:line="253" w:lineRule="auto"/>
              <w:ind w:left="88" w:right="196" w:hanging="89"/>
            </w:pPr>
            <w:r>
              <w:rPr>
                <w:spacing w:val="2"/>
              </w:rPr>
              <w:t>“直肠癌”:1.出院小结或疾病证明书原件；2.基因检测报告；3.病理报</w:t>
            </w:r>
            <w:r>
              <w:rPr>
                <w:spacing w:val="13"/>
              </w:rPr>
              <w:t xml:space="preserve"> </w:t>
            </w:r>
            <w:r>
              <w:rPr>
                <w:spacing w:val="9"/>
              </w:rPr>
              <w:t>告；4.影像报告；</w:t>
            </w:r>
          </w:p>
          <w:p>
            <w:pPr>
              <w:pStyle w:val="TableText"/>
              <w:spacing w:before="58" w:line="234" w:lineRule="auto"/>
              <w:ind w:left="75" w:right="463"/>
            </w:pPr>
            <w:r>
              <w:t>头颈部鳞状细胞癌”:1.出院小结或疾病证明书原件；2.病理报告；3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影像报告。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592"/>
        </w:trPr>
        <w:tc>
          <w:tcPr>
            <w:tcW w:w="545" w:type="dxa"/>
            <w:vAlign w:val="top"/>
          </w:tcPr>
          <w:p>
            <w:pPr>
              <w:pStyle w:val="TableText"/>
              <w:spacing w:before="260" w:line="183" w:lineRule="auto"/>
              <w:ind w:left="175"/>
            </w:pPr>
            <w:r>
              <w:rPr>
                <w:spacing w:val="-3"/>
              </w:rPr>
              <w:t>62</w:t>
            </w:r>
          </w:p>
        </w:tc>
        <w:tc>
          <w:tcPr>
            <w:tcW w:w="1998" w:type="dxa"/>
            <w:vAlign w:val="top"/>
          </w:tcPr>
          <w:p>
            <w:pPr>
              <w:pStyle w:val="TableText"/>
              <w:spacing w:before="214" w:line="219" w:lineRule="auto"/>
              <w:ind w:left="269"/>
            </w:pPr>
            <w:r>
              <w:rPr>
                <w:spacing w:val="-1"/>
              </w:rPr>
              <w:t>尼妥珠单抗注射液</w:t>
            </w:r>
          </w:p>
        </w:tc>
        <w:tc>
          <w:tcPr>
            <w:tcW w:w="5406" w:type="dxa"/>
            <w:vAlign w:val="top"/>
          </w:tcPr>
          <w:p>
            <w:pPr>
              <w:pStyle w:val="TableText"/>
              <w:spacing w:before="123" w:line="235" w:lineRule="auto"/>
              <w:ind w:left="51" w:right="205"/>
            </w:pPr>
            <w:r>
              <w:t>限与放疗联合治疗表皮生长因子受体(EGFR)表达阳性的Ⅲ/IV期鼻</w:t>
            </w:r>
            <w:r>
              <w:rPr>
                <w:spacing w:val="7"/>
              </w:rPr>
              <w:t xml:space="preserve"> </w:t>
            </w:r>
            <w:r>
              <w:t>咽癌。</w:t>
            </w:r>
          </w:p>
        </w:tc>
        <w:tc>
          <w:tcPr>
            <w:tcW w:w="550" w:type="dxa"/>
            <w:vAlign w:val="top"/>
          </w:tcPr>
          <w:p>
            <w:pPr>
              <w:pStyle w:val="TableText"/>
              <w:spacing w:before="259" w:line="184" w:lineRule="auto"/>
              <w:ind w:left="226"/>
            </w:pPr>
            <w:r>
              <w:t>A</w:t>
            </w:r>
          </w:p>
        </w:tc>
        <w:tc>
          <w:tcPr>
            <w:tcW w:w="5961" w:type="dxa"/>
            <w:vAlign w:val="top"/>
          </w:tcPr>
          <w:p>
            <w:pPr>
              <w:pStyle w:val="TableText"/>
              <w:spacing w:before="123" w:line="235" w:lineRule="auto"/>
              <w:ind w:left="75" w:right="518" w:firstLine="40"/>
            </w:pPr>
            <w:r>
              <w:t>1.出院小结或疾病证明书原件，并标明几线治疗(注明分期);2.病理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报告。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footerReference w:type="default" r:id="rId6"/>
          <w:pgSz w:w="16840" w:h="11910"/>
          <w:pgMar w:top="1004" w:right="1304" w:bottom="400" w:left="1065" w:header="0" w:footer="0" w:gutter="0"/>
          <w:pgNumType w:start="10"/>
          <w:cols w:space="708"/>
        </w:sectPr>
      </w:pPr>
    </w:p>
    <w:p>
      <w:pPr>
        <w:spacing w:before="20"/>
      </w:pPr>
    </w:p>
    <w:tbl>
      <w:tblPr>
        <w:tblStyle w:val="TableNormal9"/>
        <w:tblW w:w="1445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89"/>
        <w:gridCol w:w="5396"/>
        <w:gridCol w:w="579"/>
        <w:gridCol w:w="5941"/>
      </w:tblGrid>
      <w:tr>
        <w:tblPrEx>
          <w:tblW w:w="1445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74"/>
        </w:trPr>
        <w:tc>
          <w:tcPr>
            <w:tcW w:w="545" w:type="dxa"/>
            <w:vAlign w:val="top"/>
          </w:tcPr>
          <w:p>
            <w:pPr>
              <w:pStyle w:val="TableText"/>
              <w:spacing w:before="92" w:line="167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63</w:t>
            </w:r>
          </w:p>
        </w:tc>
        <w:tc>
          <w:tcPr>
            <w:tcW w:w="1989" w:type="dxa"/>
            <w:vAlign w:val="top"/>
          </w:tcPr>
          <w:p>
            <w:pPr>
              <w:pStyle w:val="TableText"/>
              <w:spacing w:before="42" w:line="215" w:lineRule="auto"/>
              <w:ind w:left="21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注射用伊尼妥单抗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42" w:line="215" w:lineRule="auto"/>
              <w:ind w:left="5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限接受过1个或多个化疗方案的HER2阳性转移性乳腺癌患者</w:t>
            </w:r>
          </w:p>
        </w:tc>
        <w:tc>
          <w:tcPr>
            <w:tcW w:w="579" w:type="dxa"/>
            <w:vAlign w:val="top"/>
          </w:tcPr>
          <w:p>
            <w:pPr>
              <w:pStyle w:val="TableText"/>
              <w:spacing w:before="93" w:line="166" w:lineRule="auto"/>
              <w:ind w:left="2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41" w:line="216" w:lineRule="auto"/>
              <w:ind w:left="7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1出院小结或疾病证明书原件，并标明几线治疗；</w:t>
            </w:r>
            <w:r>
              <w:rPr>
                <w:spacing w:val="-1"/>
                <w:sz w:val="19"/>
                <w:szCs w:val="19"/>
              </w:rPr>
              <w:t>2病理报告。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888"/>
        </w:trPr>
        <w:tc>
          <w:tcPr>
            <w:tcW w:w="545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64</w:t>
            </w:r>
          </w:p>
        </w:tc>
        <w:tc>
          <w:tcPr>
            <w:tcW w:w="1989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21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帕妥珠单抗注射液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09" w:line="249" w:lineRule="auto"/>
              <w:ind w:left="41" w:right="177" w:firstLine="19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限以下情况方可支付，且支付不超过12个月：1.HER2阳性的局</w:t>
            </w:r>
            <w:r>
              <w:rPr>
                <w:spacing w:val="1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部晚期、炎性或早期乳腺癌患者的新辅助治疗；2.具有高复发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风险HER2阳性早期乳腺癌患者的辅助治疗</w:t>
            </w:r>
          </w:p>
        </w:tc>
        <w:tc>
          <w:tcPr>
            <w:tcW w:w="579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227" w:line="245" w:lineRule="auto"/>
              <w:ind w:left="74" w:hanging="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1.出院小结或疾病证明书原件，并注明辅助治疗还是新辅助治疗；2.病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理报告。</w:t>
            </w:r>
          </w:p>
        </w:tc>
      </w:tr>
      <w:tr>
        <w:tblPrEx>
          <w:tblW w:w="14450" w:type="dxa"/>
          <w:tblInd w:w="5" w:type="dxa"/>
          <w:tblLayout w:type="fixed"/>
        </w:tblPrEx>
        <w:trPr>
          <w:trHeight w:val="3263"/>
        </w:trPr>
        <w:tc>
          <w:tcPr>
            <w:tcW w:w="54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65</w:t>
            </w:r>
          </w:p>
        </w:tc>
        <w:tc>
          <w:tcPr>
            <w:tcW w:w="198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21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信迪利单抗注射液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40" w:line="269" w:lineRule="auto"/>
              <w:ind w:left="30" w:firstLine="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限：1.至少经过二线系统化疗的复发或难治性经典型霍奇金淋巴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瘤的治疗；2.非鳞状非小细胞肺癌：(1)表皮生长因子受体(EGFR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基因突变阴性和间变性淋巴瘤激酶(ALK)阴性、不可手术切除的</w:t>
            </w:r>
            <w:r>
              <w:rPr>
                <w:spacing w:val="2"/>
                <w:sz w:val="19"/>
                <w:szCs w:val="19"/>
              </w:rPr>
              <w:t xml:space="preserve">  </w:t>
            </w:r>
            <w:r>
              <w:rPr>
                <w:spacing w:val="1"/>
                <w:sz w:val="19"/>
                <w:szCs w:val="19"/>
              </w:rPr>
              <w:t>局部晚期或转移性非鳞状非小细胞肺癌(</w:t>
            </w:r>
            <w:r>
              <w:rPr>
                <w:sz w:val="19"/>
                <w:szCs w:val="19"/>
              </w:rPr>
              <w:t>NSCLC</w:t>
            </w:r>
            <w:r>
              <w:rPr>
                <w:spacing w:val="1"/>
                <w:sz w:val="19"/>
                <w:szCs w:val="19"/>
              </w:rPr>
              <w:t>)的一线治疗；(2)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表  皮生长因子受体酪氨酸激酶抑制剂(</w:t>
            </w:r>
            <w:r>
              <w:rPr>
                <w:sz w:val="19"/>
                <w:szCs w:val="19"/>
              </w:rPr>
              <w:t>EGFR</w:t>
            </w:r>
            <w:r>
              <w:rPr>
                <w:spacing w:val="1"/>
                <w:sz w:val="19"/>
                <w:szCs w:val="19"/>
              </w:rPr>
              <w:t>-</w:t>
            </w:r>
            <w:r>
              <w:rPr>
                <w:sz w:val="19"/>
                <w:szCs w:val="19"/>
              </w:rPr>
              <w:t>TKI</w:t>
            </w:r>
            <w:r>
              <w:rPr>
                <w:spacing w:val="1"/>
                <w:sz w:val="19"/>
                <w:szCs w:val="19"/>
              </w:rPr>
              <w:t>)治疗失败的</w:t>
            </w:r>
          </w:p>
          <w:p>
            <w:pPr>
              <w:pStyle w:val="TableText"/>
              <w:spacing w:before="55" w:line="219" w:lineRule="auto"/>
              <w:ind w:left="5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EGFR基因突变阳性的局部晚期或转移性非鳞</w:t>
            </w:r>
            <w:r>
              <w:rPr>
                <w:spacing w:val="-1"/>
                <w:sz w:val="19"/>
                <w:szCs w:val="19"/>
              </w:rPr>
              <w:t>状非小细胞肺癌</w:t>
            </w:r>
          </w:p>
          <w:p>
            <w:pPr>
              <w:pStyle w:val="TableText"/>
              <w:spacing w:before="62" w:line="269" w:lineRule="auto"/>
              <w:ind w:left="50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(NSCLC)患者的治疗；3.不可手术切除的局部晚期或转移性鳞状</w:t>
            </w:r>
            <w:r>
              <w:rPr>
                <w:spacing w:val="3"/>
                <w:sz w:val="19"/>
                <w:szCs w:val="19"/>
              </w:rPr>
              <w:t xml:space="preserve">   </w:t>
            </w:r>
            <w:r>
              <w:rPr>
                <w:spacing w:val="-3"/>
                <w:sz w:val="19"/>
                <w:szCs w:val="19"/>
              </w:rPr>
              <w:t>非小细胞肺癌(NSCLC)的一线治疗；4.既往未接受过系统治疗的</w:t>
            </w:r>
            <w:r>
              <w:rPr>
                <w:spacing w:val="6"/>
                <w:sz w:val="19"/>
                <w:szCs w:val="19"/>
              </w:rPr>
              <w:t xml:space="preserve">   </w:t>
            </w:r>
            <w:r>
              <w:rPr>
                <w:spacing w:val="-3"/>
                <w:sz w:val="19"/>
                <w:szCs w:val="19"/>
              </w:rPr>
              <w:t>不可切除或转移性肝细胞癌的一线治疗；5.不可切除的局部晚期</w:t>
            </w:r>
            <w:r>
              <w:rPr>
                <w:spacing w:val="5"/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、复发或转移性食管鳞癌的一线治疗；6.不可切除的局部晚期、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复发或转移性胃及胃食管交界处腺癌的一线治疗。</w:t>
            </w:r>
          </w:p>
        </w:tc>
        <w:tc>
          <w:tcPr>
            <w:tcW w:w="579" w:type="dxa"/>
            <w:vAlign w:val="top"/>
          </w:tcPr>
          <w:p>
            <w:pPr>
              <w:spacing w:line="39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30" w:line="190" w:lineRule="exact"/>
              <w:rPr>
                <w:sz w:val="9"/>
                <w:szCs w:val="9"/>
              </w:rPr>
            </w:pPr>
            <w:r>
              <w:rPr>
                <w:position w:val="2"/>
                <w:sz w:val="9"/>
                <w:szCs w:val="9"/>
              </w:rPr>
              <w:t>)</w:t>
            </w: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50" w:lineRule="auto"/>
              <w:ind w:left="75" w:right="37" w:firstLine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1.出院小结或疾病证明书原件，并标明几线治疗；2.病理报告(肝细胞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癌不需要);3.符合限制条件的化疗记录；4.影像报告</w:t>
            </w:r>
          </w:p>
        </w:tc>
      </w:tr>
    </w:tbl>
    <w:p>
      <w:pPr>
        <w:sectPr>
          <w:footerReference w:type="default" r:id="rId7"/>
          <w:pgSz w:w="16840" w:h="11910"/>
          <w:pgMar w:top="1012" w:right="1314" w:bottom="214" w:left="1065" w:header="0" w:footer="0" w:gutter="0"/>
          <w:pgNumType w:start="11"/>
          <w:cols w:space="708"/>
        </w:sectPr>
      </w:pPr>
    </w:p>
    <w:tbl>
      <w:tblPr>
        <w:tblStyle w:val="TableNormal10"/>
        <w:tblW w:w="1445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89"/>
        <w:gridCol w:w="5396"/>
        <w:gridCol w:w="579"/>
        <w:gridCol w:w="5941"/>
      </w:tblGrid>
      <w:tr>
        <w:tblPrEx>
          <w:tblW w:w="1445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673"/>
        </w:trPr>
        <w:tc>
          <w:tcPr>
            <w:tcW w:w="54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66</w:t>
            </w:r>
          </w:p>
        </w:tc>
        <w:tc>
          <w:tcPr>
            <w:tcW w:w="198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1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替雷利珠单抗注射液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216" w:line="269" w:lineRule="auto"/>
              <w:ind w:left="59" w:right="3" w:hanging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限：1.至少经过二线系统化疗的复发或难治性经典型霍奇金淋巴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瘤的治疗；2.PD-L1高表达的含铂化疗失败包</w:t>
            </w:r>
            <w:r>
              <w:rPr>
                <w:spacing w:val="-1"/>
                <w:sz w:val="19"/>
                <w:szCs w:val="19"/>
              </w:rPr>
              <w:t>括新辅助或辅助化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疗12个月内进展的局部晚期或转移性尿路上皮癌</w:t>
            </w:r>
            <w:r>
              <w:rPr>
                <w:spacing w:val="-1"/>
                <w:sz w:val="19"/>
                <w:szCs w:val="19"/>
              </w:rPr>
              <w:t>的治疗；3.不可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手术切除的局部晚期或转移性鳞状非小细胞肺癌的一线治疗；4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表皮生长因子受体(EGFR)基因突变阴性和</w:t>
            </w:r>
            <w:r>
              <w:rPr>
                <w:spacing w:val="-1"/>
                <w:sz w:val="19"/>
                <w:szCs w:val="19"/>
              </w:rPr>
              <w:t>间变性淋巴瘤激酶</w:t>
            </w:r>
          </w:p>
          <w:p>
            <w:pPr>
              <w:pStyle w:val="TableText"/>
              <w:spacing w:before="65" w:line="269" w:lineRule="auto"/>
              <w:ind w:left="50" w:right="97" w:firstLin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(ALK)阴性、不可手术切除的局部晚期或转移性非鳞状非小细胞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肺癌的一线治疗；5.表皮生长因子受体(EGFR)基因突变阴性和</w:t>
            </w:r>
            <w:r>
              <w:rPr>
                <w:spacing w:val="7"/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间变性淋巴瘤激酶(ALK)阴性、既往接受过含铂方案化疗后疾病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进展或不可耐受的局部晚期或转移性非鳞状非小细胞肺癌</w:t>
            </w:r>
          </w:p>
          <w:p>
            <w:pPr>
              <w:pStyle w:val="TableText"/>
              <w:spacing w:before="62" w:line="270" w:lineRule="auto"/>
              <w:ind w:left="30" w:right="197" w:firstLine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(NSCLC)成人患者，以及EGFR和ALK阴性或未知的，既往接受过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含铂方案化疗后疾病进展或不可耐受的局部晚期或转移性鳞状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NSCLC成人患者；6.至少经过一种全身治疗的肝细胞癌</w:t>
            </w:r>
            <w:r>
              <w:rPr>
                <w:spacing w:val="-1"/>
                <w:sz w:val="19"/>
                <w:szCs w:val="19"/>
              </w:rPr>
              <w:t>的治疗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-1"/>
                <w:sz w:val="19"/>
                <w:szCs w:val="19"/>
              </w:rPr>
              <w:t>7.不可切除或转移性微卫星高度不稳定型(MSI-H)或错配修复</w:t>
            </w:r>
            <w:r>
              <w:rPr>
                <w:spacing w:val="9"/>
                <w:sz w:val="19"/>
                <w:szCs w:val="19"/>
              </w:rPr>
              <w:t xml:space="preserve">  </w:t>
            </w:r>
            <w:r>
              <w:rPr>
                <w:spacing w:val="1"/>
                <w:sz w:val="19"/>
                <w:szCs w:val="19"/>
              </w:rPr>
              <w:t>基因缺陷型(</w:t>
            </w:r>
            <w:r>
              <w:rPr>
                <w:sz w:val="19"/>
                <w:szCs w:val="19"/>
              </w:rPr>
              <w:t>dMMR</w:t>
            </w:r>
            <w:r>
              <w:rPr>
                <w:spacing w:val="1"/>
                <w:sz w:val="19"/>
                <w:szCs w:val="19"/>
              </w:rPr>
              <w:t>)的成人晚期实</w:t>
            </w:r>
          </w:p>
          <w:p>
            <w:pPr>
              <w:pStyle w:val="TableText"/>
              <w:spacing w:before="69" w:line="266" w:lineRule="auto"/>
              <w:ind w:left="30" w:firstLine="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体瘤患者：既往经过氟尿嘧啶类、奥沙利铂和伊立替康治疗后出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现疾病进展的晚期结直肠癌患者；既往治疗后</w:t>
            </w:r>
            <w:r>
              <w:rPr>
                <w:spacing w:val="-1"/>
                <w:sz w:val="19"/>
                <w:szCs w:val="19"/>
              </w:rPr>
              <w:t>出现疾病进展且无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满意替代治疗方案的其他晚期实体瘤患者；8.既往</w:t>
            </w:r>
            <w:r>
              <w:rPr>
                <w:spacing w:val="-1"/>
                <w:sz w:val="19"/>
                <w:szCs w:val="19"/>
              </w:rPr>
              <w:t>接受过一线标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准化疗后进展或不可耐受的局部晚期或转移性食管鳞状细胞</w:t>
            </w:r>
            <w:r>
              <w:rPr>
                <w:sz w:val="19"/>
                <w:szCs w:val="19"/>
              </w:rPr>
              <w:t xml:space="preserve">癌的 </w:t>
            </w:r>
            <w:r>
              <w:rPr>
                <w:sz w:val="19"/>
                <w:szCs w:val="19"/>
              </w:rPr>
              <w:t>治疗；9.复发或转移性鼻咽癌的一线治疗；10.PD-L1</w:t>
            </w:r>
            <w:r>
              <w:rPr>
                <w:spacing w:val="-1"/>
                <w:sz w:val="19"/>
                <w:szCs w:val="19"/>
              </w:rPr>
              <w:t>高表达的</w:t>
            </w:r>
          </w:p>
        </w:tc>
        <w:tc>
          <w:tcPr>
            <w:tcW w:w="57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58" w:lineRule="auto"/>
              <w:ind w:left="75" w:right="37" w:firstLine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1.出院小结或疾病证明书原件，并标明几线治疗；2.病理报告(肝细胞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癌不需要);3.符合限制条件的化疗记录；4.影像报告</w:t>
            </w:r>
            <w:r>
              <w:rPr>
                <w:spacing w:val="-1"/>
                <w:sz w:val="19"/>
                <w:szCs w:val="19"/>
              </w:rPr>
              <w:t>；5.基因检测或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-1"/>
                <w:sz w:val="19"/>
                <w:szCs w:val="19"/>
              </w:rPr>
              <w:t>免疫组化(尿路上皮癌患者、不可切除或转移性微卫星高度不稳定型</w:t>
            </w:r>
          </w:p>
          <w:p>
            <w:pPr>
              <w:pStyle w:val="TableText"/>
              <w:spacing w:before="74" w:line="245" w:lineRule="auto"/>
              <w:ind w:left="75" w:right="226" w:firstLine="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(MSI-H)或错配修复基因缺陷型(dMMR)的成人晚期实体瘤患者、结直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肠癌患者、胃或胃食管结合部腺癌患者需提供)。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footerReference w:type="default" r:id="rId8"/>
          <w:type w:val="nextPage"/>
          <w:pgSz w:w="16840" w:h="11910"/>
          <w:pgMar w:top="1012" w:right="1314" w:bottom="214" w:left="1065" w:header="0" w:footer="0" w:gutter="0"/>
          <w:pgNumType w:start="12"/>
          <w:cols w:space="708"/>
          <w:titlePg w:val="0"/>
        </w:sectPr>
      </w:pPr>
    </w:p>
    <w:p>
      <w:pPr>
        <w:spacing w:line="131" w:lineRule="auto"/>
        <w:rPr>
          <w:rFonts w:ascii="Arial"/>
          <w:sz w:val="2"/>
        </w:rPr>
      </w:pPr>
    </w:p>
    <w:tbl>
      <w:tblPr>
        <w:tblStyle w:val="TableNormal11"/>
        <w:tblW w:w="1448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75"/>
        <w:gridCol w:w="1968"/>
        <w:gridCol w:w="5406"/>
        <w:gridCol w:w="579"/>
        <w:gridCol w:w="5961"/>
      </w:tblGrid>
      <w:tr>
        <w:tblPrEx>
          <w:tblW w:w="1448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050"/>
        </w:trPr>
        <w:tc>
          <w:tcPr>
            <w:tcW w:w="5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06" w:type="dxa"/>
            <w:vAlign w:val="top"/>
          </w:tcPr>
          <w:p>
            <w:pPr>
              <w:pStyle w:val="TableText"/>
              <w:spacing w:before="51" w:line="269" w:lineRule="auto"/>
              <w:ind w:left="52" w:right="471"/>
            </w:pPr>
            <w:r>
              <w:t>局部晚期不可切除的或转移性的胃或胃食管结合部腺癌的一线</w:t>
            </w:r>
            <w:r>
              <w:rPr>
                <w:spacing w:val="11"/>
              </w:rPr>
              <w:t xml:space="preserve"> </w:t>
            </w:r>
            <w:r>
              <w:t>治</w:t>
            </w:r>
          </w:p>
          <w:p>
            <w:pPr>
              <w:pStyle w:val="TableText"/>
              <w:spacing w:before="86" w:line="254" w:lineRule="auto"/>
              <w:ind w:left="52" w:right="220"/>
            </w:pPr>
            <w:r>
              <w:t>疗；11.不可切除的局部晚期、复发或转移性食</w:t>
            </w:r>
            <w:r>
              <w:rPr>
                <w:spacing w:val="-1"/>
              </w:rPr>
              <w:t>管鳞状细胞癌的一</w:t>
            </w:r>
            <w:r>
              <w:t xml:space="preserve"> </w:t>
            </w:r>
            <w:r>
              <w:t>线治疗。</w:t>
            </w:r>
          </w:p>
        </w:tc>
        <w:tc>
          <w:tcPr>
            <w:tcW w:w="57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6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footerReference w:type="default" r:id="rId9"/>
          <w:pgSz w:w="16840" w:h="11910"/>
          <w:pgMar w:top="1012" w:right="1295" w:bottom="400" w:left="1044" w:header="0" w:footer="0" w:gutter="0"/>
          <w:pgNumType w:start="13"/>
          <w:cols w:space="708"/>
        </w:sectPr>
      </w:pPr>
    </w:p>
    <w:p>
      <w:pPr>
        <w:spacing w:before="20"/>
      </w:pPr>
    </w:p>
    <w:tbl>
      <w:tblPr>
        <w:tblStyle w:val="TableNormal12"/>
        <w:tblW w:w="144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75"/>
        <w:gridCol w:w="1969"/>
        <w:gridCol w:w="5396"/>
        <w:gridCol w:w="579"/>
        <w:gridCol w:w="5941"/>
      </w:tblGrid>
      <w:tr>
        <w:tblPrEx>
          <w:tblW w:w="1446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363"/>
        </w:trPr>
        <w:tc>
          <w:tcPr>
            <w:tcW w:w="57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67</w:t>
            </w:r>
          </w:p>
        </w:tc>
        <w:tc>
          <w:tcPr>
            <w:tcW w:w="1969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12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特瑞普利单抗注射液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13" w:line="272" w:lineRule="auto"/>
              <w:ind w:left="11" w:firstLine="2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限：1.既往接受全身系统治疗失败的不可切除或转移性黑色素瘤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的治疗；2.含铂化疗失败包括新辅助或辅助化疗12个月内进展的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局部晚期或转移性尿路上皮癌的治疗；3.既往接受过二线及以上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系统治疗失败的复发/转移性鼻咽癌患者的治疗；4.局部复发或转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移性鼻咽癌患者的一线治疗；5.不可切除局部晚期/复发或转移性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食管鳞癌的一线治疗；6.表皮生长因子受体(EGFR)基因突变阴性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和间变性淋巴瘤激酶(</w:t>
            </w:r>
            <w:r>
              <w:rPr>
                <w:sz w:val="19"/>
                <w:szCs w:val="19"/>
              </w:rPr>
              <w:t>ALK</w:t>
            </w:r>
            <w:r>
              <w:rPr>
                <w:spacing w:val="2"/>
                <w:sz w:val="19"/>
                <w:szCs w:val="19"/>
              </w:rPr>
              <w:t>)阴性、不可手术切除的局部晚期或转</w:t>
            </w:r>
            <w:r>
              <w:rPr>
                <w:spacing w:val="7"/>
                <w:sz w:val="19"/>
                <w:szCs w:val="19"/>
              </w:rPr>
              <w:t xml:space="preserve">  </w:t>
            </w:r>
            <w:r>
              <w:rPr>
                <w:spacing w:val="1"/>
                <w:sz w:val="19"/>
                <w:szCs w:val="19"/>
              </w:rPr>
              <w:t>移性非鳞状非小细胞肺癌(</w:t>
            </w:r>
            <w:r>
              <w:rPr>
                <w:sz w:val="19"/>
                <w:szCs w:val="19"/>
              </w:rPr>
              <w:t>NSCLC</w:t>
            </w:r>
            <w:r>
              <w:rPr>
                <w:spacing w:val="1"/>
                <w:sz w:val="19"/>
                <w:szCs w:val="19"/>
              </w:rPr>
              <w:t>)的一线治疗。</w:t>
            </w:r>
          </w:p>
        </w:tc>
        <w:tc>
          <w:tcPr>
            <w:tcW w:w="579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49" w:lineRule="auto"/>
              <w:ind w:left="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1.出院小结或疾病证明书原件，并标明几线治疗；2.病理报告；3.化疗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记录。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3276"/>
        </w:trPr>
        <w:tc>
          <w:tcPr>
            <w:tcW w:w="575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68</w:t>
            </w:r>
          </w:p>
        </w:tc>
        <w:tc>
          <w:tcPr>
            <w:tcW w:w="196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12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注射用卡瑞利珠单抗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52" w:line="275" w:lineRule="auto"/>
              <w:ind w:left="11" w:firstLine="2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限：1.至少经过二线系统化疗的复发或难治性经典型霍奇金淋巴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瘤患者的治疗；2.既往接受过索拉非尼治疗和/或含奥沙利铂系统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化疗的晚期肝细胞癌患者的治疗；3.表皮生长因子受体(EGFR)基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因突变阴性和间变性淋巴瘤激酶(</w:t>
            </w:r>
            <w:r>
              <w:rPr>
                <w:sz w:val="19"/>
                <w:szCs w:val="19"/>
              </w:rPr>
              <w:t>ALK</w:t>
            </w:r>
            <w:r>
              <w:rPr>
                <w:spacing w:val="2"/>
                <w:sz w:val="19"/>
                <w:szCs w:val="19"/>
              </w:rPr>
              <w:t xml:space="preserve">)阴性的、不可手术切除的 </w:t>
            </w:r>
            <w:r>
              <w:rPr>
                <w:spacing w:val="4"/>
                <w:sz w:val="19"/>
                <w:szCs w:val="19"/>
              </w:rPr>
              <w:t>局部晚期或转移性非鳞状非小细胞肺癌(</w:t>
            </w:r>
            <w:r>
              <w:rPr>
                <w:sz w:val="19"/>
                <w:szCs w:val="19"/>
              </w:rPr>
              <w:t>NSCLC</w:t>
            </w:r>
            <w:r>
              <w:rPr>
                <w:spacing w:val="4"/>
                <w:sz w:val="19"/>
                <w:szCs w:val="19"/>
              </w:rPr>
              <w:t>)的一线治疗；4.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既往接受过一线化疗后疾病进展或不可耐受的局部</w:t>
            </w:r>
            <w:r>
              <w:rPr>
                <w:sz w:val="19"/>
                <w:szCs w:val="19"/>
              </w:rPr>
              <w:t xml:space="preserve">晚期或转移性 </w:t>
            </w:r>
            <w:r>
              <w:rPr>
                <w:sz w:val="19"/>
                <w:szCs w:val="19"/>
              </w:rPr>
              <w:t>食管鳞癌患者的治疗；5.既往接受过二线及以上化疗后疾病进展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3"/>
                <w:sz w:val="19"/>
                <w:szCs w:val="19"/>
              </w:rPr>
              <w:t>或不</w:t>
            </w:r>
            <w:r>
              <w:rPr>
                <w:spacing w:val="-12"/>
                <w:sz w:val="19"/>
                <w:szCs w:val="19"/>
              </w:rPr>
              <w:t xml:space="preserve">  可耐受的晚期鼻咽癌患者的治疗；</w:t>
            </w:r>
            <w:r>
              <w:rPr>
                <w:spacing w:val="8"/>
                <w:sz w:val="19"/>
                <w:szCs w:val="19"/>
              </w:rPr>
              <w:t xml:space="preserve">    </w:t>
            </w:r>
            <w:r>
              <w:rPr>
                <w:spacing w:val="-12"/>
                <w:sz w:val="19"/>
                <w:szCs w:val="19"/>
              </w:rPr>
              <w:t>6.局部复发或转移性</w:t>
            </w:r>
            <w:r>
              <w:rPr>
                <w:spacing w:val="-10"/>
                <w:sz w:val="19"/>
                <w:szCs w:val="19"/>
              </w:rPr>
              <w:t>鼻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咽癌患者的一线治疗；7.不可切除局部晚期/复发或转移性食管鳞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癌患者的一线治疗；8.局部晚期或转移性鳞状非小细胞肺癌患者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的一线治疗；9.不可切除或转移性肝细胞癌患者的一线治疗。</w:t>
            </w:r>
          </w:p>
        </w:tc>
        <w:tc>
          <w:tcPr>
            <w:tcW w:w="57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51" w:lineRule="auto"/>
              <w:ind w:left="35" w:right="47" w:firstLine="5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1.出院小结或疾病证明书原件，并标明几线治疗；2.病理报告(肝细胞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癌不需要);3.符合限制条件的化疗记录。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859"/>
        </w:trPr>
        <w:tc>
          <w:tcPr>
            <w:tcW w:w="575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69</w:t>
            </w:r>
          </w:p>
        </w:tc>
        <w:tc>
          <w:tcPr>
            <w:tcW w:w="196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8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奥妥珠单抗注射液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03" w:line="219" w:lineRule="auto"/>
              <w:ind w:left="22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限与化疗联合，用于初治的Ⅱ期伴有巨大肿块、Ⅲ期或IV期</w:t>
            </w:r>
          </w:p>
          <w:p>
            <w:pPr>
              <w:pStyle w:val="TableText"/>
              <w:spacing w:before="52" w:line="227" w:lineRule="auto"/>
              <w:ind w:left="11" w:right="143" w:firstLine="10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滤泡性淋巴瘤成人患者，达到至少部分缓解的患者随后用奥妥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珠单抗维持治疗。</w:t>
            </w:r>
          </w:p>
        </w:tc>
        <w:tc>
          <w:tcPr>
            <w:tcW w:w="579" w:type="dxa"/>
            <w:vAlign w:val="top"/>
          </w:tcPr>
          <w:p>
            <w:pPr>
              <w:spacing w:line="42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222" w:line="245" w:lineRule="auto"/>
              <w:ind w:left="35" w:right="238" w:firstLine="5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1.出院小结或疾病证明书原件，并标明几线治疗(注明分期);2.病理 </w:t>
            </w:r>
            <w:r>
              <w:rPr>
                <w:spacing w:val="-2"/>
                <w:sz w:val="19"/>
                <w:szCs w:val="19"/>
              </w:rPr>
              <w:t>报告。</w:t>
            </w:r>
          </w:p>
        </w:tc>
      </w:tr>
      <w:tr>
        <w:tblPrEx>
          <w:tblW w:w="14460" w:type="dxa"/>
          <w:tblInd w:w="5" w:type="dxa"/>
          <w:tblLayout w:type="fixed"/>
        </w:tblPrEx>
        <w:trPr>
          <w:trHeight w:val="2078"/>
        </w:trPr>
        <w:tc>
          <w:tcPr>
            <w:tcW w:w="575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70</w:t>
            </w:r>
          </w:p>
        </w:tc>
        <w:tc>
          <w:tcPr>
            <w:tcW w:w="196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12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达雷妥尤单抗注射液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37" w:line="268" w:lineRule="auto"/>
              <w:ind w:left="31" w:right="1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限：1.与来那度胺和地塞米松联合用药或与硼替佐米、美法仑和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泼尼松联合用药治疗不适合自体干细胞移植的新诊断的多发性骨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髓瘤成年患者；2.与来那度胺和地塞米松联</w:t>
            </w:r>
            <w:r>
              <w:rPr>
                <w:spacing w:val="-1"/>
                <w:sz w:val="19"/>
                <w:szCs w:val="19"/>
              </w:rPr>
              <w:t>合用药或与硼替佐米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和地塞米松联合用药治疗既往至少接受过一线治疗的多发性骨髓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>瘤成年患者；3.单药治疗复发和难治性多发性骨髓瘤成年</w:t>
            </w:r>
            <w:r>
              <w:rPr>
                <w:spacing w:val="2"/>
                <w:sz w:val="19"/>
                <w:szCs w:val="19"/>
              </w:rPr>
              <w:t>患者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患者既往接受过包括蛋白酶体抑制剂和免疫调节剂的治疗且最后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一次治疗时出现疾病进展。</w:t>
            </w:r>
          </w:p>
        </w:tc>
        <w:tc>
          <w:tcPr>
            <w:tcW w:w="57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41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8" w:lineRule="auto"/>
              <w:ind w:left="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1.出院小结或疾病证明书原件，并标明几线治疗；2.骨髓</w:t>
            </w:r>
            <w:r>
              <w:rPr>
                <w:spacing w:val="-1"/>
                <w:sz w:val="19"/>
                <w:szCs w:val="19"/>
              </w:rPr>
              <w:t>报告单。</w:t>
            </w:r>
          </w:p>
        </w:tc>
      </w:tr>
    </w:tbl>
    <w:p>
      <w:pPr>
        <w:sectPr>
          <w:footerReference w:type="default" r:id="rId10"/>
          <w:pgSz w:w="16840" w:h="11910"/>
          <w:pgMar w:top="1012" w:right="1304" w:bottom="400" w:left="1065" w:header="0" w:footer="0" w:gutter="0"/>
          <w:pgNumType w:start="14"/>
          <w:cols w:space="708"/>
        </w:sectPr>
      </w:pPr>
    </w:p>
    <w:tbl>
      <w:tblPr>
        <w:tblStyle w:val="TableNormal13"/>
        <w:tblW w:w="1446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75"/>
        <w:gridCol w:w="1969"/>
        <w:gridCol w:w="5396"/>
        <w:gridCol w:w="579"/>
        <w:gridCol w:w="5941"/>
      </w:tblGrid>
      <w:tr>
        <w:tblPrEx>
          <w:tblW w:w="14460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714"/>
        </w:trPr>
        <w:tc>
          <w:tcPr>
            <w:tcW w:w="5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71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67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甲磺酸氟马替尼片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267" w:line="219" w:lineRule="auto"/>
              <w:ind w:left="1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限费城染色体阳性的慢性髓性白血病(Ph+CML)慢性期成人患者</w:t>
            </w:r>
          </w:p>
        </w:tc>
        <w:tc>
          <w:tcPr>
            <w:tcW w:w="579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2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95"/>
              <w:ind w:left="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1.出院小结或疾病证明书原件；2.骨髓报告；3.首次需提供染色体或基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因报告。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footerReference w:type="default" r:id="rId11"/>
          <w:type w:val="nextPage"/>
          <w:pgSz w:w="16840" w:h="11910"/>
          <w:pgMar w:top="1012" w:right="1304" w:bottom="400" w:left="1065" w:header="0" w:footer="0" w:gutter="0"/>
          <w:pgNumType w:start="15"/>
          <w:cols w:space="708"/>
          <w:titlePg w:val="0"/>
        </w:sectPr>
      </w:pPr>
    </w:p>
    <w:p>
      <w:pPr>
        <w:spacing w:before="20"/>
      </w:pPr>
    </w:p>
    <w:tbl>
      <w:tblPr>
        <w:tblStyle w:val="TableNormal14"/>
        <w:tblW w:w="144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69"/>
        <w:gridCol w:w="5426"/>
        <w:gridCol w:w="559"/>
        <w:gridCol w:w="5974"/>
      </w:tblGrid>
      <w:tr>
        <w:tblPrEx>
          <w:tblW w:w="14473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649"/>
        </w:trPr>
        <w:tc>
          <w:tcPr>
            <w:tcW w:w="54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72</w:t>
            </w:r>
          </w:p>
        </w:tc>
        <w:tc>
          <w:tcPr>
            <w:tcW w:w="1969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8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甲磺酸奥希替尼片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11" w:line="242" w:lineRule="auto"/>
              <w:ind w:left="61" w:right="3" w:firstLine="1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限：1.IB-ⅢA期存在表皮生长因子受体(EGFR)外显子19缺失或外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显子21(L858R)置换突变的非小细胞肺癌(NSCLC)患者的</w:t>
            </w:r>
            <w:r>
              <w:rPr>
                <w:spacing w:val="-1"/>
                <w:sz w:val="19"/>
                <w:szCs w:val="19"/>
              </w:rPr>
              <w:t>治疗，</w:t>
            </w:r>
          </w:p>
          <w:p>
            <w:pPr>
              <w:pStyle w:val="TableText"/>
              <w:spacing w:before="84" w:line="261" w:lineRule="auto"/>
              <w:ind w:left="50" w:right="196" w:firstLine="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患者须既往接受过手术切除治疗，并由医生决定接受或不接受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辅助化疗；2.具有表皮生长因子受体(</w:t>
            </w:r>
            <w:r>
              <w:rPr>
                <w:sz w:val="19"/>
                <w:szCs w:val="19"/>
              </w:rPr>
              <w:t>EGFR</w:t>
            </w:r>
            <w:r>
              <w:rPr>
                <w:spacing w:val="1"/>
                <w:sz w:val="19"/>
                <w:szCs w:val="19"/>
              </w:rPr>
              <w:t>)外显子19缺失或外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显子</w:t>
            </w:r>
          </w:p>
          <w:p>
            <w:pPr>
              <w:pStyle w:val="TableText"/>
              <w:spacing w:before="64" w:line="261" w:lineRule="auto"/>
              <w:ind w:left="70" w:right="98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21(L858R)置换突变的局部晚期或转移性非小细胞肺癌(</w:t>
            </w:r>
            <w:r>
              <w:rPr>
                <w:sz w:val="19"/>
                <w:szCs w:val="19"/>
              </w:rPr>
              <w:t>NSCLC</w:t>
            </w:r>
            <w:r>
              <w:rPr>
                <w:spacing w:val="1"/>
                <w:sz w:val="19"/>
                <w:szCs w:val="19"/>
              </w:rPr>
              <w:t xml:space="preserve">) </w:t>
            </w:r>
            <w:r>
              <w:rPr>
                <w:spacing w:val="1"/>
                <w:sz w:val="19"/>
                <w:szCs w:val="19"/>
              </w:rPr>
              <w:t>成人患者的一线治疗；3.既往经</w:t>
            </w:r>
            <w:r>
              <w:rPr>
                <w:sz w:val="19"/>
                <w:szCs w:val="19"/>
              </w:rPr>
              <w:t>EGFR</w:t>
            </w:r>
            <w:r>
              <w:rPr>
                <w:spacing w:val="1"/>
                <w:sz w:val="19"/>
                <w:szCs w:val="19"/>
              </w:rPr>
              <w:t>酪氨酸激酶</w:t>
            </w:r>
            <w:r>
              <w:rPr>
                <w:sz w:val="19"/>
                <w:szCs w:val="19"/>
              </w:rPr>
              <w:t xml:space="preserve">抑制剂(TKI)治 </w:t>
            </w:r>
            <w:r>
              <w:rPr>
                <w:sz w:val="19"/>
                <w:szCs w:val="19"/>
              </w:rPr>
              <w:t>疗时或治疗后出现疾病进展，并且经检测确认存在EG</w:t>
            </w:r>
            <w:r>
              <w:rPr>
                <w:spacing w:val="-1"/>
                <w:sz w:val="19"/>
                <w:szCs w:val="19"/>
              </w:rPr>
              <w:t>FR T790M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突变阳性的局部晚期或转移性NSCLC成人患者的治疗。</w:t>
            </w:r>
          </w:p>
        </w:tc>
        <w:tc>
          <w:tcPr>
            <w:tcW w:w="55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2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7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30" w:lineRule="auto"/>
              <w:ind w:left="10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1.出院小结或疾病证明书原件，并标明几线治疗；2.病理报告；3.基因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检测报告。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1477"/>
        </w:trPr>
        <w:tc>
          <w:tcPr>
            <w:tcW w:w="54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73</w:t>
            </w:r>
          </w:p>
        </w:tc>
        <w:tc>
          <w:tcPr>
            <w:tcW w:w="1969" w:type="dxa"/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spacing w:line="35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甲磺酸阿美替尼片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44" w:line="220" w:lineRule="auto"/>
              <w:ind w:left="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限：1.表皮生长因子受体(EGFR)外显子19缺失或外显子</w:t>
            </w:r>
          </w:p>
          <w:p>
            <w:pPr>
              <w:pStyle w:val="TableText"/>
              <w:spacing w:before="34" w:line="258" w:lineRule="auto"/>
              <w:ind w:left="50" w:right="108" w:firstLine="2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21(L858R)置换突变的局部晚期或转移性非小细胞肺癌(</w:t>
            </w:r>
            <w:r>
              <w:rPr>
                <w:sz w:val="19"/>
                <w:szCs w:val="19"/>
              </w:rPr>
              <w:t>NSCLC</w:t>
            </w:r>
            <w:r>
              <w:rPr>
                <w:spacing w:val="1"/>
                <w:sz w:val="19"/>
                <w:szCs w:val="19"/>
              </w:rPr>
              <w:t xml:space="preserve">) </w:t>
            </w:r>
            <w:r>
              <w:rPr>
                <w:spacing w:val="1"/>
                <w:sz w:val="19"/>
                <w:szCs w:val="19"/>
              </w:rPr>
              <w:t>成人患者的一线治疗；2.既往经</w:t>
            </w:r>
            <w:r>
              <w:rPr>
                <w:sz w:val="19"/>
                <w:szCs w:val="19"/>
              </w:rPr>
              <w:t>EGFR</w:t>
            </w:r>
            <w:r>
              <w:rPr>
                <w:spacing w:val="1"/>
                <w:sz w:val="19"/>
                <w:szCs w:val="19"/>
              </w:rPr>
              <w:t>酪氨酸激酶抑制剂(</w:t>
            </w:r>
            <w:r>
              <w:rPr>
                <w:sz w:val="19"/>
                <w:szCs w:val="19"/>
              </w:rPr>
              <w:t>TKI</w:t>
            </w:r>
            <w:r>
              <w:rPr>
                <w:spacing w:val="1"/>
                <w:sz w:val="19"/>
                <w:szCs w:val="19"/>
              </w:rPr>
              <w:t>)治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疗时或治疗后出现疾病进展，并且经检测确认存在EGFR T790M</w:t>
            </w:r>
            <w:r>
              <w:rPr>
                <w:spacing w:val="6"/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突变阳性的局部晚期或转移性非小细胞肺癌成人</w:t>
            </w:r>
            <w:r>
              <w:rPr>
                <w:spacing w:val="-1"/>
                <w:sz w:val="19"/>
                <w:szCs w:val="19"/>
              </w:rPr>
              <w:t>患者的治疗。</w:t>
            </w:r>
          </w:p>
        </w:tc>
        <w:tc>
          <w:tcPr>
            <w:tcW w:w="55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2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74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/>
              <w:ind w:left="105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1.出院小结或疾病证明书原件，并标明几线治疗；2.病理报告；3.基因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检测报告。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3263"/>
        </w:trPr>
        <w:tc>
          <w:tcPr>
            <w:tcW w:w="54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74</w:t>
            </w:r>
          </w:p>
        </w:tc>
        <w:tc>
          <w:tcPr>
            <w:tcW w:w="1969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盐酸安罗替尼胶囊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51" w:line="274" w:lineRule="auto"/>
              <w:ind w:left="50" w:firstLine="20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限：1.既往至少接受过2种系统化疗后出现进展或复发的局部晚期</w:t>
            </w:r>
            <w:r>
              <w:rPr>
                <w:spacing w:val="1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或转移性非小细胞肺癌患者的治疗。对于存在表皮生长因子受体 </w:t>
            </w:r>
            <w:r>
              <w:rPr>
                <w:sz w:val="19"/>
                <w:szCs w:val="19"/>
              </w:rPr>
              <w:t>(EGFR)基因突变或间变性淋巴瘤激酶(ALK)阳性的患者，在开始</w:t>
            </w:r>
            <w:r>
              <w:rPr>
                <w:spacing w:val="9"/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本品治疗前应接受相应的标准靶向药物治疗后进展、且至少接受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过2种系统化疗后出现进展或复发；2.腺泡状软组织肉瘤</w:t>
            </w:r>
            <w:r>
              <w:rPr>
                <w:sz w:val="19"/>
                <w:szCs w:val="19"/>
              </w:rPr>
              <w:t xml:space="preserve">、透明  </w:t>
            </w:r>
            <w:r>
              <w:rPr>
                <w:spacing w:val="-1"/>
                <w:sz w:val="19"/>
                <w:szCs w:val="19"/>
              </w:rPr>
              <w:t xml:space="preserve">细胞  肉瘤以及既往至少接受过含蒽环类化疗方案治疗后进展或 </w:t>
            </w:r>
            <w:r>
              <w:rPr>
                <w:spacing w:val="-2"/>
                <w:sz w:val="19"/>
                <w:szCs w:val="19"/>
              </w:rPr>
              <w:t>复发的  其他晚期软组织肉瘤患者的治疗；3.既往至少接受过2种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化疗方案治疗后进展或复发的小细胞肺癌患者的治疗；</w:t>
            </w:r>
            <w:r>
              <w:rPr>
                <w:sz w:val="19"/>
                <w:szCs w:val="19"/>
              </w:rPr>
              <w:t xml:space="preserve">4.具有临 </w:t>
            </w:r>
            <w:r>
              <w:rPr>
                <w:sz w:val="19"/>
                <w:szCs w:val="19"/>
              </w:rPr>
              <w:t>床症状或  明确疾病进展的、不可切除的局部晚期或转移性甲状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腺髓样癌患者的治疗；5.进展性、局部晚期或转移性放射性碘难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治性分化型甲状腺癌患者。</w:t>
            </w:r>
          </w:p>
        </w:tc>
        <w:tc>
          <w:tcPr>
            <w:tcW w:w="55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84" w:lineRule="auto"/>
              <w:ind w:left="22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7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105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1.出院小结或疾病证明书原件，并标明几线治疗(注明3线治疗);2.</w:t>
            </w:r>
          </w:p>
          <w:p>
            <w:pPr>
              <w:pStyle w:val="TableText"/>
              <w:spacing w:before="64" w:line="237" w:lineRule="auto"/>
              <w:ind w:left="105" w:right="87" w:hanging="3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病理报告(肉瘤患者出院小结或疾病证明书原件，并标明几线治疗注明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1线治疗):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53" w:line="182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75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03" w:line="219" w:lineRule="auto"/>
              <w:ind w:left="39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克唑替尼胶囊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73" w:line="236" w:lineRule="auto"/>
              <w:ind w:left="79" w:hanging="9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限间变性淋巴瘤激酶(ALK)阳性的局部晚期或</w:t>
            </w:r>
            <w:r>
              <w:rPr>
                <w:spacing w:val="-3"/>
                <w:sz w:val="19"/>
                <w:szCs w:val="19"/>
              </w:rPr>
              <w:t>转移性非小细胞肺癌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患者或ROS1阳性的晚期非小细胞肺癌患者。</w:t>
            </w:r>
          </w:p>
        </w:tc>
        <w:tc>
          <w:tcPr>
            <w:tcW w:w="559" w:type="dxa"/>
            <w:vAlign w:val="top"/>
          </w:tcPr>
          <w:p>
            <w:pPr>
              <w:pStyle w:val="TableText"/>
              <w:spacing w:before="251" w:line="184" w:lineRule="auto"/>
              <w:ind w:left="22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74" w:type="dxa"/>
            <w:vAlign w:val="top"/>
          </w:tcPr>
          <w:p>
            <w:pPr>
              <w:pStyle w:val="TableText"/>
              <w:spacing w:before="202" w:line="218" w:lineRule="auto"/>
              <w:ind w:left="10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1.出院小结或疾病证明书原件；2.病理报告；3.基因检</w:t>
            </w:r>
            <w:r>
              <w:rPr>
                <w:spacing w:val="-1"/>
                <w:sz w:val="19"/>
                <w:szCs w:val="19"/>
              </w:rPr>
              <w:t>测报告。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539"/>
        </w:trPr>
        <w:tc>
          <w:tcPr>
            <w:tcW w:w="545" w:type="dxa"/>
            <w:vAlign w:val="top"/>
          </w:tcPr>
          <w:p>
            <w:pPr>
              <w:pStyle w:val="TableText"/>
              <w:spacing w:before="243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76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194" w:line="219" w:lineRule="auto"/>
              <w:ind w:left="399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塞瑞替尼胶囊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92" w:line="212" w:lineRule="auto"/>
              <w:ind w:left="90" w:hanging="10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限间变性淋巴瘤激酶(ALK)阳性的局部晚期或转移性非小细胞肺癌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(NSCLC)患者的治疗。</w:t>
            </w:r>
          </w:p>
        </w:tc>
        <w:tc>
          <w:tcPr>
            <w:tcW w:w="559" w:type="dxa"/>
            <w:vAlign w:val="top"/>
          </w:tcPr>
          <w:p>
            <w:pPr>
              <w:pStyle w:val="TableText"/>
              <w:spacing w:before="242" w:line="184" w:lineRule="auto"/>
              <w:ind w:left="22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74" w:type="dxa"/>
            <w:vAlign w:val="top"/>
          </w:tcPr>
          <w:p>
            <w:pPr>
              <w:pStyle w:val="TableText"/>
              <w:spacing w:before="193" w:line="218" w:lineRule="auto"/>
              <w:ind w:left="10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1.出院小结或疾病证明书原件；2.病理报告；3.基因检</w:t>
            </w:r>
            <w:r>
              <w:rPr>
                <w:spacing w:val="-1"/>
                <w:sz w:val="19"/>
                <w:szCs w:val="19"/>
              </w:rPr>
              <w:t>测报告。</w:t>
            </w:r>
          </w:p>
        </w:tc>
      </w:tr>
    </w:tbl>
    <w:p>
      <w:pPr>
        <w:sectPr>
          <w:footerReference w:type="default" r:id="rId12"/>
          <w:pgSz w:w="16840" w:h="11910"/>
          <w:pgMar w:top="1012" w:right="1291" w:bottom="65" w:left="1065" w:header="0" w:footer="0" w:gutter="0"/>
          <w:pgNumType w:start="16"/>
          <w:cols w:space="708"/>
        </w:sectPr>
      </w:pPr>
    </w:p>
    <w:tbl>
      <w:tblPr>
        <w:tblStyle w:val="TableNormal15"/>
        <w:tblW w:w="144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69"/>
        <w:gridCol w:w="5426"/>
        <w:gridCol w:w="559"/>
        <w:gridCol w:w="5974"/>
      </w:tblGrid>
      <w:tr>
        <w:tblPrEx>
          <w:tblW w:w="14473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55" w:line="182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77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05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盐酸阿来替尼胶囊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24" w:line="211" w:lineRule="auto"/>
              <w:ind w:left="61" w:firstLine="19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限间变性淋巴瘤激酶(ALK)阳性的局部晚期或转移性非小细胞肺癌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患者。</w:t>
            </w:r>
          </w:p>
        </w:tc>
        <w:tc>
          <w:tcPr>
            <w:tcW w:w="559" w:type="dxa"/>
            <w:vAlign w:val="top"/>
          </w:tcPr>
          <w:p>
            <w:pPr>
              <w:pStyle w:val="TableText"/>
              <w:spacing w:before="253" w:line="184" w:lineRule="auto"/>
              <w:ind w:left="22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74" w:type="dxa"/>
            <w:vAlign w:val="top"/>
          </w:tcPr>
          <w:p>
            <w:pPr>
              <w:pStyle w:val="TableText"/>
              <w:spacing w:before="204" w:line="218" w:lineRule="auto"/>
              <w:ind w:left="10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1.出院小结或疾病证明书原件；2.病理报告；3.基因检</w:t>
            </w:r>
            <w:r>
              <w:rPr>
                <w:spacing w:val="-1"/>
                <w:sz w:val="19"/>
                <w:szCs w:val="19"/>
              </w:rPr>
              <w:t>测报告。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568"/>
        </w:trPr>
        <w:tc>
          <w:tcPr>
            <w:tcW w:w="545" w:type="dxa"/>
            <w:vAlign w:val="top"/>
          </w:tcPr>
          <w:p>
            <w:pPr>
              <w:pStyle w:val="TableText"/>
              <w:spacing w:before="255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78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06" w:line="219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培唑帕尼片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25" w:line="210" w:lineRule="auto"/>
              <w:ind w:left="41" w:right="5" w:firstLine="3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限晚期肾细胞癌患者的一线治疗和曾经接受过细胞因子治疗的晚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期肾细胞癌的治疗。</w:t>
            </w:r>
          </w:p>
        </w:tc>
        <w:tc>
          <w:tcPr>
            <w:tcW w:w="559" w:type="dxa"/>
            <w:vAlign w:val="top"/>
          </w:tcPr>
          <w:p>
            <w:pPr>
              <w:pStyle w:val="TableText"/>
              <w:spacing w:before="254" w:line="184" w:lineRule="auto"/>
              <w:ind w:left="22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74" w:type="dxa"/>
            <w:vAlign w:val="top"/>
          </w:tcPr>
          <w:p>
            <w:pPr>
              <w:pStyle w:val="TableText"/>
              <w:spacing w:before="115" w:line="215" w:lineRule="auto"/>
              <w:ind w:left="105" w:right="1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</w:t>
            </w:r>
            <w:r>
              <w:rPr>
                <w:spacing w:val="-2"/>
                <w:sz w:val="19"/>
                <w:szCs w:val="19"/>
              </w:rPr>
              <w:t>2.影像报告；3.病理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报告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574"/>
        </w:trPr>
        <w:tc>
          <w:tcPr>
            <w:tcW w:w="545" w:type="dxa"/>
            <w:vAlign w:val="top"/>
          </w:tcPr>
          <w:p>
            <w:pPr>
              <w:pStyle w:val="TableText"/>
              <w:spacing w:before="257" w:line="183" w:lineRule="auto"/>
              <w:ind w:left="25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79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09" w:line="220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瑞戈非尼片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27" w:line="212" w:lineRule="auto"/>
              <w:ind w:left="80" w:right="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限：1.肝细胞癌二线治疗；2.转移性结直肠癌三线治疗；3.胃肠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道间质瘤三线治疗。</w:t>
            </w:r>
          </w:p>
        </w:tc>
        <w:tc>
          <w:tcPr>
            <w:tcW w:w="559" w:type="dxa"/>
            <w:vAlign w:val="top"/>
          </w:tcPr>
          <w:p>
            <w:pPr>
              <w:pStyle w:val="TableText"/>
              <w:spacing w:before="256" w:line="184" w:lineRule="auto"/>
              <w:ind w:left="22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74" w:type="dxa"/>
            <w:vAlign w:val="top"/>
          </w:tcPr>
          <w:p>
            <w:pPr>
              <w:pStyle w:val="TableText"/>
              <w:spacing w:before="127" w:line="212" w:lineRule="auto"/>
              <w:ind w:left="105" w:right="25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1.出院小结或疾病证明书原件，并标明几线治疗(注明分期);2.病理 </w:t>
            </w:r>
            <w:r>
              <w:rPr>
                <w:spacing w:val="-1"/>
                <w:sz w:val="19"/>
                <w:szCs w:val="19"/>
              </w:rPr>
              <w:t>报告(肝细胞癌不需要)。</w:t>
            </w:r>
          </w:p>
        </w:tc>
      </w:tr>
    </w:tbl>
    <w:p>
      <w:pPr>
        <w:pStyle w:val="BodyText"/>
        <w:spacing w:line="14" w:lineRule="auto"/>
      </w:pPr>
    </w:p>
    <w:p>
      <w:pPr>
        <w:spacing w:line="14" w:lineRule="auto"/>
        <w:sectPr>
          <w:footerReference w:type="default" r:id="rId13"/>
          <w:type w:val="nextPage"/>
          <w:pgSz w:w="16840" w:h="11910"/>
          <w:pgMar w:top="1012" w:right="1291" w:bottom="65" w:left="1065" w:header="0" w:footer="0" w:gutter="0"/>
          <w:pgNumType w:start="17"/>
          <w:cols w:space="708"/>
          <w:titlePg w:val="0"/>
        </w:sectPr>
      </w:pPr>
    </w:p>
    <w:p>
      <w:pPr>
        <w:pStyle w:val="BodyText"/>
        <w:rPr>
          <w:sz w:val="21"/>
        </w:rPr>
      </w:pPr>
    </w:p>
    <w:p>
      <w:pPr>
        <w:rPr>
          <w:sz w:val="21"/>
          <w:szCs w:val="21"/>
        </w:rPr>
        <w:sectPr>
          <w:headerReference w:type="default" r:id="rId14"/>
          <w:footerReference w:type="default" r:id="rId15"/>
          <w:pgSz w:w="11910" w:h="16840"/>
          <w:pgMar w:top="0" w:right="0" w:bottom="0" w:left="0" w:header="0" w:footer="0" w:gutter="0"/>
          <w:pgNumType w:start="18"/>
          <w:cols w:space="708"/>
        </w:sectPr>
      </w:pPr>
    </w:p>
    <w:p>
      <w:pPr>
        <w:spacing w:before="43"/>
      </w:pPr>
    </w:p>
    <w:p>
      <w:pPr>
        <w:spacing w:before="42"/>
      </w:pPr>
    </w:p>
    <w:p>
      <w:pPr>
        <w:spacing w:before="42"/>
      </w:pPr>
    </w:p>
    <w:tbl>
      <w:tblPr>
        <w:tblStyle w:val="TableNormal16"/>
        <w:tblW w:w="144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75"/>
        <w:gridCol w:w="1969"/>
        <w:gridCol w:w="5396"/>
        <w:gridCol w:w="579"/>
        <w:gridCol w:w="5954"/>
      </w:tblGrid>
      <w:tr>
        <w:tblPrEx>
          <w:tblW w:w="14473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143"/>
        </w:trPr>
        <w:tc>
          <w:tcPr>
            <w:tcW w:w="575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80</w:t>
            </w:r>
          </w:p>
        </w:tc>
        <w:tc>
          <w:tcPr>
            <w:tcW w:w="196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甲磺酸阿帕替尼片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03" w:line="250" w:lineRule="auto"/>
              <w:ind w:left="31" w:firstLine="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限：1.既往至少接受过2种系统化疗后进展或复发的晚期</w:t>
            </w:r>
            <w:r>
              <w:rPr>
                <w:spacing w:val="-1"/>
                <w:sz w:val="19"/>
                <w:szCs w:val="19"/>
              </w:rPr>
              <w:t>胃腺癌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-2"/>
                <w:sz w:val="19"/>
                <w:szCs w:val="19"/>
              </w:rPr>
              <w:t>或胃-食管结合部腺癌患者；2.既往接受过至少一线系统性治</w:t>
            </w:r>
            <w:r>
              <w:rPr>
                <w:spacing w:val="-3"/>
                <w:sz w:val="19"/>
                <w:szCs w:val="19"/>
              </w:rPr>
              <w:t>疗后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失败或不可耐受的晚期肝细胞癌患者；3.不可切除或转移性肝细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胞癌患者的一线治疗。</w:t>
            </w:r>
          </w:p>
        </w:tc>
        <w:tc>
          <w:tcPr>
            <w:tcW w:w="57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5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49" w:lineRule="auto"/>
              <w:ind w:left="55" w:right="318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1.出院小结或疾病证明书原件，并标明几线治疗(注明</w:t>
            </w:r>
            <w:r>
              <w:rPr>
                <w:spacing w:val="1"/>
                <w:sz w:val="19"/>
                <w:szCs w:val="19"/>
              </w:rPr>
              <w:t>2线治疗);2.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病理报告(肝细胞癌不需要)。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289"/>
        </w:trPr>
        <w:tc>
          <w:tcPr>
            <w:tcW w:w="575" w:type="dxa"/>
            <w:vAlign w:val="top"/>
          </w:tcPr>
          <w:p>
            <w:pPr>
              <w:pStyle w:val="TableText"/>
              <w:spacing w:before="97" w:line="176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81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89" w:line="184" w:lineRule="auto"/>
              <w:ind w:left="39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呋喹替尼胶囊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90" w:line="183" w:lineRule="auto"/>
              <w:ind w:left="3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限转移性结直肠癌患者的三线治疗。</w:t>
            </w:r>
          </w:p>
        </w:tc>
        <w:tc>
          <w:tcPr>
            <w:tcW w:w="579" w:type="dxa"/>
            <w:vAlign w:val="top"/>
          </w:tcPr>
          <w:p>
            <w:pPr>
              <w:pStyle w:val="TableText"/>
              <w:spacing w:before="140" w:line="139" w:lineRule="exact"/>
              <w:ind w:left="235"/>
              <w:rPr>
                <w:sz w:val="19"/>
                <w:szCs w:val="19"/>
              </w:rPr>
            </w:pPr>
            <w:r>
              <w:rPr>
                <w:position w:val="-2"/>
                <w:sz w:val="19"/>
                <w:szCs w:val="19"/>
              </w:rPr>
              <w:t>B</w:t>
            </w:r>
          </w:p>
        </w:tc>
        <w:tc>
          <w:tcPr>
            <w:tcW w:w="5954" w:type="dxa"/>
            <w:vAlign w:val="top"/>
          </w:tcPr>
          <w:p>
            <w:pPr>
              <w:pStyle w:val="TableText"/>
              <w:spacing w:before="88" w:line="185" w:lineRule="auto"/>
              <w:ind w:left="5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1.出院小结或疾病证明书原件，并标明几线治疗；2.病理报</w:t>
            </w:r>
            <w:r>
              <w:rPr>
                <w:spacing w:val="-1"/>
                <w:sz w:val="19"/>
                <w:szCs w:val="19"/>
              </w:rPr>
              <w:t>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888"/>
        </w:trPr>
        <w:tc>
          <w:tcPr>
            <w:tcW w:w="575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82</w:t>
            </w:r>
          </w:p>
        </w:tc>
        <w:tc>
          <w:tcPr>
            <w:tcW w:w="196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马来酸吡咯替尼片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21" w:line="245" w:lineRule="auto"/>
              <w:ind w:left="31" w:right="115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限：1.表皮生长因子受体2(HER2)阳性的复发或转移性乳腺癌患</w:t>
            </w:r>
            <w:r>
              <w:rPr>
                <w:spacing w:val="1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者；2.表皮生长因子受体2(HER2)阳性早期或局部晚期乳腺癌患</w:t>
            </w:r>
            <w:r>
              <w:rPr>
                <w:spacing w:val="13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者的新辅助治疗。</w:t>
            </w:r>
          </w:p>
        </w:tc>
        <w:tc>
          <w:tcPr>
            <w:tcW w:w="579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2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54" w:type="dxa"/>
            <w:vAlign w:val="top"/>
          </w:tcPr>
          <w:p>
            <w:pPr>
              <w:pStyle w:val="TableText"/>
              <w:spacing w:before="238" w:line="255" w:lineRule="auto"/>
              <w:ind w:left="55" w:firstLine="2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1.出院小结或疾病证明书原件，并标明几线治疗；2.病理报告；3.免疫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组化报告(HER2阳性或CerB2+++)。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1147"/>
        </w:trPr>
        <w:tc>
          <w:tcPr>
            <w:tcW w:w="575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83</w:t>
            </w:r>
          </w:p>
        </w:tc>
        <w:tc>
          <w:tcPr>
            <w:tcW w:w="196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19" w:lineRule="auto"/>
              <w:ind w:left="399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尼洛替尼胶囊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93" w:line="219" w:lineRule="auto"/>
              <w:ind w:left="5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限：1.新诊断的费城染色体阳性的慢性髓性白血病(Ph+CML)慢</w:t>
            </w:r>
          </w:p>
          <w:p>
            <w:pPr>
              <w:pStyle w:val="TableText"/>
              <w:spacing w:before="52" w:line="248" w:lineRule="auto"/>
              <w:ind w:left="31" w:firstLine="1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性期成人患者及2岁以上的儿童患者；2.既往治疗(包括伊马替尼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)耐药或不耐受的费城染色体阳性的慢性髓性白血病(Ph+CML)慢  </w:t>
            </w:r>
            <w:r>
              <w:rPr>
                <w:sz w:val="19"/>
                <w:szCs w:val="19"/>
              </w:rPr>
              <w:t>性期或加速期成人患者以及慢性期2岁以上的儿童</w:t>
            </w:r>
            <w:r>
              <w:rPr>
                <w:spacing w:val="-1"/>
                <w:sz w:val="19"/>
                <w:szCs w:val="19"/>
              </w:rPr>
              <w:t>患者。</w:t>
            </w:r>
          </w:p>
        </w:tc>
        <w:tc>
          <w:tcPr>
            <w:tcW w:w="57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54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45" w:lineRule="auto"/>
              <w:ind w:left="55" w:right="1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1.出院小结或疾病证明书原件，并标明几线治疗；2.骨髓报告；3.染色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体报告或基因报告。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858"/>
        </w:trPr>
        <w:tc>
          <w:tcPr>
            <w:tcW w:w="575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84</w:t>
            </w:r>
          </w:p>
        </w:tc>
        <w:tc>
          <w:tcPr>
            <w:tcW w:w="196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19" w:lineRule="auto"/>
              <w:ind w:left="399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伊布替尼胶囊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03" w:line="241" w:lineRule="auto"/>
              <w:ind w:left="31" w:right="10" w:firstLine="39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限：1.既往至少接受过一种治疗的套细胞淋巴瘤(MCL)患者的治 </w:t>
            </w:r>
            <w:r>
              <w:rPr>
                <w:spacing w:val="1"/>
                <w:sz w:val="19"/>
                <w:szCs w:val="19"/>
              </w:rPr>
              <w:t>疗；2.慢性淋巴细胞白血病/小淋巴细胞淋巴瘤(</w:t>
            </w:r>
            <w:r>
              <w:rPr>
                <w:sz w:val="19"/>
                <w:szCs w:val="19"/>
              </w:rPr>
              <w:t xml:space="preserve">CLL/SLL)患者的 </w:t>
            </w:r>
            <w:r>
              <w:rPr>
                <w:sz w:val="19"/>
                <w:szCs w:val="19"/>
              </w:rPr>
              <w:t>治疗；3.华氏巨球蛋白血症患者的治疗，</w:t>
            </w:r>
            <w:r>
              <w:rPr>
                <w:spacing w:val="-1"/>
                <w:sz w:val="19"/>
                <w:szCs w:val="19"/>
              </w:rPr>
              <w:t>按说明书用药。</w:t>
            </w:r>
          </w:p>
        </w:tc>
        <w:tc>
          <w:tcPr>
            <w:tcW w:w="579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54" w:type="dxa"/>
            <w:vAlign w:val="top"/>
          </w:tcPr>
          <w:p>
            <w:pPr>
              <w:pStyle w:val="TableText"/>
              <w:spacing w:before="244" w:line="235" w:lineRule="auto"/>
              <w:ind w:left="55" w:firstLine="2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1.出院小结或疾病证明书原件，并标明几线治疗；2.病理报告或者免疫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分型报告。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868"/>
        </w:trPr>
        <w:tc>
          <w:tcPr>
            <w:tcW w:w="575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85</w:t>
            </w:r>
          </w:p>
        </w:tc>
        <w:tc>
          <w:tcPr>
            <w:tcW w:w="1969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19" w:lineRule="auto"/>
              <w:ind w:left="399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泽布替尼胶囊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16"/>
              <w:ind w:left="31" w:firstLine="39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限：1.既往至少接受过一种治疗的成人套细胞淋巴瘤(M</w:t>
            </w:r>
            <w:r>
              <w:rPr>
                <w:spacing w:val="-1"/>
                <w:sz w:val="19"/>
                <w:szCs w:val="19"/>
              </w:rPr>
              <w:t>CL)患者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1"/>
                <w:sz w:val="19"/>
                <w:szCs w:val="19"/>
              </w:rPr>
              <w:t>;2.成人慢性淋巴细胞白血病(</w:t>
            </w:r>
            <w:r>
              <w:rPr>
                <w:sz w:val="19"/>
                <w:szCs w:val="19"/>
              </w:rPr>
              <w:t>CLL</w:t>
            </w:r>
            <w:r>
              <w:rPr>
                <w:spacing w:val="1"/>
                <w:sz w:val="19"/>
                <w:szCs w:val="19"/>
              </w:rPr>
              <w:t>)/小淋巴细胞淋巴瘤(</w:t>
            </w:r>
            <w:r>
              <w:rPr>
                <w:sz w:val="19"/>
                <w:szCs w:val="19"/>
              </w:rPr>
              <w:t>SLL</w:t>
            </w:r>
            <w:r>
              <w:rPr>
                <w:spacing w:val="1"/>
                <w:sz w:val="19"/>
                <w:szCs w:val="19"/>
              </w:rPr>
              <w:t>)患者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;3.成人华氏巨球蛋白血症(WM)患者。</w:t>
            </w:r>
          </w:p>
        </w:tc>
        <w:tc>
          <w:tcPr>
            <w:tcW w:w="579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54" w:type="dxa"/>
            <w:vAlign w:val="top"/>
          </w:tcPr>
          <w:p>
            <w:pPr>
              <w:pStyle w:val="TableText"/>
              <w:spacing w:before="245" w:line="250" w:lineRule="auto"/>
              <w:ind w:left="55" w:right="8" w:firstLine="40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1.出院小结或疾病证明书原件，并标明几线治疗；2.病理报告或者免疫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分型报告。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1467"/>
        </w:trPr>
        <w:tc>
          <w:tcPr>
            <w:tcW w:w="575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86</w:t>
            </w:r>
          </w:p>
        </w:tc>
        <w:tc>
          <w:tcPr>
            <w:tcW w:w="196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30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磷酸芦可替尼片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39" w:line="256" w:lineRule="auto"/>
              <w:ind w:left="20" w:right="7" w:firstLine="2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限：1.中危或高危的原发性骨髓纤维化(PMF)(亦称为慢性特发性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骨髓纤维化)、真性红细胞增多症继发的骨髓纤维化(PPV-MF)或</w:t>
            </w:r>
            <w:r>
              <w:rPr>
                <w:spacing w:val="5"/>
                <w:sz w:val="19"/>
                <w:szCs w:val="19"/>
              </w:rPr>
              <w:t xml:space="preserve">  </w:t>
            </w:r>
            <w:r>
              <w:rPr>
                <w:spacing w:val="3"/>
                <w:sz w:val="19"/>
                <w:szCs w:val="19"/>
              </w:rPr>
              <w:t>原发性血小板增多症继发的骨髓纤维化(</w:t>
            </w:r>
            <w:r>
              <w:rPr>
                <w:sz w:val="19"/>
                <w:szCs w:val="19"/>
              </w:rPr>
              <w:t>PET</w:t>
            </w:r>
            <w:r>
              <w:rPr>
                <w:spacing w:val="3"/>
                <w:sz w:val="19"/>
                <w:szCs w:val="19"/>
              </w:rPr>
              <w:t>-</w:t>
            </w:r>
            <w:r>
              <w:rPr>
                <w:sz w:val="19"/>
                <w:szCs w:val="19"/>
              </w:rPr>
              <w:t>MF</w:t>
            </w:r>
            <w:r>
              <w:rPr>
                <w:spacing w:val="3"/>
                <w:sz w:val="19"/>
                <w:szCs w:val="19"/>
              </w:rPr>
              <w:t>)的成年患者；2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对  糖皮质激素或其他系统治疗应答不充分的1</w:t>
            </w:r>
            <w:r>
              <w:rPr>
                <w:spacing w:val="-1"/>
                <w:sz w:val="19"/>
                <w:szCs w:val="19"/>
              </w:rPr>
              <w:t>2岁及以上急性移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植物抗宿主病(急性GVHD,aGVHD)患者。</w:t>
            </w:r>
          </w:p>
        </w:tc>
        <w:tc>
          <w:tcPr>
            <w:tcW w:w="57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2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595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45" w:lineRule="auto"/>
              <w:ind w:left="55" w:right="9" w:firstLine="2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</w:t>
            </w:r>
            <w:r>
              <w:rPr>
                <w:spacing w:val="-2"/>
                <w:sz w:val="19"/>
                <w:szCs w:val="19"/>
              </w:rPr>
              <w:t>病理报告；3.骨髓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报告。</w:t>
            </w:r>
          </w:p>
        </w:tc>
      </w:tr>
      <w:tr>
        <w:tblPrEx>
          <w:tblW w:w="14473" w:type="dxa"/>
          <w:tblInd w:w="5" w:type="dxa"/>
          <w:tblLayout w:type="fixed"/>
        </w:tblPrEx>
        <w:trPr>
          <w:trHeight w:val="569"/>
        </w:trPr>
        <w:tc>
          <w:tcPr>
            <w:tcW w:w="575" w:type="dxa"/>
            <w:vAlign w:val="top"/>
          </w:tcPr>
          <w:p>
            <w:pPr>
              <w:pStyle w:val="TableText"/>
              <w:spacing w:before="251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87</w:t>
            </w:r>
          </w:p>
        </w:tc>
        <w:tc>
          <w:tcPr>
            <w:tcW w:w="1969" w:type="dxa"/>
            <w:vAlign w:val="top"/>
          </w:tcPr>
          <w:p>
            <w:pPr>
              <w:pStyle w:val="TableText"/>
              <w:spacing w:before="202" w:line="219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维莫非尼片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02" w:line="222" w:lineRule="auto"/>
              <w:ind w:left="31" w:right="521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治疗经CFDA批准的检测方法确定的BR</w:t>
            </w:r>
            <w:r>
              <w:rPr>
                <w:spacing w:val="-1"/>
                <w:sz w:val="19"/>
                <w:szCs w:val="19"/>
              </w:rPr>
              <w:t>AF V600突变阳性的不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可切除或转移性黑色素瘤。</w:t>
            </w:r>
          </w:p>
        </w:tc>
        <w:tc>
          <w:tcPr>
            <w:tcW w:w="579" w:type="dxa"/>
            <w:vAlign w:val="top"/>
          </w:tcPr>
          <w:p>
            <w:pPr>
              <w:pStyle w:val="TableText"/>
              <w:spacing w:before="250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54" w:type="dxa"/>
            <w:vAlign w:val="top"/>
          </w:tcPr>
          <w:p>
            <w:pPr>
              <w:pStyle w:val="TableText"/>
              <w:spacing w:before="102" w:line="222" w:lineRule="auto"/>
              <w:ind w:left="5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1.出院小结或疾病证明书原件，并标明几线治疗；2.影像报告；3</w:t>
            </w:r>
            <w:r>
              <w:rPr>
                <w:spacing w:val="-1"/>
                <w:sz w:val="19"/>
                <w:szCs w:val="19"/>
              </w:rPr>
              <w:t>.基因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检测报告。</w:t>
            </w:r>
          </w:p>
        </w:tc>
      </w:tr>
    </w:tbl>
    <w:p>
      <w:pPr>
        <w:sectPr>
          <w:headerReference w:type="default" r:id="rId16"/>
          <w:footerReference w:type="default" r:id="rId17"/>
          <w:pgSz w:w="16840" w:h="11910"/>
          <w:pgMar w:top="400" w:right="1291" w:bottom="315" w:left="1065" w:header="0" w:footer="0" w:gutter="0"/>
          <w:pgNumType w:start="19"/>
          <w:cols w:space="708"/>
        </w:sectPr>
      </w:pPr>
    </w:p>
    <w:tbl>
      <w:tblPr>
        <w:tblStyle w:val="TableNormal17"/>
        <w:tblW w:w="1447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75"/>
        <w:gridCol w:w="1969"/>
        <w:gridCol w:w="5396"/>
        <w:gridCol w:w="579"/>
        <w:gridCol w:w="5954"/>
      </w:tblGrid>
      <w:tr>
        <w:tblPrEx>
          <w:tblW w:w="14473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719"/>
        </w:trPr>
        <w:tc>
          <w:tcPr>
            <w:tcW w:w="575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8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88</w:t>
            </w:r>
          </w:p>
        </w:tc>
        <w:tc>
          <w:tcPr>
            <w:tcW w:w="196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曲美替尼片</w:t>
            </w:r>
          </w:p>
        </w:tc>
        <w:tc>
          <w:tcPr>
            <w:tcW w:w="5396" w:type="dxa"/>
            <w:vAlign w:val="top"/>
          </w:tcPr>
          <w:p>
            <w:pPr>
              <w:pStyle w:val="TableText"/>
              <w:spacing w:before="192" w:line="262" w:lineRule="auto"/>
              <w:ind w:left="31" w:right="3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限：1.BRAF V600突变阳性不可切除或转移性黑色素瘤：联合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甲磺酸达拉非尼适用于治疗BRAF V600突变阳性的不可切除或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转移性黑色素瘤患者；2.BRAF V600突</w:t>
            </w:r>
            <w:r>
              <w:rPr>
                <w:spacing w:val="-1"/>
                <w:sz w:val="19"/>
                <w:szCs w:val="19"/>
              </w:rPr>
              <w:t>变阳性黑色素瘤的术后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辅助治</w:t>
            </w:r>
          </w:p>
          <w:p>
            <w:pPr>
              <w:pStyle w:val="TableText"/>
              <w:spacing w:before="92" w:line="262" w:lineRule="auto"/>
              <w:ind w:left="31" w:right="126" w:firstLin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疗：联合甲磺酸达拉非尼适用于BRAF V600突</w:t>
            </w:r>
            <w:r>
              <w:rPr>
                <w:spacing w:val="-1"/>
                <w:sz w:val="19"/>
                <w:szCs w:val="19"/>
              </w:rPr>
              <w:t>变阳性的Ⅲ期黑色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素瘤患者完全切除后的辅助治疗；3.BRAF V600突变阳性的转移 </w:t>
            </w:r>
            <w:r>
              <w:rPr>
                <w:sz w:val="19"/>
                <w:szCs w:val="19"/>
              </w:rPr>
              <w:t>性</w:t>
            </w:r>
          </w:p>
          <w:p>
            <w:pPr>
              <w:pStyle w:val="TableText"/>
              <w:spacing w:before="52" w:line="235" w:lineRule="auto"/>
              <w:ind w:left="31" w:right="130" w:firstLin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非小细胞肺癌：联合甲磺酸达拉非尼适用于治</w:t>
            </w:r>
            <w:r>
              <w:rPr>
                <w:spacing w:val="-1"/>
                <w:sz w:val="19"/>
                <w:szCs w:val="19"/>
              </w:rPr>
              <w:t>疗BRAF V600突变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阳性的转移性非小细胞肺癌患者。</w:t>
            </w:r>
          </w:p>
        </w:tc>
        <w:tc>
          <w:tcPr>
            <w:tcW w:w="57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3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5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45" w:lineRule="auto"/>
              <w:ind w:left="5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1.出院小结或疾病证明书原件，并标明几线治疗；2.病理报告；3</w:t>
            </w:r>
            <w:r>
              <w:rPr>
                <w:spacing w:val="-1"/>
                <w:sz w:val="19"/>
                <w:szCs w:val="19"/>
              </w:rPr>
              <w:t>.基因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检测报告。</w:t>
            </w:r>
          </w:p>
        </w:tc>
      </w:tr>
    </w:tbl>
    <w:p>
      <w:pPr>
        <w:pStyle w:val="BodyText"/>
        <w:spacing w:line="14" w:lineRule="auto"/>
      </w:pPr>
    </w:p>
    <w:p>
      <w:pPr>
        <w:spacing w:line="14" w:lineRule="auto"/>
        <w:sectPr>
          <w:headerReference w:type="default" r:id="rId18"/>
          <w:footerReference w:type="default" r:id="rId19"/>
          <w:type w:val="nextPage"/>
          <w:pgSz w:w="16840" w:h="11910"/>
          <w:pgMar w:top="400" w:right="1291" w:bottom="315" w:left="1065" w:header="0" w:footer="0" w:gutter="0"/>
          <w:pgNumType w:start="20"/>
          <w:cols w:space="708"/>
          <w:titlePg w:val="0"/>
        </w:sectPr>
      </w:pPr>
    </w:p>
    <w:p>
      <w:pPr>
        <w:pStyle w:val="BodyText"/>
        <w:rPr>
          <w:sz w:val="21"/>
        </w:rPr>
      </w:pPr>
    </w:p>
    <w:p>
      <w:pPr>
        <w:rPr>
          <w:sz w:val="21"/>
          <w:szCs w:val="21"/>
        </w:rPr>
        <w:sectPr>
          <w:headerReference w:type="default" r:id="rId20"/>
          <w:footerReference w:type="default" r:id="rId21"/>
          <w:pgSz w:w="11910" w:h="16840"/>
          <w:pgMar w:top="0" w:right="0" w:bottom="0" w:left="0" w:header="0" w:footer="0" w:gutter="0"/>
          <w:pgNumType w:start="21"/>
          <w:cols w:space="708"/>
        </w:sectPr>
      </w:pPr>
    </w:p>
    <w:p>
      <w:pPr>
        <w:spacing w:before="40"/>
      </w:pPr>
    </w:p>
    <w:p>
      <w:pPr>
        <w:spacing w:before="40"/>
      </w:pPr>
    </w:p>
    <w:p>
      <w:pPr>
        <w:spacing w:before="40"/>
      </w:pPr>
    </w:p>
    <w:p>
      <w:pPr>
        <w:spacing w:before="39"/>
      </w:pPr>
    </w:p>
    <w:tbl>
      <w:tblPr>
        <w:tblStyle w:val="TableNormal18"/>
        <w:tblW w:w="144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545"/>
        <w:gridCol w:w="1968"/>
        <w:gridCol w:w="5426"/>
        <w:gridCol w:w="549"/>
        <w:gridCol w:w="5981"/>
      </w:tblGrid>
      <w:tr>
        <w:tblPrEx>
          <w:tblW w:w="1446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370"/>
        </w:trPr>
        <w:tc>
          <w:tcPr>
            <w:tcW w:w="545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9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89</w:t>
            </w:r>
          </w:p>
        </w:tc>
        <w:tc>
          <w:tcPr>
            <w:tcW w:w="196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1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甲磺酸达拉非尼胶囊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31" w:line="251" w:lineRule="auto"/>
              <w:ind w:left="92" w:right="171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限：1.</w:t>
            </w:r>
            <w:r>
              <w:rPr>
                <w:sz w:val="19"/>
                <w:szCs w:val="19"/>
              </w:rPr>
              <w:t>BRAFV</w:t>
            </w:r>
            <w:r>
              <w:rPr>
                <w:spacing w:val="1"/>
                <w:sz w:val="19"/>
                <w:szCs w:val="19"/>
              </w:rPr>
              <w:t>600突变阳性不可切除或转移性黑色</w:t>
            </w:r>
            <w:r>
              <w:rPr>
                <w:sz w:val="19"/>
                <w:szCs w:val="19"/>
              </w:rPr>
              <w:t xml:space="preserve">素瘤：联合曲 </w:t>
            </w:r>
            <w:r>
              <w:rPr>
                <w:sz w:val="19"/>
                <w:szCs w:val="19"/>
              </w:rPr>
              <w:t>美替尼适用于治疗BRAFV600突变阳性的不可切除或转移性黑</w:t>
            </w:r>
          </w:p>
          <w:p>
            <w:pPr>
              <w:pStyle w:val="TableText"/>
              <w:spacing w:before="64" w:line="219" w:lineRule="auto"/>
              <w:ind w:left="92"/>
              <w:rPr>
                <w:sz w:val="19"/>
                <w:szCs w:val="19"/>
              </w:rPr>
            </w:pPr>
            <w:r>
              <w:rPr>
                <w:spacing w:val="15"/>
                <w:sz w:val="19"/>
                <w:szCs w:val="19"/>
              </w:rPr>
              <w:t>色素瘤患者；</w:t>
            </w:r>
          </w:p>
          <w:p>
            <w:pPr>
              <w:pStyle w:val="TableText"/>
              <w:spacing w:before="63" w:line="265" w:lineRule="auto"/>
              <w:ind w:left="71" w:right="197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2.BRAFV600突变阳性黑色素瘤的术后辅助治疗：联合曲美替尼</w:t>
            </w:r>
            <w:r>
              <w:rPr>
                <w:spacing w:val="15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适用于BRAFV600突变阳性的Ⅲ期黑色素瘤</w:t>
            </w:r>
            <w:r>
              <w:rPr>
                <w:spacing w:val="-1"/>
                <w:sz w:val="19"/>
                <w:szCs w:val="19"/>
              </w:rPr>
              <w:t>患者完全切除后的辅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助</w:t>
            </w:r>
            <w:r>
              <w:rPr>
                <w:spacing w:val="-34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治</w:t>
            </w:r>
            <w:r>
              <w:rPr>
                <w:spacing w:val="-39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疗</w:t>
            </w:r>
            <w:r>
              <w:rPr>
                <w:spacing w:val="-46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；</w:t>
            </w:r>
          </w:p>
          <w:p>
            <w:pPr>
              <w:pStyle w:val="TableText"/>
              <w:spacing w:before="52" w:line="237" w:lineRule="auto"/>
              <w:ind w:left="92" w:right="20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3.BRAFV600突变阳性的转移性非</w:t>
            </w:r>
            <w:r>
              <w:rPr>
                <w:spacing w:val="-1"/>
                <w:sz w:val="19"/>
                <w:szCs w:val="19"/>
              </w:rPr>
              <w:t>小细胞肺癌：联合曲美替尼适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用于治疗BRAFV600突变阳性的转移性非小细</w:t>
            </w:r>
            <w:r>
              <w:rPr>
                <w:spacing w:val="-1"/>
                <w:sz w:val="19"/>
                <w:szCs w:val="19"/>
              </w:rPr>
              <w:t>胞肺癌患者。</w:t>
            </w:r>
          </w:p>
        </w:tc>
        <w:tc>
          <w:tcPr>
            <w:tcW w:w="549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35" w:lineRule="auto"/>
              <w:ind w:left="77" w:firstLine="2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1.出院小结或疾病证明书原件，并标明几线治疗；2.病理报告；3.基因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检测报告。</w:t>
            </w:r>
          </w:p>
        </w:tc>
      </w:tr>
      <w:tr>
        <w:tblPrEx>
          <w:tblW w:w="14469" w:type="dxa"/>
          <w:tblInd w:w="5" w:type="dxa"/>
          <w:tblLayout w:type="fixed"/>
        </w:tblPrEx>
        <w:trPr>
          <w:trHeight w:val="858"/>
        </w:trPr>
        <w:tc>
          <w:tcPr>
            <w:tcW w:w="545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6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90</w:t>
            </w:r>
          </w:p>
        </w:tc>
        <w:tc>
          <w:tcPr>
            <w:tcW w:w="1968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120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甲苯磺酸多纳非尼片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12" w:line="219" w:lineRule="auto"/>
              <w:ind w:left="9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限：1.既往未接受过全身系统性治疗的不可切除肝细胞癌患者</w:t>
            </w:r>
          </w:p>
          <w:p>
            <w:pPr>
              <w:pStyle w:val="TableText"/>
              <w:spacing w:before="13" w:line="241" w:lineRule="auto"/>
              <w:ind w:left="9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2.进展性、局部晚期或转移性放射性碘难治性分化型甲状腺癌患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者。</w:t>
            </w:r>
          </w:p>
        </w:tc>
        <w:tc>
          <w:tcPr>
            <w:tcW w:w="549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8" w:lineRule="auto"/>
              <w:ind w:right="4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1.出院小结或疾病证明书原件；2.医生评估无手术指征；3.影像报</w:t>
            </w:r>
            <w:r>
              <w:rPr>
                <w:spacing w:val="-1"/>
                <w:sz w:val="19"/>
                <w:szCs w:val="19"/>
              </w:rPr>
              <w:t>告。</w:t>
            </w:r>
          </w:p>
        </w:tc>
      </w:tr>
      <w:tr>
        <w:tblPrEx>
          <w:tblW w:w="14469" w:type="dxa"/>
          <w:tblInd w:w="5" w:type="dxa"/>
          <w:tblLayout w:type="fixed"/>
        </w:tblPrEx>
        <w:trPr>
          <w:trHeight w:val="569"/>
        </w:trPr>
        <w:tc>
          <w:tcPr>
            <w:tcW w:w="545" w:type="dxa"/>
            <w:vAlign w:val="top"/>
          </w:tcPr>
          <w:p>
            <w:pPr>
              <w:pStyle w:val="TableText"/>
              <w:spacing w:before="242" w:line="184" w:lineRule="auto"/>
              <w:ind w:left="16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91</w:t>
            </w:r>
          </w:p>
        </w:tc>
        <w:tc>
          <w:tcPr>
            <w:tcW w:w="1968" w:type="dxa"/>
            <w:vAlign w:val="top"/>
          </w:tcPr>
          <w:p>
            <w:pPr>
              <w:pStyle w:val="TableText"/>
              <w:spacing w:before="194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盐酸恩沙替尼胶囊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12" w:line="217" w:lineRule="auto"/>
              <w:ind w:left="91" w:hanging="10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限间变性淋巴瘤激酶(ALK)阳性的局部晚期或转移性的非小细胞肺</w:t>
            </w:r>
            <w:r>
              <w:rPr>
                <w:spacing w:val="1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癌(NSCLC)。</w:t>
            </w:r>
          </w:p>
        </w:tc>
        <w:tc>
          <w:tcPr>
            <w:tcW w:w="549" w:type="dxa"/>
            <w:vAlign w:val="top"/>
          </w:tcPr>
          <w:p>
            <w:pPr>
              <w:pStyle w:val="TableText"/>
              <w:spacing w:before="242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1" w:type="dxa"/>
            <w:vAlign w:val="top"/>
          </w:tcPr>
          <w:p>
            <w:pPr>
              <w:pStyle w:val="TableText"/>
              <w:spacing w:before="193" w:line="218" w:lineRule="auto"/>
              <w:ind w:left="7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1.出院小结或疾病证明书原件；2.病理报告；3.基因检</w:t>
            </w:r>
            <w:r>
              <w:rPr>
                <w:spacing w:val="-1"/>
                <w:sz w:val="19"/>
                <w:szCs w:val="19"/>
              </w:rPr>
              <w:t>测报告。</w:t>
            </w:r>
          </w:p>
        </w:tc>
      </w:tr>
      <w:tr>
        <w:tblPrEx>
          <w:tblW w:w="14469" w:type="dxa"/>
          <w:tblInd w:w="5" w:type="dxa"/>
          <w:tblLayout w:type="fixed"/>
        </w:tblPrEx>
        <w:trPr>
          <w:trHeight w:val="2056"/>
        </w:trPr>
        <w:tc>
          <w:tcPr>
            <w:tcW w:w="545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9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92</w:t>
            </w:r>
          </w:p>
        </w:tc>
        <w:tc>
          <w:tcPr>
            <w:tcW w:w="1968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209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甲磺酸伏美替尼片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36" w:line="220" w:lineRule="auto"/>
              <w:ind w:left="92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限：1.表皮生长因子受体(EGFR)外显子19缺失或外显子</w:t>
            </w:r>
          </w:p>
          <w:p>
            <w:pPr>
              <w:pStyle w:val="TableText"/>
              <w:spacing w:before="61" w:line="251" w:lineRule="auto"/>
              <w:ind w:left="81" w:right="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21(L858R)置换突变的局部晚期或转移性非小细胞肺癌(NSCLC)  </w:t>
            </w:r>
            <w:r>
              <w:rPr>
                <w:sz w:val="19"/>
                <w:szCs w:val="19"/>
              </w:rPr>
              <w:t>成人患者的一线治疗；2.既往因表皮生长因子受</w:t>
            </w:r>
            <w:r>
              <w:rPr>
                <w:spacing w:val="-1"/>
                <w:sz w:val="19"/>
                <w:szCs w:val="19"/>
              </w:rPr>
              <w:t>体(EGFR)酪氨酸</w:t>
            </w:r>
          </w:p>
          <w:p>
            <w:pPr>
              <w:pStyle w:val="TableText"/>
              <w:spacing w:before="63" w:line="219" w:lineRule="auto"/>
              <w:ind w:left="92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激酶抑制剂</w:t>
            </w:r>
          </w:p>
          <w:p>
            <w:pPr>
              <w:pStyle w:val="TableText"/>
              <w:spacing w:before="54" w:line="246" w:lineRule="auto"/>
              <w:ind w:left="92" w:right="90" w:firstLine="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(TKI)治疗时或治疗后出现疾病进展，并且经检验确认存在E</w:t>
            </w:r>
            <w:r>
              <w:rPr>
                <w:spacing w:val="-1"/>
                <w:sz w:val="19"/>
                <w:szCs w:val="19"/>
              </w:rPr>
              <w:t>GFR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T790M突变阳性的局部晚期或转移性非小细胞肺</w:t>
            </w:r>
            <w:r>
              <w:rPr>
                <w:spacing w:val="-1"/>
                <w:sz w:val="19"/>
                <w:szCs w:val="19"/>
              </w:rPr>
              <w:t>癌成人患者的</w:t>
            </w:r>
          </w:p>
          <w:p>
            <w:pPr>
              <w:pStyle w:val="TableText"/>
              <w:spacing w:before="45" w:line="204" w:lineRule="auto"/>
              <w:ind w:left="92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治疗。</w:t>
            </w:r>
          </w:p>
        </w:tc>
        <w:tc>
          <w:tcPr>
            <w:tcW w:w="549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1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245" w:lineRule="auto"/>
              <w:ind w:left="77" w:firstLine="2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1.出院小结或疾病证明书原件，并标明几线治疗；2.病理报告；3.基因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检测报告。</w:t>
            </w:r>
          </w:p>
        </w:tc>
      </w:tr>
      <w:tr>
        <w:tblPrEx>
          <w:tblW w:w="14469" w:type="dxa"/>
          <w:tblInd w:w="5" w:type="dxa"/>
          <w:tblLayout w:type="fixed"/>
        </w:tblPrEx>
        <w:trPr>
          <w:trHeight w:val="858"/>
        </w:trPr>
        <w:tc>
          <w:tcPr>
            <w:tcW w:w="545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64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93</w:t>
            </w:r>
          </w:p>
        </w:tc>
        <w:tc>
          <w:tcPr>
            <w:tcW w:w="196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9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达可替尼片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19" w:line="236" w:lineRule="auto"/>
              <w:ind w:left="92" w:right="184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限表皮生长因子受体(EGFR)19号外显子缺失突变或21号外显子</w:t>
            </w:r>
            <w:r>
              <w:rPr>
                <w:spacing w:val="8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L858R置换突变的局部晚期或转移性非小细胞肺癌(N</w:t>
            </w:r>
            <w:r>
              <w:rPr>
                <w:spacing w:val="-1"/>
                <w:sz w:val="19"/>
                <w:szCs w:val="19"/>
              </w:rPr>
              <w:t>SCLC)患者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的一线治疗。</w:t>
            </w:r>
          </w:p>
        </w:tc>
        <w:tc>
          <w:tcPr>
            <w:tcW w:w="54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1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8" w:lineRule="auto"/>
              <w:ind w:left="7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1.出院小结或疾病证明书原件；2.病理报告；3.基因检</w:t>
            </w:r>
            <w:r>
              <w:rPr>
                <w:spacing w:val="-1"/>
                <w:sz w:val="19"/>
                <w:szCs w:val="19"/>
              </w:rPr>
              <w:t>测报告。</w:t>
            </w:r>
          </w:p>
        </w:tc>
      </w:tr>
      <w:tr>
        <w:tblPrEx>
          <w:tblW w:w="14469" w:type="dxa"/>
          <w:tblInd w:w="5" w:type="dxa"/>
          <w:tblLayout w:type="fixed"/>
        </w:tblPrEx>
        <w:trPr>
          <w:trHeight w:val="1147"/>
        </w:trPr>
        <w:tc>
          <w:tcPr>
            <w:tcW w:w="545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183" w:lineRule="auto"/>
              <w:ind w:left="195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94</w:t>
            </w:r>
          </w:p>
        </w:tc>
        <w:tc>
          <w:tcPr>
            <w:tcW w:w="196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18" w:lineRule="auto"/>
              <w:ind w:left="499"/>
              <w:rPr>
                <w:sz w:val="19"/>
                <w:szCs w:val="19"/>
              </w:rPr>
            </w:pPr>
            <w:r>
              <w:rPr>
                <w:spacing w:val="2"/>
                <w:sz w:val="19"/>
                <w:szCs w:val="19"/>
              </w:rPr>
              <w:t>奥布替尼片</w:t>
            </w:r>
          </w:p>
        </w:tc>
        <w:tc>
          <w:tcPr>
            <w:tcW w:w="5426" w:type="dxa"/>
            <w:vAlign w:val="top"/>
          </w:tcPr>
          <w:p>
            <w:pPr>
              <w:pStyle w:val="TableText"/>
              <w:spacing w:before="128" w:line="245" w:lineRule="auto"/>
              <w:ind w:left="42" w:firstLine="39"/>
              <w:jc w:val="both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限：1.既往至少接受过一种治疗的成人套细胞淋巴瘤(MCL)患者；</w:t>
            </w:r>
            <w:r>
              <w:rPr>
                <w:spacing w:val="14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2.既往至少接受过一种治疗的成人慢性淋巴细胞白血病(CLL)/小</w:t>
            </w:r>
            <w:r>
              <w:rPr>
                <w:spacing w:val="3"/>
                <w:sz w:val="19"/>
                <w:szCs w:val="19"/>
              </w:rPr>
              <w:t xml:space="preserve">  </w:t>
            </w:r>
            <w:r>
              <w:rPr>
                <w:spacing w:val="-4"/>
                <w:sz w:val="19"/>
                <w:szCs w:val="19"/>
              </w:rPr>
              <w:t>淋巴细胞淋巴瘤(SLL)患者；3.既往至少接受过一种治疗的成人边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2"/>
                <w:sz w:val="19"/>
                <w:szCs w:val="19"/>
              </w:rPr>
              <w:t>缘区淋巴瘤(</w:t>
            </w:r>
            <w:r>
              <w:rPr>
                <w:sz w:val="19"/>
                <w:szCs w:val="19"/>
              </w:rPr>
              <w:t>MZL</w:t>
            </w:r>
            <w:r>
              <w:rPr>
                <w:spacing w:val="2"/>
                <w:sz w:val="19"/>
                <w:szCs w:val="19"/>
              </w:rPr>
              <w:t>)患者。</w:t>
            </w:r>
          </w:p>
        </w:tc>
        <w:tc>
          <w:tcPr>
            <w:tcW w:w="549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1" w:line="184" w:lineRule="auto"/>
              <w:ind w:left="215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</w:t>
            </w:r>
          </w:p>
        </w:tc>
        <w:tc>
          <w:tcPr>
            <w:tcW w:w="5981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2" w:line="245" w:lineRule="auto"/>
              <w:ind w:left="77" w:firstLine="29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1.出院小结或疾病证明书原件，并标明几线治疗；2.病理报告或者免疫</w:t>
            </w:r>
            <w:r>
              <w:rPr>
                <w:spacing w:val="6"/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分型报告。</w:t>
            </w: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https://d.book118.com/408001113114006030</w:t>
        </w:r>
      </w:hyperlink>
    </w:p>
    <w:p/>
    <w:sectPr>
      <w:headerReference w:type="default" r:id="rId23"/>
      <w:footerReference w:type="default" r:id="rId24"/>
      <w:pgSz w:w="16840" w:h="11910"/>
      <w:pgMar w:top="400" w:right="1295" w:bottom="65" w:left="1065" w:header="0" w:footer="0" w:gutter="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8"/>
      <w:szCs w:val="18"/>
      <w:lang w:val="en-US" w:eastAsia="en-US" w:bidi="ar-SA"/>
    </w:r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"/>
      <w:szCs w:val="2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header" Target="header1.xml" /><Relationship Id="rId15" Type="http://schemas.openxmlformats.org/officeDocument/2006/relationships/footer" Target="footer11.xml" /><Relationship Id="rId16" Type="http://schemas.openxmlformats.org/officeDocument/2006/relationships/header" Target="header2.xml" /><Relationship Id="rId17" Type="http://schemas.openxmlformats.org/officeDocument/2006/relationships/footer" Target="footer12.xml" /><Relationship Id="rId18" Type="http://schemas.openxmlformats.org/officeDocument/2006/relationships/header" Target="header3.xml" /><Relationship Id="rId19" Type="http://schemas.openxmlformats.org/officeDocument/2006/relationships/footer" Target="footer13.xml" /><Relationship Id="rId2" Type="http://schemas.openxmlformats.org/officeDocument/2006/relationships/webSettings" Target="webSettings.xml" /><Relationship Id="rId20" Type="http://schemas.openxmlformats.org/officeDocument/2006/relationships/header" Target="header4.xml" /><Relationship Id="rId21" Type="http://schemas.openxmlformats.org/officeDocument/2006/relationships/footer" Target="footer14.xml" /><Relationship Id="rId22" Type="http://schemas.openxmlformats.org/officeDocument/2006/relationships/hyperlink" Target="https://d.book118.com/408001113114006030" TargetMode="External" /><Relationship Id="rId23" Type="http://schemas.openxmlformats.org/officeDocument/2006/relationships/header" Target="header5.xml" /><Relationship Id="rId24" Type="http://schemas.openxmlformats.org/officeDocument/2006/relationships/footer" Target="footer15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2024-01-19T13:32:47Z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2024-01-19T13:32:51Z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65aa0975032f5a00202e80c3wl</vt:lpwstr>
  </property>
</Properties>
</file>