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9" w:line="364" w:lineRule="auto"/>
        <w:ind w:left="540" w:right="4503" w:firstLine="2861"/>
        <w:jc w:val="left"/>
        <w:rPr>
          <w:b/>
          <w:sz w:val="48"/>
        </w:rPr>
      </w:pPr>
      <w:r>
        <w:rPr>
          <w:w w:val="95"/>
          <w:sz w:val="48"/>
        </w:rPr>
        <w:t>机房（施工方案）</w:t>
      </w:r>
      <w:r>
        <w:rPr>
          <w:b/>
          <w:w w:val="95"/>
          <w:sz w:val="48"/>
        </w:rPr>
        <w:t>项目实施方案</w:t>
      </w:r>
      <w:r>
        <w:rPr>
          <w:b/>
          <w:sz w:val="48"/>
        </w:rPr>
        <w:t>一、工程概述</w:t>
      </w:r>
    </w:p>
    <w:p>
      <w:pPr>
        <w:pStyle w:val="BodyText"/>
        <w:spacing w:before="2" w:line="364" w:lineRule="auto"/>
        <w:ind w:right="1624" w:firstLine="961"/>
      </w:pPr>
      <w:r>
        <w:rPr>
          <w:spacing w:val="-1"/>
          <w:w w:val="95"/>
        </w:rPr>
        <w:t xml:space="preserve">计算机机房工程不仅集建筑、电气、安装、网络等多个 专业技术于一体，更需要丰富的工程实施和管理经验。计算 </w:t>
      </w:r>
      <w:r>
        <w:t>机房设计与施工的优劣直接关系到机房内计算机系统是否能稳定可靠地运行，是否能保证各类信息通讯畅通无阻。</w:t>
      </w:r>
    </w:p>
    <w:p>
      <w:pPr>
        <w:pStyle w:val="BodyText"/>
        <w:spacing w:before="6" w:line="364" w:lineRule="auto"/>
        <w:ind w:right="1149" w:firstLine="961"/>
      </w:pPr>
      <w:r>
        <w:t>计算机机房既要保障机房设备安全可靠的正常运行，延长计算机系统使用寿命，又能为系统管理员创造一个舒适的工作环境，能够满足系统管理人员对温度、湿度、洁净度、</w:t>
      </w:r>
      <w:r>
        <w:rPr>
          <w:spacing w:val="-1"/>
          <w:w w:val="95"/>
        </w:rPr>
        <w:t xml:space="preserve">电磁场强度、噪音干扰、安全保安、防漏、电源质量、振动、 </w:t>
      </w:r>
      <w:r>
        <w:rPr>
          <w:spacing w:val="-16"/>
        </w:rPr>
        <w:t>防雷和接地等的要求。所以，一个合格的现代化计算机机房， 应该是一个安全可靠、舒适实用、节能高效和具有可扩充性的机房。</w:t>
      </w:r>
    </w:p>
    <w:p>
      <w:pPr>
        <w:pStyle w:val="Heading1"/>
        <w:spacing w:before="9"/>
      </w:pPr>
      <w:r>
        <w:t>二、机房建设设计规范</w:t>
      </w:r>
    </w:p>
    <w:p>
      <w:pPr>
        <w:pStyle w:val="BodyText"/>
        <w:ind w:left="1501"/>
      </w:pPr>
      <w:r>
        <w:t>GB T50314-2006 《智能建筑设计标准》</w:t>
      </w:r>
    </w:p>
    <w:p>
      <w:pPr>
        <w:pStyle w:val="BodyText"/>
        <w:spacing w:line="364" w:lineRule="auto"/>
        <w:ind w:left="1501" w:right="2805"/>
      </w:pPr>
      <w:r>
        <w:t>GB T18112-2000</w:t>
      </w:r>
      <w:r>
        <w:rPr>
          <w:spacing w:val="-18"/>
        </w:rPr>
        <w:t xml:space="preserve"> 《房屋建筑 </w:t>
      </w:r>
      <w:r>
        <w:t>CAD</w:t>
      </w:r>
      <w:r>
        <w:rPr>
          <w:spacing w:val="-18"/>
        </w:rPr>
        <w:t xml:space="preserve"> 制图统一规则》</w:t>
      </w:r>
      <w:r>
        <w:t>GB50606-2010 《智能建筑工程施工规范》GB50339-2013 《智能建筑工程质量验收规范》GB50311-2007 《综合布线系统工程设计规范》GB50312-2007 《综合布线系统工程验收规范》GB50174-2008 《电子信息系统机房设计规范》</w:t>
      </w:r>
    </w:p>
    <w:p>
      <w:pPr>
        <w:pStyle w:val="BodyText"/>
        <w:spacing w:before="8"/>
        <w:ind w:left="1501"/>
      </w:pPr>
      <w:r>
        <w:t>GB50462-2008 《电子信息系统机房施工及验收规范》</w:t>
      </w:r>
    </w:p>
    <w:p>
      <w:pPr>
        <w:spacing w:after="0"/>
        <w:sectPr>
          <w:type w:val="continuous"/>
          <w:pgSz w:w="17860" w:h="25260"/>
          <w:pgMar w:top="1880" w:right="1080" w:bottom="280" w:left="2160" w:header="708" w:footer="708"/>
          <w:cols w:space="708"/>
        </w:sectPr>
      </w:pPr>
    </w:p>
    <w:p>
      <w:pPr>
        <w:pStyle w:val="BodyText"/>
        <w:tabs>
          <w:tab w:val="left" w:pos="4861"/>
        </w:tabs>
        <w:spacing w:before="9" w:line="364" w:lineRule="auto"/>
        <w:ind w:left="1501" w:right="1850"/>
      </w:pPr>
      <w:r>
        <w:t>GB50343-2012</w:t>
      </w:r>
      <w:r>
        <w:rPr>
          <w:spacing w:val="-13"/>
        </w:rPr>
        <w:t xml:space="preserve"> </w:t>
      </w:r>
      <w:r>
        <w:t>《建筑物电子信息系统防雷技术规范</w:t>
      </w:r>
      <w:r>
        <w:rPr>
          <w:spacing w:val="-17"/>
        </w:rPr>
        <w:t>》</w:t>
      </w:r>
      <w:r>
        <w:t>GB14050-2008</w:t>
      </w:r>
      <w:r>
        <w:rPr>
          <w:spacing w:val="3"/>
        </w:rPr>
        <w:t xml:space="preserve"> </w:t>
      </w:r>
      <w:r>
        <w:t>《系统接地的型式及安全技术要求》GB2887-2011</w:t>
        <w:tab/>
        <w:t>《计算机场地通用规范》</w:t>
      </w:r>
    </w:p>
    <w:p>
      <w:pPr>
        <w:pStyle w:val="BodyText"/>
        <w:tabs>
          <w:tab w:val="left" w:pos="4861"/>
        </w:tabs>
        <w:spacing w:before="3"/>
        <w:ind w:left="1501"/>
      </w:pPr>
      <w:r>
        <w:t>GB9361-2011</w:t>
        <w:tab/>
      </w:r>
      <w:r>
        <w:rPr>
          <w:w w:val="95"/>
        </w:rPr>
        <w:t>《计算站场地安全要求》</w:t>
      </w:r>
    </w:p>
    <w:p>
      <w:pPr>
        <w:pStyle w:val="BodyText"/>
        <w:tabs>
          <w:tab w:val="left" w:pos="5102"/>
        </w:tabs>
        <w:ind w:left="1501"/>
      </w:pPr>
      <w:r>
        <w:t>JGJ/T16-2008</w:t>
        <w:tab/>
        <w:t>《民用建筑电气设计规范》</w:t>
      </w:r>
    </w:p>
    <w:p>
      <w:pPr>
        <w:pStyle w:val="BodyText"/>
        <w:ind w:left="1501"/>
      </w:pPr>
      <w:r>
        <w:t>GB</w:t>
      </w:r>
      <w:r>
        <w:rPr>
          <w:spacing w:val="-121"/>
        </w:rPr>
        <w:t xml:space="preserve"> </w:t>
      </w:r>
      <w:r>
        <w:t>50575-2010</w:t>
      </w:r>
      <w:r>
        <w:rPr>
          <w:spacing w:val="-10"/>
        </w:rPr>
        <w:t xml:space="preserve"> 《</w:t>
      </w:r>
      <w:r>
        <w:t>1kV</w:t>
      </w:r>
      <w:r>
        <w:rPr>
          <w:spacing w:val="-12"/>
        </w:rPr>
        <w:t xml:space="preserve"> 及以下配线工程施工与验收规范》</w:t>
      </w:r>
    </w:p>
    <w:p>
      <w:pPr>
        <w:pStyle w:val="BodyText"/>
        <w:spacing w:before="322" w:line="364" w:lineRule="auto"/>
        <w:ind w:right="1576" w:firstLine="961"/>
      </w:pPr>
      <w:r>
        <w:t>GB 50254-2014 《电气装置安装工程低压电器施工及验收规范》</w:t>
      </w:r>
    </w:p>
    <w:p>
      <w:pPr>
        <w:pStyle w:val="BodyText"/>
        <w:tabs>
          <w:tab w:val="left" w:pos="9567"/>
        </w:tabs>
        <w:spacing w:before="3" w:line="364" w:lineRule="auto"/>
        <w:ind w:right="1698" w:firstLine="961"/>
      </w:pPr>
      <w:r>
        <w:t>GB</w:t>
      </w:r>
      <w:r>
        <w:rPr>
          <w:spacing w:val="-7"/>
        </w:rPr>
        <w:t xml:space="preserve"> </w:t>
      </w:r>
      <w:r>
        <w:t>50171-2012</w:t>
      </w:r>
      <w:r>
        <w:rPr>
          <w:spacing w:val="26"/>
        </w:rPr>
        <w:t xml:space="preserve"> </w:t>
      </w:r>
      <w:r>
        <w:t>《电气装置安装工程</w:t>
        <w:tab/>
        <w:t>盘、柜及二次</w:t>
      </w:r>
      <w:r>
        <w:rPr>
          <w:spacing w:val="-17"/>
        </w:rPr>
        <w:t>回</w:t>
      </w:r>
      <w:r>
        <w:t>路接线施工及验收规范》</w:t>
      </w:r>
    </w:p>
    <w:p>
      <w:pPr>
        <w:pStyle w:val="BodyText"/>
        <w:spacing w:before="2" w:line="364" w:lineRule="auto"/>
        <w:ind w:left="1501" w:right="3049"/>
      </w:pPr>
      <w:r>
        <w:t>GB50019-2003</w:t>
      </w:r>
      <w:r>
        <w:rPr>
          <w:spacing w:val="-2"/>
        </w:rPr>
        <w:t>《采暖通风与空气调节设计规范》</w:t>
      </w:r>
      <w:r>
        <w:t>GB50015-2009《建筑给水排水设计规范》</w:t>
      </w:r>
    </w:p>
    <w:p>
      <w:pPr>
        <w:pStyle w:val="BodyText"/>
        <w:spacing w:before="3" w:line="364" w:lineRule="auto"/>
        <w:ind w:left="1501" w:right="2570"/>
      </w:pPr>
      <w:r>
        <w:t>GB</w:t>
      </w:r>
      <w:r>
        <w:rPr>
          <w:spacing w:val="-3"/>
        </w:rPr>
        <w:t xml:space="preserve"> </w:t>
      </w:r>
      <w:r>
        <w:t>50189-2005《公共建筑节能设计标准》GB50084-2006《自动喷灭火系统设计规范》</w:t>
      </w:r>
      <w:r>
        <w:rPr>
          <w:w w:val="95"/>
        </w:rPr>
        <w:t>GB50261-2005</w:t>
      </w:r>
      <w:r>
        <w:rPr>
          <w:spacing w:val="-1"/>
          <w:w w:val="95"/>
        </w:rPr>
        <w:t>《自动喷灭火系统施工及验收规范》</w:t>
      </w:r>
      <w:r>
        <w:t>GB50370-2005《气体灭火系统设计规范》</w:t>
      </w:r>
    </w:p>
    <w:p>
      <w:pPr>
        <w:pStyle w:val="BodyText"/>
        <w:tabs>
          <w:tab w:val="left" w:pos="4861"/>
        </w:tabs>
        <w:spacing w:before="5" w:line="364" w:lineRule="auto"/>
        <w:ind w:left="1501" w:right="1616"/>
      </w:pPr>
      <w:r>
        <w:t>GB50116-2008</w:t>
        <w:tab/>
        <w:t>《火灾自动报警系统设计规范</w:t>
      </w:r>
      <w:r>
        <w:rPr>
          <w:spacing w:val="-228"/>
        </w:rPr>
        <w:t>》</w:t>
      </w:r>
      <w:r>
        <w:t>； GB50166-2007</w:t>
        <w:tab/>
      </w:r>
      <w:r>
        <w:rPr>
          <w:w w:val="95"/>
        </w:rPr>
        <w:t>《火灾自动报警系统施工及验收规范</w:t>
      </w:r>
      <w:r>
        <w:rPr>
          <w:spacing w:val="-17"/>
          <w:w w:val="95"/>
        </w:rPr>
        <w:t>》</w:t>
      </w:r>
      <w:r>
        <w:t>GB50057-2010</w:t>
        <w:tab/>
        <w:t>《建筑物防雷设计规范》ISO,IEEE,IETF</w:t>
      </w:r>
      <w:r>
        <w:rPr>
          <w:spacing w:val="-114"/>
        </w:rPr>
        <w:t xml:space="preserve"> </w:t>
      </w:r>
      <w:r>
        <w:t>等数据中心机房的系统需求</w:t>
      </w:r>
    </w:p>
    <w:p>
      <w:pPr>
        <w:pStyle w:val="BodyText"/>
        <w:tabs>
          <w:tab w:val="left" w:pos="4501"/>
        </w:tabs>
        <w:spacing w:before="6" w:line="364" w:lineRule="auto"/>
        <w:ind w:right="1622" w:firstLine="961"/>
      </w:pPr>
      <w:r>
        <w:t>国际标准：</w:t>
        <w:tab/>
        <w:t>IEEE802.3 Ethernet</w:t>
      </w:r>
      <w:r>
        <w:rPr>
          <w:spacing w:val="-194"/>
        </w:rPr>
        <w:t xml:space="preserve"> </w:t>
      </w:r>
      <w:r>
        <w:rPr>
          <w:spacing w:val="2"/>
        </w:rPr>
        <w:t xml:space="preserve">，IEEE802.5 </w:t>
      </w:r>
      <w:r>
        <w:t xml:space="preserve">Token </w:t>
      </w:r>
      <w:r>
        <w:rPr>
          <w:spacing w:val="-9"/>
        </w:rPr>
        <w:t>Ring，EIA/TIA568</w:t>
      </w:r>
      <w:r>
        <w:rPr>
          <w:spacing w:val="-7"/>
        </w:rPr>
        <w:t xml:space="preserve"> </w:t>
      </w:r>
      <w:r>
        <w:t>工业标准及国际商务建筑布线标准</w:t>
      </w:r>
      <w:r>
        <w:rPr>
          <w:spacing w:val="-28"/>
        </w:rPr>
        <w:t>，ANSI</w:t>
      </w:r>
    </w:p>
    <w:p>
      <w:pPr>
        <w:spacing w:after="0" w:line="364" w:lineRule="auto"/>
        <w:sectPr>
          <w:pgSz w:w="17860" w:h="25260"/>
          <w:pgMar w:top="1880" w:right="1080" w:bottom="280" w:left="2160" w:header="708" w:footer="708"/>
          <w:pgNumType w:start="2"/>
          <w:cols w:space="708"/>
        </w:sectPr>
      </w:pPr>
    </w:p>
    <w:p>
      <w:pPr>
        <w:pStyle w:val="BodyText"/>
        <w:spacing w:before="9"/>
      </w:pPr>
      <w:r>
        <w:t>X3T9.5，FDDI。</w:t>
      </w:r>
    </w:p>
    <w:p>
      <w:pPr>
        <w:pStyle w:val="Heading1"/>
        <w:spacing w:before="321"/>
      </w:pPr>
      <w:r>
        <w:t>三、机房建设实施方案</w:t>
      </w:r>
    </w:p>
    <w:p>
      <w:pPr>
        <w:pStyle w:val="BodyText"/>
        <w:spacing w:line="364" w:lineRule="auto"/>
        <w:ind w:right="1750" w:firstLine="835"/>
      </w:pPr>
      <w:r>
        <w:rPr>
          <w:spacing w:val="-1"/>
          <w:w w:val="95"/>
        </w:rPr>
        <w:t xml:space="preserve">结合招标文件的要求、标准机房建设的规范标准、我公 </w:t>
      </w:r>
      <w:r>
        <w:t>司多年的施工经验，本机房的建设大致包括以下内容：</w:t>
      </w:r>
    </w:p>
    <w:p>
      <w:pPr>
        <w:pStyle w:val="BodyText"/>
        <w:spacing w:before="2"/>
        <w:ind w:left="1375"/>
      </w:pPr>
      <w:r>
        <w:rPr>
          <w:w w:val="95"/>
        </w:rPr>
        <w:t>●机房基础装修；</w:t>
      </w:r>
    </w:p>
    <w:p>
      <w:pPr>
        <w:pStyle w:val="BodyText"/>
        <w:ind w:left="1375"/>
      </w:pPr>
      <w:r>
        <w:rPr>
          <w:w w:val="95"/>
        </w:rPr>
        <w:t>●机房综合布线；</w:t>
      </w:r>
    </w:p>
    <w:p>
      <w:pPr>
        <w:pStyle w:val="BodyText"/>
        <w:spacing w:before="322"/>
        <w:ind w:left="1375"/>
      </w:pPr>
      <w:r>
        <w:t>●空调部分；</w:t>
      </w:r>
    </w:p>
    <w:p>
      <w:pPr>
        <w:pStyle w:val="BodyText"/>
        <w:ind w:left="1375"/>
      </w:pPr>
      <w:r>
        <w:t>●机房供配电；</w:t>
      </w:r>
    </w:p>
    <w:p>
      <w:pPr>
        <w:pStyle w:val="BodyText"/>
        <w:ind w:left="1375"/>
      </w:pPr>
      <w:r>
        <w:t>●机房监控部分；</w:t>
      </w:r>
    </w:p>
    <w:p>
      <w:pPr>
        <w:pStyle w:val="BodyText"/>
        <w:spacing w:line="364" w:lineRule="auto"/>
        <w:ind w:right="9368" w:firstLine="835"/>
      </w:pPr>
      <w:r>
        <w:t>●机房门禁部分； 机房基础装修</w:t>
      </w:r>
    </w:p>
    <w:p>
      <w:pPr>
        <w:pStyle w:val="BodyText"/>
        <w:spacing w:before="2"/>
        <w:ind w:left="1379"/>
      </w:pPr>
      <w:r>
        <w:t>机房装修工作具体包括如下：</w:t>
      </w:r>
    </w:p>
    <w:p>
      <w:pPr>
        <w:pStyle w:val="BodyText"/>
        <w:spacing w:before="322"/>
      </w:pPr>
      <w:r>
        <w:rPr>
          <w:w w:val="95"/>
        </w:rPr>
        <w:t>●防静电地板铺设；</w:t>
      </w:r>
    </w:p>
    <w:p>
      <w:pPr>
        <w:pStyle w:val="BodyText"/>
      </w:pPr>
      <w:r>
        <w:rPr>
          <w:w w:val="95"/>
        </w:rPr>
        <w:t>●不锈钢踢脚线制作</w:t>
      </w:r>
    </w:p>
    <w:p>
      <w:pPr>
        <w:pStyle w:val="BodyText"/>
      </w:pPr>
      <w:r>
        <w:t>●墙面乳胶漆刷涂</w:t>
      </w:r>
    </w:p>
    <w:p>
      <w:pPr>
        <w:pStyle w:val="BodyText"/>
      </w:pPr>
      <w:r>
        <w:t>●防盗门安装</w:t>
      </w:r>
    </w:p>
    <w:p>
      <w:pPr>
        <w:pStyle w:val="BodyText"/>
      </w:pPr>
      <w:r>
        <w:t>●微孔铝板吊顶安装</w:t>
      </w:r>
    </w:p>
    <w:p>
      <w:pPr>
        <w:pStyle w:val="BodyText"/>
        <w:spacing w:before="322"/>
      </w:pPr>
      <w:r>
        <w:t>●机房照明灯具</w:t>
      </w:r>
    </w:p>
    <w:p>
      <w:pPr>
        <w:pStyle w:val="BodyText"/>
      </w:pPr>
      <w:r>
        <w:t>●铝合金玻璃隔断制作</w:t>
      </w:r>
    </w:p>
    <w:p>
      <w:pPr>
        <w:pStyle w:val="BodyText"/>
      </w:pPr>
      <w:r>
        <w:t>●遮光窗帘安装</w:t>
      </w:r>
    </w:p>
    <w:p>
      <w:pPr>
        <w:pStyle w:val="BodyText"/>
        <w:spacing w:before="0"/>
        <w:ind w:left="0"/>
      </w:pPr>
    </w:p>
    <w:p>
      <w:pPr>
        <w:pStyle w:val="BodyText"/>
        <w:spacing w:before="1"/>
        <w:ind w:left="0"/>
        <w:rPr>
          <w:sz w:val="50"/>
        </w:rPr>
      </w:pPr>
    </w:p>
    <w:p>
      <w:pPr>
        <w:pStyle w:val="Heading1"/>
      </w:pPr>
      <w:r>
        <w:t>防静电地板施工方案</w:t>
      </w:r>
    </w:p>
    <w:p>
      <w:pPr>
        <w:spacing w:after="0"/>
        <w:sectPr>
          <w:pgSz w:w="17860" w:h="25260"/>
          <w:pgMar w:top="1880" w:right="1080" w:bottom="280" w:left="2160" w:header="708" w:footer="708"/>
          <w:pgNumType w:start="3"/>
          <w:cols w:space="708"/>
        </w:sectPr>
      </w:pPr>
    </w:p>
    <w:p>
      <w:pPr>
        <w:pStyle w:val="BodyText"/>
        <w:spacing w:before="1"/>
        <w:ind w:left="0"/>
        <w:rPr>
          <w:b/>
          <w:sz w:val="29"/>
        </w:rPr>
      </w:pPr>
    </w:p>
    <w:p>
      <w:pPr>
        <w:pStyle w:val="ListParagraph"/>
        <w:numPr>
          <w:ilvl w:val="0"/>
          <w:numId w:val="4"/>
        </w:numPr>
        <w:tabs>
          <w:tab w:val="left" w:pos="1369"/>
        </w:tabs>
        <w:spacing w:before="32" w:after="0" w:line="240" w:lineRule="auto"/>
        <w:ind w:left="1368" w:right="0" w:hanging="829"/>
        <w:jc w:val="left"/>
        <w:rPr>
          <w:sz w:val="48"/>
        </w:rPr>
      </w:pPr>
      <w:r>
        <w:rPr>
          <w:sz w:val="48"/>
        </w:rPr>
        <w:t>工艺流程</w:t>
      </w:r>
    </w:p>
    <w:p>
      <w:pPr>
        <w:pStyle w:val="BodyText"/>
        <w:spacing w:line="364" w:lineRule="auto"/>
        <w:ind w:right="1618"/>
      </w:pPr>
      <w:r>
        <w:rPr>
          <w:w w:val="95"/>
        </w:rPr>
        <w:t>基层处理与清理――</w:t>
      </w:r>
      <w:r>
        <w:rPr>
          <w:rFonts w:ascii="Calibri" w:eastAsia="Calibri" w:hAnsi="Calibri"/>
          <w:w w:val="95"/>
        </w:rPr>
        <w:t>&gt;</w:t>
      </w:r>
      <w:r>
        <w:rPr>
          <w:w w:val="95"/>
        </w:rPr>
        <w:t>找中、套方、分格、定位弹线――</w:t>
      </w:r>
      <w:r>
        <w:rPr>
          <w:rFonts w:ascii="Calibri" w:eastAsia="Calibri" w:hAnsi="Calibri"/>
          <w:w w:val="95"/>
        </w:rPr>
        <w:t>&gt;</w:t>
      </w:r>
      <w:r>
        <w:rPr>
          <w:spacing w:val="-15"/>
          <w:w w:val="95"/>
        </w:rPr>
        <w:t xml:space="preserve">安 </w:t>
      </w:r>
      <w:r>
        <w:t>装固定可调支架和引条――</w:t>
      </w:r>
      <w:r>
        <w:rPr>
          <w:rFonts w:ascii="Calibri" w:eastAsia="Calibri" w:hAnsi="Calibri"/>
          <w:spacing w:val="3"/>
        </w:rPr>
        <w:t>&gt;</w:t>
      </w:r>
      <w:r>
        <w:t>铺设活动地板面层――</w:t>
      </w:r>
      <w:r>
        <w:rPr>
          <w:rFonts w:ascii="Calibri" w:eastAsia="Calibri" w:hAnsi="Calibri"/>
          <w:spacing w:val="5"/>
        </w:rPr>
        <w:t>&gt;</w:t>
      </w:r>
      <w:r>
        <w:t>清擦</w:t>
      </w:r>
    </w:p>
    <w:p>
      <w:pPr>
        <w:pStyle w:val="ListParagraph"/>
        <w:numPr>
          <w:ilvl w:val="0"/>
          <w:numId w:val="4"/>
        </w:numPr>
        <w:tabs>
          <w:tab w:val="left" w:pos="1369"/>
        </w:tabs>
        <w:spacing w:before="3" w:after="0" w:line="240" w:lineRule="auto"/>
        <w:ind w:left="1368" w:right="0" w:hanging="829"/>
        <w:jc w:val="left"/>
        <w:rPr>
          <w:sz w:val="48"/>
        </w:rPr>
      </w:pPr>
      <w:r>
        <w:rPr>
          <w:sz w:val="48"/>
        </w:rPr>
        <w:t>基层处理与清理：</w:t>
      </w:r>
    </w:p>
    <w:p>
      <w:pPr>
        <w:pStyle w:val="BodyText"/>
        <w:spacing w:line="364" w:lineRule="auto"/>
        <w:ind w:right="1629"/>
      </w:pPr>
      <w:r>
        <w:t>活动地板面层的骨架应支承在现浇混凝土上抹水泥砂浆地</w:t>
      </w:r>
      <w:r>
        <w:rPr>
          <w:spacing w:val="-1"/>
          <w:w w:val="95"/>
        </w:rPr>
        <w:t xml:space="preserve">面或水磨石楼地面基层上，基层表面应平整、光洁、不起尘 </w:t>
      </w:r>
      <w:r>
        <w:rPr>
          <w:spacing w:val="-13"/>
        </w:rPr>
        <w:t xml:space="preserve">土，含水率不大于 </w:t>
      </w:r>
      <w:r>
        <w:rPr>
          <w:rFonts w:ascii="Calibri" w:eastAsia="Calibri"/>
        </w:rPr>
        <w:t>8</w:t>
      </w:r>
      <w:r>
        <w:t>％。安装前应认真清擦干净。</w:t>
      </w:r>
    </w:p>
    <w:p>
      <w:pPr>
        <w:pStyle w:val="ListParagraph"/>
        <w:numPr>
          <w:ilvl w:val="0"/>
          <w:numId w:val="4"/>
        </w:numPr>
        <w:tabs>
          <w:tab w:val="left" w:pos="1369"/>
        </w:tabs>
        <w:spacing w:before="4" w:after="0" w:line="240" w:lineRule="auto"/>
        <w:ind w:left="1368" w:right="0" w:hanging="829"/>
        <w:jc w:val="left"/>
        <w:rPr>
          <w:sz w:val="48"/>
        </w:rPr>
      </w:pPr>
      <w:r>
        <w:rPr>
          <w:sz w:val="48"/>
        </w:rPr>
        <w:t>找中、套方、分格、定位弹线：</w:t>
      </w:r>
    </w:p>
    <w:p>
      <w:pPr>
        <w:pStyle w:val="BodyText"/>
        <w:spacing w:line="364" w:lineRule="auto"/>
        <w:ind w:right="1622"/>
      </w:pPr>
      <w:r>
        <w:rPr>
          <w:spacing w:val="-14"/>
        </w:rPr>
        <w:t>根据房间平面尺寸和设备布置等情况，按活动地板模数选 择</w:t>
      </w:r>
      <w:r>
        <w:t>板块铺设方向，具体有以下几种情况：</w:t>
      </w:r>
    </w:p>
    <w:p>
      <w:pPr>
        <w:pStyle w:val="BodyText"/>
        <w:spacing w:before="2" w:line="364" w:lineRule="auto"/>
        <w:ind w:right="1395"/>
      </w:pPr>
      <w:r>
        <w:rPr>
          <w:spacing w:val="-17"/>
          <w:w w:val="95"/>
        </w:rPr>
        <w:t xml:space="preserve">Ａ：如室内平面无控制柜等设备，平面尺寸又符合板块模时， </w:t>
      </w:r>
      <w:r>
        <w:t>宜由内向外铺设。                                 Ｂ：如室内平面尺寸不符合板块模数时，应把室内２个方向平</w:t>
      </w:r>
    </w:p>
    <w:p>
      <w:pPr>
        <w:pStyle w:val="BodyText"/>
        <w:spacing w:before="6" w:line="364" w:lineRule="auto"/>
        <w:ind w:right="1629"/>
      </w:pPr>
      <w:r>
        <w:rPr>
          <w:spacing w:val="-1"/>
          <w:w w:val="95"/>
        </w:rPr>
        <w:t xml:space="preserve">面中心线找出来。看两面尺寸相差多少，若相差的不明显宜 由外向内铺设；如相差较大时，宜进行对称对格，由内向外 </w:t>
      </w:r>
      <w:r>
        <w:t xml:space="preserve">铺 设 。                                         </w:t>
      </w:r>
      <w:r>
        <w:rPr>
          <w:spacing w:val="-1"/>
          <w:w w:val="95"/>
        </w:rPr>
        <w:t xml:space="preserve">Ｃ：如室内有控制柜等设备要留洞时，其铺设方向和先后顺 </w:t>
      </w:r>
      <w:r>
        <w:t>序</w:t>
      </w:r>
    </w:p>
    <w:p>
      <w:pPr>
        <w:pStyle w:val="BodyText"/>
        <w:spacing w:before="7"/>
      </w:pPr>
      <w:r>
        <w:t>应综合考虑。</w:t>
      </w:r>
    </w:p>
    <w:p>
      <w:pPr>
        <w:pStyle w:val="BodyText"/>
      </w:pPr>
      <w:r>
        <w:t>据上述选铺方法确定后，就要进行找中、套方、分格、定位</w:t>
      </w:r>
    </w:p>
    <w:p>
      <w:pPr>
        <w:spacing w:after="0"/>
        <w:sectPr>
          <w:pgSz w:w="17860" w:h="25260"/>
          <w:pgMar w:top="2420" w:right="1080" w:bottom="280" w:left="2160" w:header="708" w:footer="708"/>
          <w:pgNumType w:start="4"/>
          <w:cols w:space="708"/>
        </w:sectPr>
      </w:pPr>
    </w:p>
    <w:p>
      <w:pPr>
        <w:pStyle w:val="BodyText"/>
        <w:spacing w:before="9" w:line="364" w:lineRule="auto"/>
        <w:ind w:right="1629"/>
      </w:pPr>
      <w:r>
        <w:rPr>
          <w:spacing w:val="-1"/>
          <w:w w:val="95"/>
        </w:rPr>
        <w:t>弹线工作。既要把面层分格线划在室内四周墙面上叫面板控</w:t>
      </w:r>
      <w:r>
        <w:rPr>
          <w:w w:val="99"/>
        </w:rPr>
        <w:t>制位置控制线，便于施工操作控制用</w:t>
      </w:r>
      <w:r>
        <w:rPr>
          <w:spacing w:val="-225"/>
          <w:w w:val="99"/>
        </w:rPr>
        <w:t>）</w:t>
      </w:r>
      <w:r>
        <w:rPr>
          <w:w w:val="99"/>
        </w:rPr>
        <w:t>，又要把分格线划在</w:t>
      </w:r>
      <w:r>
        <w:rPr>
          <w:w w:val="95"/>
        </w:rPr>
        <w:t>基</w:t>
      </w:r>
      <w:r>
        <w:rPr>
          <w:spacing w:val="-2"/>
          <w:w w:val="95"/>
        </w:rPr>
        <w:t>层上面，而且要尺寸正确、上下交圈对口，形成方格网并 标明设备预留部位（</w:t>
      </w:r>
      <w:r>
        <w:rPr>
          <w:spacing w:val="-4"/>
          <w:w w:val="95"/>
        </w:rPr>
        <w:t xml:space="preserve">此时应插入铺设活动地板下的管线，要 </w:t>
      </w:r>
      <w:r>
        <w:t>注意避开己弹好标志的支架座</w:t>
      </w:r>
      <w:r>
        <w:rPr>
          <w:spacing w:val="-228"/>
        </w:rPr>
        <w:t>）</w:t>
      </w:r>
      <w:r>
        <w:t>。</w:t>
      </w:r>
    </w:p>
    <w:p>
      <w:pPr>
        <w:pStyle w:val="ListParagraph"/>
        <w:numPr>
          <w:ilvl w:val="0"/>
          <w:numId w:val="4"/>
        </w:numPr>
        <w:tabs>
          <w:tab w:val="left" w:pos="1369"/>
        </w:tabs>
        <w:spacing w:before="6" w:after="0" w:line="240" w:lineRule="auto"/>
        <w:ind w:left="1368" w:right="0" w:hanging="829"/>
        <w:jc w:val="left"/>
        <w:rPr>
          <w:sz w:val="48"/>
        </w:rPr>
      </w:pPr>
      <w:r>
        <w:rPr>
          <w:sz w:val="48"/>
        </w:rPr>
        <w:t>安装固定可调支架和引条：</w:t>
      </w:r>
    </w:p>
    <w:p>
      <w:pPr>
        <w:pStyle w:val="BodyText"/>
        <w:spacing w:line="364" w:lineRule="auto"/>
        <w:ind w:right="1629"/>
      </w:pPr>
      <w:r>
        <w:rPr>
          <w:spacing w:val="-1"/>
          <w:w w:val="95"/>
        </w:rPr>
        <w:t xml:space="preserve">首先要事先检查复核原室内四周墙上弹划出的标高控制线， 按选定的铺设方向和顺序确定基准点，然后按基层已弹好标 出位置在方格网交点处安放可调支座，架上横梁转动支座螺 </w:t>
      </w:r>
      <w:r>
        <w:t>杆，先用小线和水平尺调整支座面高度至全室等高，待钢支柱和横梁构成框架一体后，应用水平仪抄平。</w:t>
      </w:r>
    </w:p>
    <w:p>
      <w:pPr>
        <w:pStyle w:val="ListParagraph"/>
        <w:numPr>
          <w:ilvl w:val="0"/>
          <w:numId w:val="4"/>
        </w:numPr>
        <w:tabs>
          <w:tab w:val="left" w:pos="1481"/>
        </w:tabs>
        <w:spacing w:before="6" w:after="0" w:line="240" w:lineRule="auto"/>
        <w:ind w:left="1480" w:right="0" w:hanging="832"/>
        <w:jc w:val="left"/>
        <w:rPr>
          <w:sz w:val="48"/>
        </w:rPr>
      </w:pPr>
      <w:r>
        <w:rPr>
          <w:sz w:val="48"/>
        </w:rPr>
        <w:t>设活动地板面层：</w:t>
      </w:r>
    </w:p>
    <w:p>
      <w:pPr>
        <w:pStyle w:val="BodyText"/>
        <w:spacing w:before="322" w:line="364" w:lineRule="auto"/>
        <w:ind w:right="1629"/>
        <w:jc w:val="both"/>
      </w:pPr>
      <w:r>
        <w:rPr>
          <w:spacing w:val="-1"/>
          <w:w w:val="95"/>
        </w:rPr>
        <w:t xml:space="preserve">首先检查活动地板面层下铺设的电缆、管线，确保无误后才 能铺设活动地面层。铺设活动地板调整水平高度以保证四角 接触平整、严密。铺设活动地板块不符合模数时，不足部分 可根据实际尺寸将板面切割后镶补，并配装相应的可调支撑 </w:t>
      </w:r>
      <w:r>
        <w:rPr>
          <w:spacing w:val="-26"/>
        </w:rPr>
        <w:t xml:space="preserve">和横梁。 </w:t>
      </w:r>
      <w:r>
        <w:rPr>
          <w:rFonts w:ascii="Calibri" w:eastAsia="Calibri"/>
        </w:rPr>
        <w:t>6</w:t>
      </w:r>
      <w:r>
        <w:rPr>
          <w:spacing w:val="-27"/>
        </w:rPr>
        <w:t>． 清擦：</w:t>
      </w:r>
    </w:p>
    <w:p>
      <w:pPr>
        <w:pStyle w:val="BodyText"/>
        <w:spacing w:before="7"/>
      </w:pPr>
      <w:r>
        <w:t>进行清擦地板面层和涂擦地板工作。</w:t>
      </w:r>
    </w:p>
    <w:p>
      <w:pPr>
        <w:pStyle w:val="BodyText"/>
        <w:spacing w:before="0"/>
        <w:ind w:left="0"/>
      </w:pPr>
    </w:p>
    <w:p>
      <w:pPr>
        <w:pStyle w:val="BodyText"/>
        <w:spacing w:before="0"/>
        <w:ind w:left="0"/>
      </w:pPr>
    </w:p>
    <w:p>
      <w:pPr>
        <w:pStyle w:val="BodyText"/>
        <w:spacing w:before="0"/>
        <w:ind w:left="0"/>
      </w:pPr>
    </w:p>
    <w:p>
      <w:pPr>
        <w:pStyle w:val="Heading1"/>
        <w:spacing w:before="348"/>
      </w:pPr>
      <w:r>
        <w:t>不锈钢踢脚线制作</w:t>
      </w:r>
    </w:p>
    <w:p>
      <w:pPr>
        <w:spacing w:after="0"/>
        <w:sectPr>
          <w:pgSz w:w="17860" w:h="25260"/>
          <w:pgMar w:top="1880" w:right="1080" w:bottom="280" w:left="2160" w:header="708" w:footer="708"/>
          <w:pgNumType w:start="5"/>
          <w:cols w:space="708"/>
        </w:sectPr>
      </w:pPr>
    </w:p>
    <w:p>
      <w:pPr>
        <w:pStyle w:val="BodyText"/>
        <w:spacing w:before="9"/>
        <w:ind w:left="1501"/>
      </w:pPr>
      <w:r>
        <w:t>不锈钢拉丝踢脚线，采用细木工打底，强力胶粘贴不锈</w:t>
      </w:r>
    </w:p>
    <w:p>
      <w:pPr>
        <w:pStyle w:val="BodyText"/>
        <w:spacing w:before="0"/>
        <w:ind w:left="0"/>
        <w:rPr>
          <w:sz w:val="20"/>
        </w:rPr>
      </w:pPr>
    </w:p>
    <w:p>
      <w:pPr>
        <w:pStyle w:val="BodyText"/>
        <w:spacing w:before="0"/>
        <w:ind w:left="0"/>
        <w:rPr>
          <w:sz w:val="20"/>
        </w:rPr>
      </w:pPr>
    </w:p>
    <w:p>
      <w:pPr>
        <w:pStyle w:val="BodyText"/>
        <w:spacing w:before="2"/>
        <w:ind w:left="0"/>
        <w:rPr>
          <w:sz w:val="18"/>
        </w:rPr>
      </w:pPr>
      <w:r>
        <w:drawing>
          <wp:anchor distT="0" distB="0" distL="0" distR="0" simplePos="0" relativeHeight="251658240" behindDoc="0" locked="0" layoutInCell="1" allowOverlap="1">
            <wp:simplePos x="0" y="0"/>
            <wp:positionH relativeFrom="page">
              <wp:posOffset>1990725</wp:posOffset>
            </wp:positionH>
            <wp:positionV relativeFrom="paragraph">
              <wp:posOffset>172656</wp:posOffset>
            </wp:positionV>
            <wp:extent cx="7305559" cy="2396013"/>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4" cstate="print"/>
                    <a:stretch>
                      <a:fillRect/>
                    </a:stretch>
                  </pic:blipFill>
                  <pic:spPr>
                    <a:xfrm>
                      <a:off x="0" y="0"/>
                      <a:ext cx="7305559" cy="2396013"/>
                    </a:xfrm>
                    <a:prstGeom prst="rect">
                      <a:avLst/>
                    </a:prstGeom>
                  </pic:spPr>
                </pic:pic>
              </a:graphicData>
            </a:graphic>
          </wp:anchor>
        </w:drawing>
      </w:r>
    </w:p>
    <w:p>
      <w:pPr>
        <w:pStyle w:val="BodyText"/>
        <w:spacing w:before="48"/>
      </w:pPr>
      <w:r>
        <w:t>钢拉丝踢脚线，再用玻璃胶封边，效果如下图：</w:t>
      </w:r>
    </w:p>
    <w:p>
      <w:pPr>
        <w:pStyle w:val="BodyText"/>
        <w:spacing w:before="0"/>
        <w:ind w:left="0"/>
      </w:pPr>
    </w:p>
    <w:p>
      <w:pPr>
        <w:pStyle w:val="BodyText"/>
        <w:spacing w:before="1"/>
        <w:ind w:left="0"/>
        <w:rPr>
          <w:sz w:val="50"/>
        </w:rPr>
      </w:pPr>
    </w:p>
    <w:p>
      <w:pPr>
        <w:pStyle w:val="Heading1"/>
      </w:pPr>
      <w:r>
        <w:t>墙面乳胶漆刷涂</w:t>
      </w:r>
    </w:p>
    <w:p>
      <w:pPr>
        <w:pStyle w:val="BodyText"/>
        <w:spacing w:before="0"/>
        <w:ind w:left="0"/>
        <w:rPr>
          <w:b/>
        </w:rPr>
      </w:pPr>
    </w:p>
    <w:p>
      <w:pPr>
        <w:pStyle w:val="BodyText"/>
        <w:spacing w:before="1"/>
        <w:ind w:left="0"/>
        <w:rPr>
          <w:b/>
          <w:sz w:val="50"/>
        </w:rPr>
      </w:pPr>
    </w:p>
    <w:p>
      <w:pPr>
        <w:pStyle w:val="BodyText"/>
        <w:spacing w:before="0" w:line="364" w:lineRule="auto"/>
        <w:ind w:right="1624" w:firstLine="961"/>
        <w:jc w:val="both"/>
      </w:pPr>
      <w:r>
        <w:rPr>
          <w:spacing w:val="-1"/>
          <w:w w:val="95"/>
        </w:rPr>
        <w:t xml:space="preserve">乳胶漆又称为合成树脂乳液涂料，是有机涂料的一种， 是以合成树脂乳液为基料加入颜料、填料及各种助剂配制而 </w:t>
      </w:r>
      <w:r>
        <w:t>成的一类水性涂料。</w:t>
      </w:r>
    </w:p>
    <w:p>
      <w:pPr>
        <w:pStyle w:val="BodyText"/>
        <w:spacing w:before="5" w:line="364" w:lineRule="auto"/>
        <w:ind w:left="1501" w:right="6891"/>
      </w:pPr>
      <w:r>
        <w:rPr>
          <w:w w:val="95"/>
        </w:rPr>
        <w:t xml:space="preserve">墙面刷涂乳胶漆的工序如下： </w:t>
      </w:r>
      <w:r>
        <w:t>第一步：墙面修补</w:t>
      </w:r>
    </w:p>
    <w:p>
      <w:pPr>
        <w:pStyle w:val="BodyText"/>
        <w:spacing w:before="2" w:line="364" w:lineRule="auto"/>
        <w:ind w:right="1392" w:firstLine="961"/>
      </w:pPr>
      <w:r>
        <w:rPr>
          <w:spacing w:val="-10"/>
        </w:rPr>
        <w:t xml:space="preserve">毛坯的墙体或者已经做好 </w:t>
      </w:r>
      <w:r>
        <w:t>1</w:t>
      </w:r>
      <w:r>
        <w:rPr>
          <w:spacing w:val="-12"/>
        </w:rPr>
        <w:t xml:space="preserve"> 道腻子层的房子，基层要求</w:t>
      </w:r>
      <w:r>
        <w:rPr>
          <w:spacing w:val="-21"/>
          <w:w w:val="95"/>
        </w:rPr>
        <w:t xml:space="preserve">基层必须平整坚固。不得有粉化、起砂、空鼓、脱落等现象。 </w:t>
      </w:r>
      <w:r>
        <w:t>基层不平和坑洼面应该配套腻子刮平。阴阳角必须通过弹墨线来找垂直的铝通来衡量水平垂直的整度。后一遍腻子应在前一遍腻子完全干后方能施工。</w:t>
      </w:r>
    </w:p>
    <w:p>
      <w:pPr>
        <w:pStyle w:val="BodyText"/>
        <w:spacing w:before="7"/>
        <w:ind w:left="1501"/>
      </w:pPr>
      <w:r>
        <w:t>第二步：刮腻子</w:t>
      </w:r>
    </w:p>
    <w:p>
      <w:pPr>
        <w:pStyle w:val="BodyText"/>
        <w:ind w:left="1501"/>
      </w:pPr>
      <w:r>
        <w:t>一般来说，内墙乳胶漆，在墙砌好后，是在抹灰完成后，</w:t>
      </w:r>
    </w:p>
    <w:p>
      <w:pPr>
        <w:spacing w:after="0"/>
        <w:sectPr>
          <w:pgSz w:w="17860" w:h="25260"/>
          <w:pgMar w:top="1880" w:right="1080" w:bottom="280" w:left="2160" w:header="708" w:footer="708"/>
          <w:pgNumType w:start="6"/>
          <w:cols w:space="708"/>
        </w:sectPr>
      </w:pPr>
    </w:p>
    <w:p>
      <w:pPr>
        <w:pStyle w:val="BodyText"/>
        <w:spacing w:before="9" w:line="364" w:lineRule="auto"/>
        <w:ind w:right="1629"/>
        <w:jc w:val="both"/>
      </w:pPr>
      <w:r>
        <w:rPr>
          <w:spacing w:val="-1"/>
          <w:w w:val="95"/>
        </w:rPr>
        <w:t xml:space="preserve">总包单位会进行两道抹灰，第二道的时候基面加以修饰效果 的补平。所以一般都会批腻子，腻子的作用是让墙面更平整 </w:t>
      </w:r>
      <w:r>
        <w:t>一点。买成品袋装的腻子粉，加水搅拌就可以了。</w:t>
      </w:r>
    </w:p>
    <w:p>
      <w:pPr>
        <w:pStyle w:val="BodyText"/>
        <w:spacing w:before="3"/>
        <w:ind w:left="1501"/>
      </w:pPr>
      <w:r>
        <w:t>第三步：墙面打磨</w:t>
      </w:r>
    </w:p>
    <w:p>
      <w:pPr>
        <w:pStyle w:val="BodyText"/>
        <w:spacing w:line="364" w:lineRule="auto"/>
        <w:ind w:right="1394" w:firstLine="961"/>
      </w:pPr>
      <w:r>
        <w:rPr>
          <w:spacing w:val="-17"/>
          <w:w w:val="95"/>
        </w:rPr>
        <w:t xml:space="preserve">刮腻子后，总有些高低不平，或者基层不是很平整的面。 </w:t>
      </w:r>
      <w:r>
        <w:t>这个时候，需要砂纸出动，进行手工的打磨，修复。中间还可以用太阳灯照明，便于检查平整度。再用砂纸打磨，不断的完善。</w:t>
      </w:r>
    </w:p>
    <w:p>
      <w:pPr>
        <w:pStyle w:val="BodyText"/>
        <w:spacing w:before="6"/>
        <w:ind w:left="1501"/>
      </w:pPr>
      <w:r>
        <w:t>第四步：滚刷乳胶漆</w:t>
      </w:r>
    </w:p>
    <w:p>
      <w:pPr>
        <w:pStyle w:val="BodyText"/>
        <w:spacing w:line="364" w:lineRule="auto"/>
        <w:ind w:right="1625" w:firstLine="961"/>
        <w:jc w:val="both"/>
      </w:pPr>
      <w:r>
        <w:rPr>
          <w:spacing w:val="-1"/>
          <w:w w:val="95"/>
        </w:rPr>
        <w:t xml:space="preserve">滚刷进行滚的作业，在效果各方面都是比较普通的，浪 费乳胶漆程度比较厉害，也不是效果最好，但是相对而言， 这是性价比较高的施工方式。辊涂时，为避免辊子痕迹，搭 </w:t>
      </w:r>
      <w:r>
        <w:rPr>
          <w:spacing w:val="-2"/>
        </w:rPr>
        <w:t xml:space="preserve">接宽度为毛辊长度的 </w:t>
      </w:r>
      <w:r>
        <w:t>1/4</w:t>
      </w:r>
      <w:r>
        <w:rPr>
          <w:spacing w:val="-1"/>
        </w:rPr>
        <w:t xml:space="preserve">，一般辊涂两遍，夏季其间隔应 </w:t>
      </w:r>
      <w:r>
        <w:rPr>
          <w:spacing w:val="-18"/>
        </w:rPr>
        <w:t xml:space="preserve">2 </w:t>
      </w:r>
      <w:r>
        <w:t>小时以上，冬季可能需要多点时间。</w:t>
      </w:r>
    </w:p>
    <w:p>
      <w:pPr>
        <w:pStyle w:val="BodyText"/>
        <w:spacing w:before="7"/>
        <w:ind w:left="1501"/>
      </w:pPr>
      <w:r>
        <w:t>施工注意事项：</w:t>
      </w:r>
    </w:p>
    <w:p>
      <w:pPr>
        <w:pStyle w:val="BodyText"/>
        <w:spacing w:before="320" w:line="364" w:lineRule="auto"/>
        <w:ind w:right="1624" w:firstLine="961"/>
        <w:jc w:val="both"/>
      </w:pPr>
      <w:r>
        <w:rPr>
          <w:spacing w:val="-1"/>
          <w:w w:val="95"/>
        </w:rPr>
        <w:t xml:space="preserve">●作业时，使用的乳胶漆，或者其他材料最好是一个品 牌的，一个型号，最好别同时使用多个牌子，以免色差以及 </w:t>
      </w:r>
      <w:r>
        <w:t>引起质量问题。推荐的品牌有立邦、多乐士等。</w:t>
      </w:r>
    </w:p>
    <w:p>
      <w:pPr>
        <w:pStyle w:val="BodyText"/>
        <w:spacing w:before="5" w:line="364" w:lineRule="auto"/>
        <w:ind w:right="1624" w:firstLine="961"/>
        <w:jc w:val="both"/>
      </w:pPr>
      <w:r>
        <w:rPr>
          <w:spacing w:val="-1"/>
          <w:w w:val="95"/>
        </w:rPr>
        <w:t xml:space="preserve">●乳胶漆兑水比列应该按照说明，应按实际情况加水搅 </w:t>
      </w:r>
      <w:r>
        <w:rPr>
          <w:spacing w:val="-17"/>
        </w:rPr>
        <w:t xml:space="preserve">拌均匀，加水 </w:t>
      </w:r>
      <w:r>
        <w:t>20-30%，保证漆膜丰满莹润。</w:t>
      </w:r>
    </w:p>
    <w:p>
      <w:pPr>
        <w:pStyle w:val="BodyText"/>
        <w:spacing w:before="3" w:line="364" w:lineRule="auto"/>
        <w:ind w:right="1612" w:firstLine="961"/>
        <w:jc w:val="both"/>
      </w:pPr>
      <w:r>
        <w:rPr>
          <w:spacing w:val="-44"/>
        </w:rPr>
        <w:t xml:space="preserve">●第 </w:t>
      </w:r>
      <w:r>
        <w:t>2</w:t>
      </w:r>
      <w:r>
        <w:rPr>
          <w:spacing w:val="-29"/>
        </w:rPr>
        <w:t xml:space="preserve"> 遍的面漆应在第 </w:t>
      </w:r>
      <w:r>
        <w:t>1</w:t>
      </w:r>
      <w:r>
        <w:rPr>
          <w:spacing w:val="-13"/>
        </w:rPr>
        <w:t xml:space="preserve"> 遍的面漆完全干后进行，间隔</w:t>
      </w:r>
      <w:r>
        <w:rPr>
          <w:spacing w:val="-33"/>
        </w:rPr>
        <w:t xml:space="preserve">大概在 </w:t>
      </w:r>
      <w:r>
        <w:t>2</w:t>
      </w:r>
      <w:r>
        <w:rPr>
          <w:spacing w:val="-18"/>
        </w:rPr>
        <w:t xml:space="preserve"> 小时左右。乳胶漆施工的温度至少要在 </w:t>
      </w:r>
      <w:r>
        <w:t>5</w:t>
      </w:r>
      <w:r>
        <w:rPr>
          <w:spacing w:val="-26"/>
        </w:rPr>
        <w:t xml:space="preserve"> 摄氏度以</w:t>
      </w:r>
    </w:p>
    <w:p>
      <w:pPr>
        <w:spacing w:after="0" w:line="364" w:lineRule="auto"/>
        <w:jc w:val="both"/>
        <w:sectPr>
          <w:pgSz w:w="17860" w:h="25260"/>
          <w:pgMar w:top="1880" w:right="1080" w:bottom="280" w:left="2160" w:header="708" w:footer="708"/>
          <w:pgNumType w:start="7"/>
          <w:cols w:space="708"/>
        </w:sectPr>
      </w:pPr>
    </w:p>
    <w:p>
      <w:pPr>
        <w:pStyle w:val="BodyText"/>
        <w:spacing w:before="9"/>
      </w:pPr>
      <w:r>
        <w:t>上。涂刷好了后，打开门窗风扇通风，加速干透率。</w:t>
      </w:r>
    </w:p>
    <w:p>
      <w:pPr>
        <w:pStyle w:val="BodyText"/>
        <w:spacing w:line="364" w:lineRule="auto"/>
        <w:ind w:right="1624" w:firstLine="961"/>
      </w:pPr>
      <w:r>
        <w:rPr>
          <w:spacing w:val="-1"/>
          <w:w w:val="95"/>
        </w:rPr>
        <w:t xml:space="preserve">●刮腻子时，刷面漆时，尽量不要其他工种作业，否则 </w:t>
      </w:r>
      <w:r>
        <w:t>会污染到表面效果特别色颜色。保持施工过程及场地的清洁。</w:t>
      </w:r>
    </w:p>
    <w:p>
      <w:pPr>
        <w:pStyle w:val="BodyText"/>
        <w:spacing w:before="3" w:line="364" w:lineRule="auto"/>
        <w:ind w:right="1379" w:firstLine="961"/>
      </w:pPr>
      <w:r>
        <w:rPr>
          <w:spacing w:val="-1"/>
          <w:w w:val="95"/>
        </w:rPr>
        <w:t xml:space="preserve">●砂纸根据砂粒大小分为不同标号，标号越高颗粒越细, </w:t>
      </w:r>
      <w:r>
        <w:t>标号越低颗粒就越粗糙，在施工中根据不同的工艺选择不同型号的砂纸。</w:t>
      </w:r>
    </w:p>
    <w:p>
      <w:pPr>
        <w:pStyle w:val="BodyText"/>
        <w:spacing w:before="5" w:line="364" w:lineRule="auto"/>
        <w:ind w:right="1392" w:firstLine="961"/>
      </w:pPr>
      <w:r>
        <w:rPr>
          <w:spacing w:val="-17"/>
          <w:w w:val="95"/>
        </w:rPr>
        <w:t xml:space="preserve">●乳胶漆作业时，踢脚线，门，衣柜，角线等交接部分， </w:t>
      </w:r>
      <w:r>
        <w:t>最好用分色纸贴上，以免染色，完毕后才撕开。</w:t>
      </w:r>
    </w:p>
    <w:p>
      <w:pPr>
        <w:pStyle w:val="BodyText"/>
        <w:spacing w:before="0"/>
        <w:ind w:left="0"/>
      </w:pPr>
    </w:p>
    <w:p>
      <w:pPr>
        <w:pStyle w:val="Heading1"/>
        <w:spacing w:before="323"/>
      </w:pPr>
      <w:r>
        <w:t>防盗门安装</w:t>
      </w:r>
    </w:p>
    <w:p>
      <w:pPr>
        <w:pStyle w:val="BodyText"/>
        <w:spacing w:before="0"/>
        <w:ind w:left="0"/>
        <w:rPr>
          <w:b/>
        </w:rPr>
      </w:pPr>
    </w:p>
    <w:p>
      <w:pPr>
        <w:pStyle w:val="BodyText"/>
        <w:spacing w:before="2"/>
        <w:ind w:left="0"/>
        <w:rPr>
          <w:b/>
          <w:sz w:val="50"/>
        </w:rPr>
      </w:pPr>
    </w:p>
    <w:p>
      <w:pPr>
        <w:pStyle w:val="BodyText"/>
        <w:spacing w:before="0"/>
      </w:pPr>
      <w:r>
        <w:t>一：施工控制：</w:t>
      </w:r>
    </w:p>
    <w:p>
      <w:pPr>
        <w:pStyle w:val="BodyText"/>
        <w:spacing w:line="364" w:lineRule="auto"/>
        <w:ind w:right="1628" w:firstLine="1436"/>
      </w:pPr>
      <w:r>
        <w:rPr>
          <w:spacing w:val="-1"/>
          <w:w w:val="95"/>
        </w:rPr>
        <w:t xml:space="preserve">安装施工采用加工、制作、安装一体化的专业分包的 </w:t>
      </w:r>
      <w:r>
        <w:t>形式，由建</w:t>
      </w:r>
    </w:p>
    <w:p>
      <w:pPr>
        <w:pStyle w:val="BodyText"/>
        <w:spacing w:before="2" w:line="364" w:lineRule="auto"/>
        <w:ind w:right="1629"/>
      </w:pPr>
      <w:r>
        <w:rPr>
          <w:spacing w:val="-1"/>
          <w:w w:val="95"/>
        </w:rPr>
        <w:t xml:space="preserve">设单位直接进行指定施工单位进行承揽，由总包单位进行施 </w:t>
      </w:r>
      <w:r>
        <w:t>工控制，由监理单位和总包单位双层控制施工质量。</w:t>
      </w:r>
    </w:p>
    <w:p>
      <w:pPr>
        <w:pStyle w:val="BodyText"/>
        <w:spacing w:before="4" w:line="364" w:lineRule="auto"/>
        <w:ind w:right="1394"/>
      </w:pPr>
      <w:r>
        <w:t>四：质量控制方式                                  1：采取样品报验方式：在施工合同签定前向建设单位、监</w:t>
      </w:r>
      <w:r>
        <w:rPr>
          <w:spacing w:val="-17"/>
          <w:w w:val="95"/>
        </w:rPr>
        <w:t xml:space="preserve">理单位、总包单位上报样品：样门，经过审批并附相关资质， </w:t>
      </w:r>
      <w:r>
        <w:t>手 序 。                                          2：材料入场检验方式进户门入场时，向建设单位、监理单</w:t>
      </w:r>
    </w:p>
    <w:p>
      <w:pPr>
        <w:spacing w:after="0" w:line="364" w:lineRule="auto"/>
        <w:sectPr>
          <w:pgSz w:w="17860" w:h="25260"/>
          <w:pgMar w:top="1880" w:right="1080" w:bottom="280" w:left="2160" w:header="708" w:footer="708"/>
          <w:pgNumType w:start="8"/>
          <w:cols w:space="708"/>
        </w:sectPr>
      </w:pPr>
    </w:p>
    <w:p>
      <w:pPr>
        <w:pStyle w:val="BodyText"/>
        <w:spacing w:before="9" w:line="364" w:lineRule="auto"/>
        <w:ind w:right="1386"/>
      </w:pPr>
      <w:r>
        <w:t xml:space="preserve">位、总包单位上报材料检验手序，依据选定样品进行检验， 不符合要求的坚决退场，同时履行施工资料签认的手序。 </w:t>
      </w:r>
      <w:r>
        <w:rPr>
          <w:w w:val="95"/>
        </w:rPr>
        <w:t>3</w:t>
      </w:r>
      <w:r>
        <w:rPr>
          <w:spacing w:val="-1"/>
          <w:w w:val="95"/>
        </w:rPr>
        <w:t xml:space="preserve">：安装施工前的交接检：根据总包单位提供的门加工尺寸， </w:t>
      </w:r>
      <w:r>
        <w:t xml:space="preserve">会同总包单位对洞口进行检查确认误差范围、了解施工相关环境施工条件是否具备。                             </w:t>
      </w:r>
      <w:r>
        <w:rPr>
          <w:w w:val="95"/>
        </w:rPr>
        <w:t>4</w:t>
      </w:r>
      <w:r>
        <w:rPr>
          <w:spacing w:val="-1"/>
          <w:w w:val="95"/>
        </w:rPr>
        <w:t xml:space="preserve">：安装完成的交接检：安装完成后，对安装质量全数检查， </w:t>
      </w:r>
      <w:r>
        <w:t>对垂直、水平、倾斜、开启灵活度、锁闭情况、外观破损情况、相对位置等检查合格后向总包单位报验，由总包单位组织进行交接检的验收工作并同时履行资料签认手序。</w:t>
      </w:r>
    </w:p>
    <w:p>
      <w:pPr>
        <w:pStyle w:val="BodyText"/>
        <w:spacing w:before="11"/>
      </w:pPr>
      <w:r>
        <w:t>二：施工工序：</w:t>
      </w:r>
    </w:p>
    <w:p>
      <w:pPr>
        <w:pStyle w:val="BodyText"/>
        <w:spacing w:line="364" w:lineRule="auto"/>
        <w:ind w:right="1865" w:firstLine="1436"/>
      </w:pPr>
      <w:r>
        <w:rPr>
          <w:w w:val="95"/>
        </w:rPr>
        <w:t>1</w:t>
      </w:r>
      <w:r>
        <w:rPr>
          <w:spacing w:val="-1"/>
          <w:w w:val="95"/>
        </w:rPr>
        <w:t xml:space="preserve">：根据选定的样品门形式与总包单位提供的加工尺 </w:t>
      </w:r>
      <w:r>
        <w:t>寸、规格、数</w:t>
      </w:r>
    </w:p>
    <w:p>
      <w:pPr>
        <w:pStyle w:val="BodyText"/>
        <w:spacing w:before="3"/>
      </w:pPr>
      <w:r>
        <w:t>量，按照进户门加工要求进行加工生产。</w:t>
      </w:r>
    </w:p>
    <w:p>
      <w:pPr>
        <w:pStyle w:val="BodyText"/>
        <w:spacing w:line="364" w:lineRule="auto"/>
        <w:ind w:right="1629" w:firstLine="1436"/>
      </w:pPr>
      <w:r>
        <w:t>2：根据总包单位的施工进度要求及时把门运至施工</w:t>
      </w:r>
      <w:r>
        <w:rPr>
          <w:spacing w:val="-1"/>
          <w:w w:val="95"/>
        </w:rPr>
        <w:t xml:space="preserve">现场。在施工现场选取平整场地用垫板垫平，采用平放形式 码放进户门，严禁斜、靠、立的方式码放，防止损坏装饰压 </w:t>
      </w:r>
      <w:r>
        <w:t>边。</w:t>
      </w:r>
    </w:p>
    <w:p>
      <w:pPr>
        <w:pStyle w:val="BodyText"/>
        <w:spacing w:before="6" w:line="364" w:lineRule="auto"/>
        <w:ind w:right="1865" w:firstLine="1436"/>
      </w:pPr>
      <w:r>
        <w:rPr>
          <w:w w:val="95"/>
        </w:rPr>
        <w:t>3</w:t>
      </w:r>
      <w:r>
        <w:rPr>
          <w:spacing w:val="-1"/>
          <w:w w:val="95"/>
        </w:rPr>
        <w:t xml:space="preserve">：防盗门入场后及时进行材料的报验，经相关单位 </w:t>
      </w:r>
      <w:r>
        <w:t xml:space="preserve">质量确认后                                       </w:t>
      </w:r>
      <w:r>
        <w:rPr>
          <w:w w:val="95"/>
        </w:rPr>
        <w:t>4</w:t>
      </w:r>
      <w:r>
        <w:rPr>
          <w:spacing w:val="-1"/>
          <w:w w:val="95"/>
        </w:rPr>
        <w:t xml:space="preserve">：检查工程上预留洞口是否符合总包方预定的尺寸，确定 </w:t>
      </w:r>
      <w:r>
        <w:t>误差范围进行实测检查并做出详细记录。</w:t>
      </w:r>
    </w:p>
    <w:p>
      <w:pPr>
        <w:pStyle w:val="BodyText"/>
        <w:spacing w:before="5"/>
        <w:ind w:left="1977"/>
      </w:pPr>
      <w:r>
        <w:t>5：根据实测检查结果确定具体安装方案并与总包单</w:t>
      </w:r>
    </w:p>
    <w:p>
      <w:pPr>
        <w:spacing w:after="0"/>
        <w:sectPr>
          <w:pgSz w:w="17860" w:h="25260"/>
          <w:pgMar w:top="1880" w:right="1080" w:bottom="280" w:left="2160" w:header="708" w:footer="708"/>
          <w:pgNumType w:start="9"/>
          <w:cols w:space="708"/>
        </w:sectPr>
      </w:pPr>
    </w:p>
    <w:p>
      <w:pPr>
        <w:pStyle w:val="BodyText"/>
        <w:spacing w:before="9" w:line="364" w:lineRule="auto"/>
        <w:ind w:right="1629"/>
      </w:pPr>
      <w:r>
        <w:rPr>
          <w:spacing w:val="-1"/>
          <w:w w:val="95"/>
        </w:rPr>
        <w:t xml:space="preserve">位进行协商处理不符合要求的洞口，处理合格后才能进行安 </w:t>
      </w:r>
      <w:r>
        <w:t>装施工避免不必要的返工。</w:t>
      </w:r>
    </w:p>
    <w:p>
      <w:pPr>
        <w:pStyle w:val="BodyText"/>
        <w:spacing w:before="2" w:line="364" w:lineRule="auto"/>
        <w:ind w:right="1629" w:firstLine="1436"/>
      </w:pPr>
      <w:r>
        <w:t>6：防盗门安装后边框内采取灌浆填充，以保证门的</w:t>
      </w:r>
      <w:r>
        <w:rPr>
          <w:spacing w:val="-1"/>
          <w:w w:val="95"/>
        </w:rPr>
        <w:t xml:space="preserve">整体稳定性，安装前对边框内的空隙采用岩棉进行填实并确 </w:t>
      </w:r>
      <w:r>
        <w:t>保合格。                                         7：在上述条件均合格与具备安装条件下进行安装施</w:t>
      </w:r>
    </w:p>
    <w:p>
      <w:pPr>
        <w:pStyle w:val="BodyText"/>
        <w:spacing w:before="6" w:line="364" w:lineRule="auto"/>
        <w:ind w:right="1865"/>
      </w:pPr>
      <w:r>
        <w:t xml:space="preserve">工 ：                                            </w:t>
      </w:r>
      <w:r>
        <w:rPr>
          <w:w w:val="95"/>
        </w:rPr>
        <w:t>A</w:t>
      </w:r>
      <w:r>
        <w:rPr>
          <w:spacing w:val="-1"/>
          <w:w w:val="95"/>
        </w:rPr>
        <w:t xml:space="preserve">：根据标高确定安装高度控制点，根据位置要求在墙体上 </w:t>
      </w:r>
      <w:r>
        <w:t>弹画出门框垂直位置线与确定正确的安装位置。</w:t>
      </w:r>
    </w:p>
    <w:p>
      <w:pPr>
        <w:pStyle w:val="BodyText"/>
        <w:spacing w:before="3" w:line="364" w:lineRule="auto"/>
        <w:ind w:right="1629" w:firstLine="2876"/>
      </w:pPr>
      <w:r>
        <w:t>B：拆除包装，检查门及边框的外观是否符合</w:t>
      </w:r>
      <w:r>
        <w:rPr>
          <w:spacing w:val="-1"/>
          <w:w w:val="95"/>
        </w:rPr>
        <w:t xml:space="preserve">要求，边框的空隙是否已填充完成，全部合格后运至安装位 </w:t>
      </w:r>
      <w:r>
        <w:t>置。搬运中避免碰撞、磕碰与损坏。</w:t>
      </w:r>
    </w:p>
    <w:p>
      <w:pPr>
        <w:pStyle w:val="BodyText"/>
        <w:spacing w:before="4" w:line="364" w:lineRule="auto"/>
        <w:ind w:right="1861" w:firstLine="2876"/>
      </w:pPr>
      <w:r>
        <w:rPr>
          <w:w w:val="95"/>
        </w:rPr>
        <w:t>C：根据弹好的位置线与标高点把门框进行粗</w:t>
      </w:r>
      <w:r>
        <w:t>劣立正并用木楔固定。</w:t>
      </w:r>
    </w:p>
    <w:p>
      <w:pPr>
        <w:pStyle w:val="BodyText"/>
        <w:spacing w:before="3" w:line="364" w:lineRule="auto"/>
        <w:ind w:right="1861" w:firstLine="2876"/>
      </w:pPr>
      <w:r>
        <w:rPr>
          <w:w w:val="95"/>
        </w:rPr>
        <w:t>D：使用水平尺、靠尺板、线坠进行校正门的</w:t>
      </w:r>
      <w:r>
        <w:t>水平、垂直、位置，及时使用木楔固定牢固。</w:t>
      </w:r>
    </w:p>
    <w:p>
      <w:pPr>
        <w:pStyle w:val="BodyText"/>
        <w:spacing w:before="2" w:line="364" w:lineRule="auto"/>
        <w:ind w:right="1861" w:firstLine="2876"/>
      </w:pPr>
      <w:r>
        <w:rPr>
          <w:w w:val="95"/>
        </w:rPr>
        <w:t>E：使用电锤按照门框固定位置进行打眼，使</w:t>
      </w:r>
      <w:r>
        <w:t>用涨栓固定门框并应拧紧螺丝。</w:t>
      </w:r>
    </w:p>
    <w:p>
      <w:pPr>
        <w:pStyle w:val="BodyText"/>
        <w:spacing w:before="4" w:line="364" w:lineRule="auto"/>
        <w:ind w:right="1861" w:firstLine="2876"/>
      </w:pPr>
      <w:r>
        <w:rPr>
          <w:w w:val="95"/>
        </w:rPr>
        <w:t>F：再次对门的垂直度、水平度、位置、开启</w:t>
      </w:r>
      <w:r>
        <w:t>灵活度进行检查，不合格立即重新安装。</w:t>
      </w:r>
    </w:p>
    <w:p>
      <w:pPr>
        <w:pStyle w:val="BodyText"/>
        <w:spacing w:before="2" w:line="364" w:lineRule="auto"/>
        <w:ind w:right="1861" w:firstLine="2876"/>
      </w:pPr>
      <w:r>
        <w:rPr>
          <w:w w:val="95"/>
        </w:rPr>
        <w:t>H：安装检查合格后对门框四周使用岩棉进行</w:t>
      </w:r>
      <w:r>
        <w:t>填塞严密，表面用密封胶进行封闭。</w:t>
      </w:r>
    </w:p>
    <w:p>
      <w:pPr>
        <w:spacing w:after="0" w:line="364" w:lineRule="auto"/>
        <w:sectPr>
          <w:pgSz w:w="17860" w:h="25260"/>
          <w:pgMar w:top="1880" w:right="1080" w:bottom="280" w:left="2160" w:header="708" w:footer="708"/>
          <w:pgNumType w:start="10"/>
          <w:cols w:space="708"/>
        </w:sectPr>
      </w:pPr>
    </w:p>
    <w:p>
      <w:pPr>
        <w:pStyle w:val="BodyText"/>
        <w:spacing w:before="0" w:line="604" w:lineRule="exact"/>
        <w:ind w:left="2938"/>
        <w:rPr>
          <w:rFonts w:ascii="幼圆" w:eastAsia="幼圆" w:hint="eastAsia"/>
        </w:rPr>
      </w:pPr>
      <w:r>
        <w:rPr>
          <w:rFonts w:ascii="幼圆" w:eastAsia="幼圆" w:hint="eastAsia"/>
        </w:rPr>
        <w:t>M：安装门锁及五金配件和其他配件。</w:t>
      </w:r>
    </w:p>
    <w:p>
      <w:pPr>
        <w:pStyle w:val="BodyText"/>
        <w:spacing w:line="364" w:lineRule="auto"/>
        <w:ind w:right="1629"/>
        <w:rPr>
          <w:rFonts w:ascii="幼圆" w:eastAsia="幼圆" w:hint="eastAsia"/>
        </w:rPr>
      </w:pPr>
      <w:r>
        <w:rPr>
          <w:rFonts w:ascii="幼圆" w:eastAsia="幼圆" w:hint="eastAsia"/>
        </w:rPr>
        <w:t xml:space="preserve">8：安装完成后，组织专业安装施工人员进行自检与互检， </w:t>
      </w:r>
      <w:r>
        <w:rPr>
          <w:rFonts w:ascii="幼圆" w:eastAsia="幼圆" w:hint="eastAsia"/>
          <w:spacing w:val="-19"/>
        </w:rPr>
        <w:t>有问题及时处理。检查采用全数检查，不得采用抽查方法。9：自检合格后上报总包单位进行预验收并准备相关的验收</w:t>
      </w:r>
      <w:r>
        <w:rPr>
          <w:rFonts w:ascii="幼圆" w:eastAsia="幼圆" w:hint="eastAsia"/>
          <w:spacing w:val="-19"/>
          <w:w w:val="95"/>
        </w:rPr>
        <w:t xml:space="preserve">资料，待验收合格后总包单位进行签认后向建设单位、监理 </w:t>
      </w:r>
      <w:r>
        <w:rPr>
          <w:rFonts w:ascii="幼圆" w:eastAsia="幼圆" w:hint="eastAsia"/>
          <w:spacing w:val="-1"/>
          <w:w w:val="95"/>
        </w:rPr>
        <w:t xml:space="preserve">单位进行报验组织交接检验收，验收合格及时进行签认验收 </w:t>
      </w:r>
      <w:r>
        <w:rPr>
          <w:rFonts w:ascii="幼圆" w:eastAsia="幼圆" w:hint="eastAsia"/>
        </w:rPr>
        <w:t>手序。</w:t>
      </w:r>
    </w:p>
    <w:p>
      <w:pPr>
        <w:pStyle w:val="BodyText"/>
        <w:spacing w:before="8"/>
        <w:rPr>
          <w:rFonts w:ascii="幼圆" w:eastAsia="幼圆" w:hint="eastAsia"/>
        </w:rPr>
      </w:pPr>
      <w:r>
        <w:rPr>
          <w:rFonts w:ascii="幼圆" w:eastAsia="幼圆" w:hint="eastAsia"/>
        </w:rPr>
        <w:t>三：质量标准：</w:t>
      </w:r>
    </w:p>
    <w:p>
      <w:pPr>
        <w:pStyle w:val="BodyText"/>
        <w:ind w:left="1946" w:right="2313"/>
        <w:jc w:val="center"/>
        <w:rPr>
          <w:rFonts w:ascii="幼圆" w:eastAsia="幼圆" w:hint="eastAsia"/>
        </w:rPr>
      </w:pPr>
      <w:r>
        <w:rPr>
          <w:rFonts w:ascii="幼圆" w:eastAsia="幼圆" w:hint="eastAsia"/>
        </w:rPr>
        <w:t>1：门材质符合要求，加工制作符合特种门规定。</w:t>
      </w:r>
    </w:p>
    <w:p>
      <w:pPr>
        <w:pStyle w:val="BodyText"/>
        <w:spacing w:line="364" w:lineRule="auto"/>
        <w:ind w:right="1629" w:firstLine="1436"/>
        <w:jc w:val="both"/>
        <w:rPr>
          <w:rFonts w:ascii="幼圆" w:eastAsia="幼圆" w:hint="eastAsia"/>
        </w:rPr>
      </w:pPr>
      <w:r>
        <w:rPr>
          <w:rFonts w:ascii="幼圆" w:eastAsia="幼圆" w:hint="eastAsia"/>
        </w:rPr>
        <w:t>2</w:t>
      </w:r>
      <w:r>
        <w:rPr>
          <w:rFonts w:ascii="幼圆" w:eastAsia="幼圆" w:hint="eastAsia"/>
          <w:spacing w:val="-13"/>
        </w:rPr>
        <w:t xml:space="preserve"> 外观无损坏、颜色一致、无脱漆掉漆现象、配件齐</w:t>
      </w:r>
      <w:r>
        <w:rPr>
          <w:rFonts w:ascii="幼圆" w:eastAsia="幼圆" w:hint="eastAsia"/>
          <w:spacing w:val="-14"/>
          <w:w w:val="95"/>
        </w:rPr>
        <w:t xml:space="preserve">全、开关灵活、安装牢固稳定、锁闭自如、门扇无翘曲与走 </w:t>
      </w:r>
      <w:r>
        <w:rPr>
          <w:rFonts w:ascii="幼圆" w:eastAsia="幼圆" w:hint="eastAsia"/>
        </w:rPr>
        <w:t>扇现象。</w:t>
      </w:r>
    </w:p>
    <w:p>
      <w:pPr>
        <w:pStyle w:val="BodyText"/>
        <w:spacing w:before="4"/>
        <w:rPr>
          <w:rFonts w:ascii="幼圆" w:eastAsia="幼圆" w:hint="eastAsia"/>
        </w:rPr>
      </w:pPr>
      <w:r>
        <w:rPr>
          <w:rFonts w:ascii="幼圆" w:eastAsia="幼圆" w:hint="eastAsia"/>
        </w:rPr>
        <w:t>3：偏差项目：垂直：3mm;</w:t>
      </w:r>
    </w:p>
    <w:p>
      <w:pPr>
        <w:pStyle w:val="BodyText"/>
        <w:spacing w:before="0"/>
        <w:ind w:left="0"/>
        <w:rPr>
          <w:rFonts w:ascii="幼圆"/>
        </w:rPr>
      </w:pPr>
    </w:p>
    <w:p>
      <w:pPr>
        <w:pStyle w:val="BodyText"/>
        <w:spacing w:before="1"/>
        <w:ind w:left="0"/>
        <w:rPr>
          <w:rFonts w:ascii="幼圆"/>
          <w:sz w:val="50"/>
        </w:rPr>
      </w:pPr>
    </w:p>
    <w:p>
      <w:pPr>
        <w:pStyle w:val="Heading1"/>
        <w:rPr>
          <w:rFonts w:ascii="幼圆" w:eastAsia="幼圆" w:hint="eastAsia"/>
        </w:rPr>
      </w:pPr>
      <w:r>
        <w:rPr>
          <w:rFonts w:ascii="幼圆" w:eastAsia="幼圆" w:hint="eastAsia"/>
        </w:rPr>
        <w:t>微孔铝板吊顶安装</w:t>
      </w:r>
    </w:p>
    <w:p>
      <w:pPr>
        <w:pStyle w:val="BodyText"/>
        <w:spacing w:before="0"/>
        <w:ind w:left="0"/>
        <w:rPr>
          <w:rFonts w:ascii="幼圆"/>
          <w:b/>
        </w:rPr>
      </w:pPr>
    </w:p>
    <w:p>
      <w:pPr>
        <w:pStyle w:val="BodyText"/>
        <w:spacing w:before="1"/>
        <w:ind w:left="0"/>
        <w:rPr>
          <w:rFonts w:ascii="幼圆"/>
          <w:b/>
          <w:sz w:val="50"/>
        </w:rPr>
      </w:pPr>
    </w:p>
    <w:p>
      <w:pPr>
        <w:pStyle w:val="BodyText"/>
        <w:spacing w:before="1" w:line="364" w:lineRule="auto"/>
        <w:ind w:right="1624" w:firstLine="961"/>
        <w:jc w:val="both"/>
        <w:rPr>
          <w:rFonts w:ascii="幼圆" w:eastAsia="幼圆" w:hAnsi="幼圆" w:hint="eastAsia"/>
        </w:rPr>
      </w:pPr>
      <w:r>
        <w:rPr>
          <w:rFonts w:ascii="幼圆" w:eastAsia="幼圆" w:hAnsi="幼圆" w:hint="eastAsia"/>
          <w:spacing w:val="-1"/>
          <w:w w:val="95"/>
        </w:rPr>
        <w:t xml:space="preserve">为保证机房内达到敞亮、开阔、牢固和美观的效果。在 天花板吊顶工程中，机房采用铝合金微孔吸音吊顶天花板， </w:t>
      </w:r>
      <w:r>
        <w:rPr>
          <w:rFonts w:ascii="幼圆" w:eastAsia="幼圆" w:hAnsi="幼圆" w:hint="eastAsia"/>
          <w:w w:val="95"/>
        </w:rPr>
        <w:t>吊顶天花板规格为：600mm×600mm</w:t>
      </w:r>
      <w:r>
        <w:rPr>
          <w:rFonts w:ascii="幼圆" w:eastAsia="幼圆" w:hAnsi="幼圆" w:hint="eastAsia"/>
          <w:spacing w:val="-2"/>
          <w:w w:val="95"/>
        </w:rPr>
        <w:t xml:space="preserve">。吊顶龙骨采用双层轻质 </w:t>
      </w:r>
      <w:r>
        <w:rPr>
          <w:rFonts w:ascii="幼圆" w:eastAsia="幼圆" w:hAnsi="幼圆" w:hint="eastAsia"/>
          <w:spacing w:val="-1"/>
          <w:w w:val="95"/>
        </w:rPr>
        <w:t xml:space="preserve">金属龙骨，上层主龙骨和面层龙骨采用十字连扣连接，面层 </w:t>
      </w:r>
      <w:r>
        <w:rPr>
          <w:rFonts w:ascii="幼圆" w:eastAsia="幼圆" w:hAnsi="幼圆" w:hint="eastAsia"/>
        </w:rPr>
        <w:t>龙骨为暗装卡口式。</w:t>
      </w:r>
    </w:p>
    <w:p>
      <w:pPr>
        <w:spacing w:after="0" w:line="364" w:lineRule="auto"/>
        <w:jc w:val="both"/>
        <w:rPr>
          <w:rFonts w:ascii="幼圆" w:eastAsia="幼圆" w:hAnsi="幼圆" w:hint="eastAsia"/>
        </w:rPr>
        <w:sectPr>
          <w:pgSz w:w="17860" w:h="25260"/>
          <w:pgMar w:top="1900" w:right="1080" w:bottom="280" w:left="2160" w:header="708" w:footer="708"/>
          <w:pgNumType w:start="11"/>
          <w:cols w:space="708"/>
        </w:sectPr>
      </w:pPr>
    </w:p>
    <w:p>
      <w:pPr>
        <w:pStyle w:val="BodyText"/>
        <w:spacing w:before="9" w:line="364" w:lineRule="auto"/>
        <w:ind w:right="1624" w:firstLine="961"/>
        <w:jc w:val="both"/>
      </w:pPr>
      <w:r>
        <w:rPr>
          <w:spacing w:val="-1"/>
          <w:w w:val="95"/>
        </w:rPr>
        <w:t xml:space="preserve">对吊顶部分进行防尘处理，确保天花板基础部分不起尘 更好的完成空调系统的回风。同时与机房屏蔽网一起组成一 个完整的屏蔽系统，具抗静电、抗干扰的作用。天花板龙骨 </w:t>
      </w:r>
      <w:r>
        <w:t>部分都要接地。</w:t>
      </w:r>
    </w:p>
    <w:p>
      <w:pPr>
        <w:pStyle w:val="BodyText"/>
        <w:spacing w:before="5" w:line="364" w:lineRule="auto"/>
        <w:ind w:right="1624" w:firstLine="961"/>
      </w:pPr>
      <w:r>
        <w:rPr>
          <w:spacing w:val="-1"/>
          <w:w w:val="95"/>
        </w:rPr>
        <w:t xml:space="preserve">工艺流程：弹顶棚标高水平线→划龙骨分档线→安装主 </w:t>
      </w:r>
      <w:r>
        <w:t>龙骨吊杆→安装主龙骨→安装次龙骨→安装微孔铝塑板</w:t>
      </w:r>
    </w:p>
    <w:p>
      <w:pPr>
        <w:pStyle w:val="BodyText"/>
        <w:spacing w:before="3" w:line="364" w:lineRule="auto"/>
        <w:ind w:right="1624" w:firstLine="961"/>
      </w:pPr>
      <w:r>
        <w:rPr>
          <w:spacing w:val="-1"/>
          <w:w w:val="95"/>
        </w:rPr>
        <w:t xml:space="preserve">●弹顶棚标高水平线：根据楼层标高水平线，用尺竖向 </w:t>
      </w:r>
      <w:r>
        <w:t>量至顶棚设计标高，沿墙、柱四周弹顶棚标高水平线。</w:t>
      </w:r>
    </w:p>
    <w:p>
      <w:pPr>
        <w:pStyle w:val="BodyText"/>
        <w:spacing w:before="2" w:line="364" w:lineRule="auto"/>
        <w:ind w:right="1624" w:firstLine="961"/>
      </w:pPr>
      <w:r>
        <w:rPr>
          <w:spacing w:val="-1"/>
          <w:w w:val="95"/>
        </w:rPr>
        <w:t xml:space="preserve">●划龙骨分档线：按设计要求的主、次龙骨间距，在弹 </w:t>
      </w:r>
      <w:r>
        <w:t>好的顶棚标高线上划龙骨分档线。</w:t>
      </w:r>
    </w:p>
    <w:p>
      <w:pPr>
        <w:pStyle w:val="BodyText"/>
        <w:spacing w:before="2" w:line="364" w:lineRule="auto"/>
        <w:ind w:right="1624" w:firstLine="961"/>
        <w:jc w:val="both"/>
      </w:pPr>
      <w:r>
        <w:rPr>
          <w:spacing w:val="-1"/>
          <w:w w:val="95"/>
        </w:rPr>
        <w:t xml:space="preserve">●安装主龙骨吊杆：弹顶棚标高水平线及主龙骨分档线 位置后，确定吊杆下端头的标高，按主龙骨的位置及吊挂间 距，将吊杆无螺丝扣的一端与膨胀螺栓连接固定。刷防锈漆 </w:t>
      </w:r>
      <w:r>
        <w:t>两道。</w:t>
      </w:r>
    </w:p>
    <w:p>
      <w:pPr>
        <w:pStyle w:val="BodyText"/>
        <w:spacing w:before="6" w:line="364" w:lineRule="auto"/>
        <w:ind w:right="1624" w:firstLine="961"/>
        <w:jc w:val="both"/>
      </w:pPr>
      <w:r>
        <w:rPr>
          <w:spacing w:val="-1"/>
          <w:w w:val="95"/>
        </w:rPr>
        <w:t xml:space="preserve">●安装主龙骨：吊挂件用螺母连接在吊杆上，将主龙骨 按分档线位置穿入相应的吊挂件上，拧好螺母，最后拉线调 </w:t>
      </w:r>
      <w:r>
        <w:t>整标高起拱和平直。</w:t>
      </w:r>
    </w:p>
    <w:p>
      <w:pPr>
        <w:pStyle w:val="BodyText"/>
        <w:spacing w:before="5"/>
        <w:ind w:left="1501"/>
      </w:pPr>
      <w:r>
        <w:rPr>
          <w:w w:val="95"/>
        </w:rPr>
        <w:t>●安装次龙骨：</w:t>
      </w:r>
    </w:p>
    <w:p>
      <w:pPr>
        <w:pStyle w:val="ListParagraph"/>
        <w:numPr>
          <w:ilvl w:val="1"/>
          <w:numId w:val="4"/>
        </w:numPr>
        <w:tabs>
          <w:tab w:val="left" w:pos="1985"/>
        </w:tabs>
        <w:spacing w:before="321" w:after="0" w:line="240" w:lineRule="auto"/>
        <w:ind w:left="1984" w:right="0" w:hanging="484"/>
        <w:jc w:val="left"/>
        <w:rPr>
          <w:sz w:val="48"/>
        </w:rPr>
      </w:pPr>
      <w:r>
        <w:rPr>
          <w:sz w:val="48"/>
        </w:rPr>
        <w:t>按已弹好的次龙骨分档线，卡放次龙骨吊挂件。</w:t>
      </w:r>
    </w:p>
    <w:p>
      <w:pPr>
        <w:pStyle w:val="ListParagraph"/>
        <w:numPr>
          <w:ilvl w:val="1"/>
          <w:numId w:val="4"/>
        </w:numPr>
        <w:tabs>
          <w:tab w:val="left" w:pos="1985"/>
        </w:tabs>
        <w:spacing w:before="321" w:after="0" w:line="364" w:lineRule="auto"/>
        <w:ind w:left="540" w:right="1622" w:firstLine="961"/>
        <w:jc w:val="left"/>
        <w:rPr>
          <w:sz w:val="48"/>
        </w:rPr>
      </w:pPr>
      <w:r>
        <w:rPr>
          <w:spacing w:val="-1"/>
          <w:w w:val="95"/>
          <w:sz w:val="48"/>
        </w:rPr>
        <w:t xml:space="preserve">吊挂次龙骨：按设计规定的次龙骨间距，将次龙骨通 </w:t>
      </w:r>
      <w:r>
        <w:rPr>
          <w:sz w:val="48"/>
        </w:rPr>
        <w:t>过吊挂件吊挂在主龙骨上，设计无要求时，一般间距为500mm-600mm。</w:t>
      </w:r>
    </w:p>
    <w:p>
      <w:pPr>
        <w:spacing w:after="0" w:line="364" w:lineRule="auto"/>
        <w:jc w:val="left"/>
        <w:rPr>
          <w:sz w:val="48"/>
        </w:rPr>
        <w:sectPr>
          <w:pgSz w:w="17860" w:h="25260"/>
          <w:pgMar w:top="1880" w:right="1080" w:bottom="280" w:left="2160" w:header="708" w:footer="708"/>
          <w:pgNumType w:start="12"/>
          <w:cols w:space="708"/>
        </w:sectPr>
      </w:pPr>
    </w:p>
    <w:p>
      <w:pPr>
        <w:pStyle w:val="ListParagraph"/>
        <w:numPr>
          <w:ilvl w:val="1"/>
          <w:numId w:val="4"/>
        </w:numPr>
        <w:tabs>
          <w:tab w:val="left" w:pos="1985"/>
        </w:tabs>
        <w:spacing w:before="9" w:after="0" w:line="364" w:lineRule="auto"/>
        <w:ind w:left="540" w:right="1622" w:firstLine="961"/>
        <w:jc w:val="left"/>
        <w:rPr>
          <w:sz w:val="48"/>
        </w:rPr>
      </w:pPr>
      <w:r>
        <w:rPr>
          <w:spacing w:val="-1"/>
          <w:w w:val="95"/>
          <w:sz w:val="48"/>
        </w:rPr>
        <w:t xml:space="preserve">当次龙骨长度需多根延续接长时，用次龙骨连接件， </w:t>
      </w:r>
      <w:r>
        <w:rPr>
          <w:sz w:val="48"/>
        </w:rPr>
        <w:t>在吊挂次龙骨的同时与之相接，调直固定。</w:t>
      </w:r>
    </w:p>
    <w:p>
      <w:pPr>
        <w:pStyle w:val="BodyText"/>
        <w:spacing w:before="2" w:line="364" w:lineRule="auto"/>
        <w:ind w:right="1624" w:firstLine="961"/>
        <w:jc w:val="both"/>
      </w:pPr>
      <w:r>
        <w:rPr>
          <w:spacing w:val="-1"/>
          <w:w w:val="95"/>
        </w:rPr>
        <w:t xml:space="preserve">●安装微孔铝塑板：在安装金属板前必须对顶棚内的各 种管线进行检查验收，并经打压试验合格后，才允许安装微 孔铝塑板。在已装好并经验收的轻钢龙骨架下面，按铝塑板 的规格、拉缝间距进行分块弹线，从顶棚中间顺通长次龙骨 </w:t>
      </w:r>
      <w:r>
        <w:t>方向先装一块铝塑板，作为基准，固定铝塑板。</w:t>
      </w:r>
    </w:p>
    <w:p>
      <w:pPr>
        <w:pStyle w:val="BodyText"/>
        <w:spacing w:before="0"/>
        <w:ind w:left="0"/>
      </w:pPr>
    </w:p>
    <w:p>
      <w:pPr>
        <w:pStyle w:val="Heading1"/>
        <w:spacing w:before="328"/>
      </w:pPr>
      <w:r>
        <w:t>机房照明灯具</w:t>
      </w:r>
    </w:p>
    <w:p>
      <w:pPr>
        <w:pStyle w:val="BodyText"/>
        <w:spacing w:before="0"/>
        <w:ind w:left="0"/>
        <w:rPr>
          <w:b/>
        </w:rPr>
      </w:pPr>
    </w:p>
    <w:p>
      <w:pPr>
        <w:pStyle w:val="BodyText"/>
        <w:spacing w:before="1"/>
        <w:ind w:left="0"/>
        <w:rPr>
          <w:b/>
          <w:sz w:val="50"/>
        </w:rPr>
      </w:pPr>
    </w:p>
    <w:p>
      <w:pPr>
        <w:pStyle w:val="BodyText"/>
        <w:spacing w:before="0" w:line="364" w:lineRule="auto"/>
        <w:ind w:right="1615" w:firstLine="961"/>
      </w:pPr>
      <w:r>
        <w:rPr>
          <w:spacing w:val="59"/>
        </w:rPr>
        <w:t>机房</w:t>
      </w:r>
      <w:r>
        <w:t>LED</w:t>
      </w:r>
      <w:r>
        <w:rPr>
          <w:spacing w:val="-30"/>
        </w:rPr>
        <w:t xml:space="preserve"> 照明灯具，采用 </w:t>
      </w:r>
      <w:r>
        <w:t>600*600</w:t>
      </w:r>
      <w:r>
        <w:rPr>
          <w:spacing w:val="-15"/>
        </w:rPr>
        <w:t xml:space="preserve"> 格栅灯，依据机房机</w:t>
      </w:r>
      <w:r>
        <w:rPr>
          <w:spacing w:val="-10"/>
        </w:rPr>
        <w:t xml:space="preserve">柜等设备布局，配置灯具 </w:t>
      </w:r>
      <w:r>
        <w:t>6</w:t>
      </w:r>
      <w:r>
        <w:rPr>
          <w:spacing w:val="-40"/>
        </w:rPr>
        <w:t xml:space="preserve"> 套。</w:t>
      </w:r>
    </w:p>
    <w:p>
      <w:pPr>
        <w:pStyle w:val="BodyText"/>
        <w:spacing w:before="3" w:line="364" w:lineRule="auto"/>
        <w:ind w:left="1501" w:right="8562"/>
      </w:pPr>
      <w:r>
        <w:t xml:space="preserve">灯具尺寸：600*600 </w:t>
      </w:r>
      <w:r>
        <w:rPr>
          <w:w w:val="95"/>
        </w:rPr>
        <w:t xml:space="preserve">额定电压：AC85-265V </w:t>
      </w:r>
      <w:r>
        <w:t>功率：32W</w:t>
      </w:r>
    </w:p>
    <w:p>
      <w:pPr>
        <w:pStyle w:val="BodyText"/>
        <w:spacing w:before="4" w:line="364" w:lineRule="auto"/>
        <w:ind w:left="1501" w:right="8523"/>
      </w:pPr>
      <w:r>
        <w:t>光源介绍：超亮芯片光通量：1700-1800LM</w:t>
      </w:r>
    </w:p>
    <w:p>
      <w:pPr>
        <w:pStyle w:val="BodyText"/>
        <w:spacing w:before="3"/>
        <w:ind w:left="1501"/>
      </w:pPr>
      <w:r>
        <w:t>发光角度：≥160°</w:t>
      </w:r>
    </w:p>
    <w:p>
      <w:pPr>
        <w:pStyle w:val="BodyText"/>
        <w:ind w:left="1501"/>
      </w:pPr>
      <w:r>
        <w:t>色温：白光 6000K，暖光 3000K</w:t>
      </w:r>
    </w:p>
    <w:p>
      <w:pPr>
        <w:pStyle w:val="BodyText"/>
        <w:ind w:left="1501"/>
      </w:pPr>
      <w:r>
        <w:t>显色指数：≥80</w:t>
      </w:r>
    </w:p>
    <w:p>
      <w:pPr>
        <w:pStyle w:val="BodyText"/>
        <w:ind w:left="1501"/>
      </w:pPr>
      <w:r>
        <w:t>材料：铝型材+导光板</w:t>
      </w:r>
    </w:p>
    <w:p>
      <w:pPr>
        <w:pStyle w:val="BodyText"/>
      </w:pPr>
      <w:r>
        <w:t>机房墙壁安装 4 套应急灯、进出门安装 2 套安全出口指示灯</w:t>
      </w:r>
    </w:p>
    <w:p>
      <w:pPr>
        <w:spacing w:after="0"/>
        <w:sectPr>
          <w:pgSz w:w="17860" w:h="25260"/>
          <w:pgMar w:top="1880" w:right="1080" w:bottom="280" w:left="2160" w:header="708" w:footer="708"/>
          <w:pgNumType w:start="13"/>
          <w:cols w:space="708"/>
        </w:sectPr>
      </w:pPr>
    </w:p>
    <w:p>
      <w:pPr>
        <w:pStyle w:val="BodyText"/>
        <w:spacing w:before="9"/>
      </w:pPr>
      <w:r>
        <w:t>等应急消防措施。</w:t>
      </w:r>
    </w:p>
    <w:p>
      <w:pPr>
        <w:pStyle w:val="BodyText"/>
        <w:spacing w:before="0"/>
        <w:ind w:left="0"/>
      </w:pPr>
    </w:p>
    <w:p>
      <w:pPr>
        <w:pStyle w:val="BodyText"/>
        <w:spacing w:before="1"/>
        <w:ind w:left="0"/>
        <w:rPr>
          <w:sz w:val="50"/>
        </w:rPr>
      </w:pPr>
    </w:p>
    <w:p>
      <w:pPr>
        <w:pStyle w:val="Heading1"/>
      </w:pPr>
      <w:r>
        <w:t>铝合金玻璃隔断制作</w:t>
      </w:r>
    </w:p>
    <w:p>
      <w:pPr>
        <w:pStyle w:val="BodyText"/>
        <w:spacing w:before="0"/>
        <w:ind w:left="0"/>
        <w:rPr>
          <w:b/>
        </w:rPr>
      </w:pPr>
    </w:p>
    <w:p>
      <w:pPr>
        <w:pStyle w:val="BodyText"/>
        <w:spacing w:before="1"/>
        <w:ind w:left="0"/>
        <w:rPr>
          <w:b/>
          <w:sz w:val="50"/>
        </w:rPr>
      </w:pPr>
    </w:p>
    <w:p>
      <w:pPr>
        <w:pStyle w:val="BodyText"/>
        <w:spacing w:before="0"/>
      </w:pPr>
      <w:r>
        <w:t>一、施工工序</w:t>
      </w:r>
    </w:p>
    <w:p>
      <w:pPr>
        <w:pStyle w:val="BodyText"/>
        <w:spacing w:before="0"/>
        <w:ind w:left="0"/>
        <w:rPr>
          <w:sz w:val="20"/>
        </w:rPr>
      </w:pPr>
    </w:p>
    <w:p>
      <w:pPr>
        <w:pStyle w:val="BodyText"/>
        <w:spacing w:before="0"/>
        <w:ind w:left="0"/>
        <w:rPr>
          <w:sz w:val="17"/>
        </w:rPr>
      </w:pPr>
      <w:r>
        <w:drawing>
          <wp:anchor distT="0" distB="0" distL="0" distR="0" simplePos="0" relativeHeight="251659264" behindDoc="0" locked="0" layoutInCell="1" allowOverlap="1">
            <wp:simplePos x="0" y="0"/>
            <wp:positionH relativeFrom="page">
              <wp:posOffset>1785948</wp:posOffset>
            </wp:positionH>
            <wp:positionV relativeFrom="paragraph">
              <wp:posOffset>163459</wp:posOffset>
            </wp:positionV>
            <wp:extent cx="6143632" cy="805815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6143632" cy="8058150"/>
                    </a:xfrm>
                    <a:prstGeom prst="rect">
                      <a:avLst/>
                    </a:prstGeom>
                  </pic:spPr>
                </pic:pic>
              </a:graphicData>
            </a:graphic>
          </wp:anchor>
        </w:drawing>
      </w:r>
    </w:p>
    <w:p>
      <w:pPr>
        <w:pStyle w:val="BodyText"/>
        <w:spacing w:before="0"/>
        <w:ind w:left="0"/>
      </w:pPr>
    </w:p>
    <w:p>
      <w:pPr>
        <w:pStyle w:val="BodyText"/>
        <w:spacing w:before="3"/>
        <w:ind w:left="0"/>
        <w:rPr>
          <w:sz w:val="40"/>
        </w:rPr>
      </w:pPr>
    </w:p>
    <w:p>
      <w:pPr>
        <w:pStyle w:val="BodyText"/>
        <w:spacing w:before="1"/>
      </w:pPr>
      <w:r>
        <w:t>二、 安装施工要点</w:t>
      </w:r>
    </w:p>
    <w:p>
      <w:pPr>
        <w:pStyle w:val="BodyText"/>
        <w:spacing w:before="320"/>
      </w:pPr>
      <w:r>
        <w:rPr>
          <w:rFonts w:ascii="Calibri" w:eastAsia="Calibri"/>
        </w:rPr>
        <w:t>1</w:t>
      </w:r>
      <w:r>
        <w:t xml:space="preserve">、结构构成：采用 </w:t>
      </w:r>
      <w:r>
        <w:rPr>
          <w:rFonts w:ascii="Calibri" w:eastAsia="Calibri"/>
        </w:rPr>
        <w:t xml:space="preserve">5+5mm </w:t>
      </w:r>
      <w:r>
        <w:t xml:space="preserve">钢化玻璃、或 </w:t>
      </w:r>
      <w:r>
        <w:rPr>
          <w:rFonts w:ascii="Calibri" w:eastAsia="Calibri"/>
        </w:rPr>
        <w:t xml:space="preserve">8-10mm </w:t>
      </w:r>
      <w:r>
        <w:t>单层钢化</w:t>
      </w:r>
    </w:p>
    <w:p>
      <w:pPr>
        <w:spacing w:after="0"/>
        <w:sectPr>
          <w:pgSz w:w="17860" w:h="25260"/>
          <w:pgMar w:top="1880" w:right="1080" w:bottom="280" w:left="2160" w:header="708" w:footer="708"/>
          <w:pgNumType w:start="14"/>
          <w:cols w:space="708"/>
        </w:sectPr>
      </w:pPr>
    </w:p>
    <w:p>
      <w:pPr>
        <w:pStyle w:val="BodyText"/>
        <w:spacing w:before="9" w:line="364" w:lineRule="auto"/>
        <w:ind w:right="1629"/>
      </w:pPr>
      <w:r>
        <w:rPr>
          <w:w w:val="95"/>
        </w:rPr>
        <w:t>玻璃镶嵌铝合金（全铝）</w:t>
      </w:r>
      <w:r>
        <w:rPr>
          <w:spacing w:val="-2"/>
          <w:w w:val="95"/>
        </w:rPr>
        <w:t xml:space="preserve">结构框和隔音密封材料组成，墙体 </w:t>
      </w:r>
      <w:r>
        <w:rPr>
          <w:spacing w:val="-30"/>
        </w:rPr>
        <w:t xml:space="preserve">厚度为 </w:t>
      </w:r>
      <w:r>
        <w:rPr>
          <w:rFonts w:ascii="Calibri" w:eastAsia="Calibri"/>
        </w:rPr>
        <w:t>84mm</w:t>
      </w:r>
      <w:r>
        <w:t>。</w:t>
      </w:r>
    </w:p>
    <w:p>
      <w:pPr>
        <w:pStyle w:val="BodyText"/>
        <w:spacing w:before="2" w:line="364" w:lineRule="auto"/>
        <w:ind w:right="1865"/>
      </w:pPr>
      <w:r>
        <w:rPr>
          <w:rFonts w:ascii="Calibri" w:eastAsia="Calibri"/>
          <w:w w:val="95"/>
        </w:rPr>
        <w:t>2</w:t>
      </w:r>
      <w:r>
        <w:rPr>
          <w:spacing w:val="-1"/>
          <w:w w:val="95"/>
        </w:rPr>
        <w:t xml:space="preserve">、成品铝合金玻璃隔断墙作为非承重建筑构件产品的检测 </w:t>
      </w:r>
      <w:r>
        <w:t>报告执行国家检测标准。</w:t>
      </w:r>
    </w:p>
    <w:p>
      <w:pPr>
        <w:pStyle w:val="BodyText"/>
        <w:spacing w:before="3" w:line="364" w:lineRule="auto"/>
        <w:ind w:right="1636"/>
      </w:pPr>
      <w:r>
        <w:rPr>
          <w:rFonts w:ascii="Calibri" w:eastAsia="Calibri" w:hAnsi="Calibri"/>
        </w:rPr>
        <w:t>3</w:t>
      </w:r>
      <w:r>
        <w:t>、成品铝合金玻璃隔断墙镶嵌玻璃采用圣戈班，南玻等品</w:t>
      </w:r>
      <w:r>
        <w:rPr>
          <w:spacing w:val="10"/>
        </w:rPr>
        <w:t>牌原片。钢化玻璃厚度≥</w:t>
      </w:r>
      <w:r>
        <w:rPr>
          <w:rFonts w:ascii="Calibri" w:eastAsia="Calibri" w:hAnsi="Calibri"/>
        </w:rPr>
        <w:t>5mm</w:t>
      </w:r>
      <w:r>
        <w:t>，玻璃的性能应符合</w:t>
      </w:r>
      <w:r>
        <w:rPr>
          <w:rFonts w:ascii="Calibri" w:eastAsia="Calibri" w:hAnsi="Calibri"/>
          <w:spacing w:val="-9"/>
          <w:w w:val="95"/>
        </w:rPr>
        <w:t>GB/T9963-1998</w:t>
      </w:r>
      <w:r>
        <w:rPr>
          <w:spacing w:val="-11"/>
          <w:w w:val="95"/>
        </w:rPr>
        <w:t xml:space="preserve">《钢化玻璃》标准中建筑用钢化玻璃的要求。  </w:t>
      </w:r>
      <w:r>
        <w:rPr>
          <w:rFonts w:ascii="Calibri" w:eastAsia="Calibri" w:hAnsi="Calibri"/>
          <w:spacing w:val="-11"/>
        </w:rPr>
        <w:t>4</w:t>
      </w:r>
      <w:r>
        <w:rPr>
          <w:spacing w:val="-11"/>
        </w:rPr>
        <w:t>、成品铝合金隔断墙镶嵌玻璃的其他配件：金属百叶帘宽</w:t>
      </w:r>
      <w:r>
        <w:rPr>
          <w:spacing w:val="-47"/>
        </w:rPr>
        <w:t xml:space="preserve">度为 </w:t>
      </w:r>
      <w:r>
        <w:rPr>
          <w:rFonts w:ascii="Calibri" w:eastAsia="Calibri" w:hAnsi="Calibri"/>
        </w:rPr>
        <w:t>16mm</w:t>
      </w:r>
      <w:r>
        <w:t>，壁厚≥</w:t>
      </w:r>
    </w:p>
    <w:p>
      <w:pPr>
        <w:pStyle w:val="BodyText"/>
        <w:spacing w:before="6"/>
      </w:pPr>
      <w:r>
        <w:t>出加工图</w:t>
      </w:r>
    </w:p>
    <w:p>
      <w:pPr>
        <w:pStyle w:val="BodyText"/>
        <w:spacing w:line="364" w:lineRule="auto"/>
        <w:ind w:right="10136"/>
      </w:pPr>
      <w:r>
        <w:t>玻璃安装设计认定五金件确定</w:t>
      </w:r>
    </w:p>
    <w:p>
      <w:pPr>
        <w:pStyle w:val="BodyText"/>
        <w:spacing w:before="3" w:line="364" w:lineRule="auto"/>
        <w:ind w:right="12120"/>
      </w:pPr>
      <w:r>
        <w:t>玻璃加工放 线</w:t>
      </w:r>
    </w:p>
    <w:p>
      <w:pPr>
        <w:pStyle w:val="BodyText"/>
        <w:spacing w:before="3" w:line="364" w:lineRule="auto"/>
        <w:ind w:right="7257"/>
      </w:pPr>
      <w:r>
        <w:rPr>
          <w:spacing w:val="-13"/>
        </w:rPr>
        <w:t>固定地、墙、 顶卡件、龙骨相件</w:t>
      </w:r>
      <w:r>
        <w:t>玻璃安装</w:t>
      </w:r>
    </w:p>
    <w:p>
      <w:pPr>
        <w:pStyle w:val="BodyText"/>
        <w:spacing w:before="2"/>
      </w:pPr>
      <w:r>
        <w:rPr>
          <w:w w:val="95"/>
        </w:rPr>
        <w:t>槽口饰面</w:t>
      </w:r>
    </w:p>
    <w:p>
      <w:pPr>
        <w:pStyle w:val="BodyText"/>
        <w:spacing w:before="322" w:line="364" w:lineRule="auto"/>
        <w:ind w:right="1629"/>
      </w:pPr>
      <w:r>
        <w:t>固定打胶高档加密铝合金手动百叶帘。每米高度密度≥</w:t>
      </w:r>
      <w:r>
        <w:rPr>
          <w:rFonts w:ascii="Calibri" w:eastAsia="Calibri" w:hAnsi="Calibri"/>
          <w:spacing w:val="8"/>
        </w:rPr>
        <w:t xml:space="preserve">80 </w:t>
      </w:r>
      <w:r>
        <w:rPr>
          <w:spacing w:val="-1"/>
          <w:w w:val="95"/>
        </w:rPr>
        <w:t xml:space="preserve">片，旋钮为纯铜制。百叶帘品牌为：台湾明星、深圳馨帘。  </w:t>
      </w:r>
      <w:r>
        <w:rPr>
          <w:rFonts w:ascii="Calibri" w:eastAsia="Calibri" w:hAnsi="Calibri"/>
        </w:rPr>
        <w:t>5</w:t>
      </w:r>
      <w:r>
        <w:t xml:space="preserve">、墙体配套使用铝板设备带，其颜色及工艺同隔断墙铝材龙骨，以保证其表面感观的统一性。设备带铝板厚度≥ </w:t>
      </w:r>
      <w:r>
        <w:rPr>
          <w:rFonts w:ascii="Calibri" w:eastAsia="Calibri" w:hAnsi="Calibri"/>
        </w:rPr>
        <w:t>2.5mm</w:t>
      </w:r>
      <w:r>
        <w:t>。设备带功能性：①满足弱电及开关，门禁系统安装</w:t>
      </w:r>
    </w:p>
    <w:p>
      <w:pPr>
        <w:spacing w:after="0" w:line="364" w:lineRule="auto"/>
        <w:sectPr>
          <w:pgSz w:w="17860" w:h="25260"/>
          <w:pgMar w:top="1880" w:right="1080" w:bottom="280" w:left="2160" w:header="708" w:footer="708"/>
          <w:pgNumType w:start="15"/>
          <w:cols w:space="708"/>
        </w:sectPr>
      </w:pPr>
    </w:p>
    <w:p>
      <w:pPr>
        <w:pStyle w:val="BodyText"/>
        <w:spacing w:before="9"/>
      </w:pPr>
      <w:r>
        <w:t>使用，②保证模块与隔断固定为一体。</w:t>
      </w:r>
    </w:p>
    <w:p>
      <w:pPr>
        <w:pStyle w:val="BodyText"/>
        <w:spacing w:line="364" w:lineRule="auto"/>
        <w:ind w:right="2267"/>
      </w:pPr>
      <w:r>
        <w:rPr>
          <w:rFonts w:ascii="Calibri" w:eastAsia="Calibri" w:hAnsi="Calibri"/>
          <w:w w:val="95"/>
        </w:rPr>
        <w:t>6</w:t>
      </w:r>
      <w:r>
        <w:rPr>
          <w:w w:val="95"/>
        </w:rPr>
        <w:t>、隔断墙底部可配高踢脚，高度≥</w:t>
      </w:r>
      <w:r>
        <w:rPr>
          <w:rFonts w:ascii="Calibri" w:eastAsia="Calibri" w:hAnsi="Calibri"/>
          <w:w w:val="95"/>
        </w:rPr>
        <w:t>100mm</w:t>
      </w:r>
      <w:r>
        <w:rPr>
          <w:w w:val="95"/>
        </w:rPr>
        <w:t>，踢脚一般为</w:t>
      </w:r>
      <w:r>
        <w:rPr>
          <w:rFonts w:ascii="Calibri" w:eastAsia="Calibri" w:hAnsi="Calibri"/>
        </w:rPr>
        <w:t>40mm</w:t>
      </w:r>
      <w:r>
        <w:t>。</w:t>
      </w:r>
    </w:p>
    <w:p>
      <w:pPr>
        <w:pStyle w:val="BodyText"/>
        <w:spacing w:before="2" w:line="364" w:lineRule="auto"/>
        <w:ind w:right="1629"/>
      </w:pPr>
      <w:r>
        <w:rPr>
          <w:rFonts w:ascii="Calibri" w:eastAsia="Calibri" w:hAnsi="Calibri"/>
        </w:rPr>
        <w:t>7</w:t>
      </w:r>
      <w:r>
        <w:rPr>
          <w:spacing w:val="-6"/>
        </w:rPr>
        <w:t xml:space="preserve">、隔断墙铝型材所有接口，如门框、玻框为 </w:t>
      </w:r>
      <w:r>
        <w:rPr>
          <w:rFonts w:ascii="Calibri" w:eastAsia="Calibri" w:hAnsi="Calibri"/>
        </w:rPr>
        <w:t>45</w:t>
      </w:r>
      <w:r>
        <w:t>°角，或招</w:t>
      </w:r>
      <w:r>
        <w:rPr>
          <w:spacing w:val="-1"/>
          <w:w w:val="95"/>
        </w:rPr>
        <w:t xml:space="preserve">标认可的对接方式，并口、接口必须光滑、精密。隔断墙中 使用与隔断墙匹配的成品门框，并保证能够安装电控门锁， </w:t>
      </w:r>
      <w:r>
        <w:t>其颜色及工艺材质同隔断墙墙体，安装进口橡胶防撞密封条。</w:t>
      </w:r>
    </w:p>
    <w:p>
      <w:pPr>
        <w:pStyle w:val="BodyText"/>
        <w:spacing w:before="7" w:line="364" w:lineRule="auto"/>
        <w:ind w:right="1865"/>
      </w:pPr>
      <w:r>
        <w:rPr>
          <w:rFonts w:ascii="Calibri" w:eastAsia="Calibri"/>
          <w:w w:val="95"/>
        </w:rPr>
        <w:t>8</w:t>
      </w:r>
      <w:r>
        <w:rPr>
          <w:spacing w:val="-1"/>
          <w:w w:val="95"/>
        </w:rPr>
        <w:t xml:space="preserve">、隔断底部要求做底部垫块水平工程，并要求做防水防腐 </w:t>
      </w:r>
      <w:r>
        <w:t>处理。</w:t>
      </w:r>
    </w:p>
    <w:p>
      <w:pPr>
        <w:pStyle w:val="BodyText"/>
        <w:spacing w:before="2" w:line="364" w:lineRule="auto"/>
        <w:ind w:right="1865"/>
      </w:pPr>
      <w:r>
        <w:rPr>
          <w:rFonts w:ascii="Calibri" w:eastAsia="Calibri"/>
          <w:w w:val="95"/>
        </w:rPr>
        <w:t>9</w:t>
      </w:r>
      <w:r>
        <w:rPr>
          <w:spacing w:val="-1"/>
          <w:w w:val="95"/>
        </w:rPr>
        <w:t xml:space="preserve">、型材玻璃嵌槽内应有橡胶垫，型材横截面结构应取得招 </w:t>
      </w:r>
      <w:r>
        <w:t>标人确认。</w:t>
      </w:r>
    </w:p>
    <w:p>
      <w:pPr>
        <w:pStyle w:val="BodyText"/>
        <w:spacing w:before="3" w:line="364" w:lineRule="auto"/>
        <w:ind w:right="1629"/>
      </w:pPr>
      <w:r>
        <w:rPr>
          <w:rFonts w:ascii="Calibri" w:eastAsia="Calibri" w:hAnsi="Calibri"/>
        </w:rPr>
        <w:t>10</w:t>
      </w:r>
      <w:r>
        <w:t>、</w:t>
      </w:r>
      <w:r>
        <w:rPr>
          <w:rFonts w:ascii="Calibri" w:eastAsia="Calibri" w:hAnsi="Calibri"/>
        </w:rPr>
        <w:t>90</w:t>
      </w:r>
      <w:r>
        <w:rPr>
          <w:rFonts w:ascii="Calibri" w:eastAsia="Calibri" w:hAnsi="Calibri"/>
          <w:spacing w:val="2"/>
        </w:rPr>
        <w:t xml:space="preserve"> </w:t>
      </w:r>
      <w:r>
        <w:rPr>
          <w:spacing w:val="-10"/>
        </w:rPr>
        <w:t xml:space="preserve">系列铝合金型材原料采用 </w:t>
      </w:r>
      <w:r>
        <w:rPr>
          <w:rFonts w:ascii="Calibri" w:eastAsia="Calibri" w:hAnsi="Calibri"/>
        </w:rPr>
        <w:t>6064</w:t>
      </w:r>
      <w:r>
        <w:t>—</w:t>
      </w:r>
      <w:r>
        <w:rPr>
          <w:rFonts w:ascii="Calibri" w:eastAsia="Calibri" w:hAnsi="Calibri"/>
        </w:rPr>
        <w:t>T5</w:t>
      </w:r>
      <w:r>
        <w:rPr>
          <w:rFonts w:ascii="Calibri" w:eastAsia="Calibri" w:hAnsi="Calibri"/>
          <w:spacing w:val="4"/>
        </w:rPr>
        <w:t xml:space="preserve"> </w:t>
      </w:r>
      <w:r>
        <w:t>铝合金棒，材质</w:t>
      </w:r>
      <w:r>
        <w:rPr>
          <w:spacing w:val="-1"/>
          <w:w w:val="95"/>
        </w:rPr>
        <w:t xml:space="preserve">耐腐蚀性符合国家相关标准的要求；耐盐腐性符合国家相关 </w:t>
      </w:r>
      <w:r>
        <w:t xml:space="preserve">标准的要求；耐磨性能符合国家相关标准的要求。硬度≥ </w:t>
      </w:r>
      <w:r>
        <w:rPr>
          <w:rFonts w:ascii="Calibri" w:eastAsia="Calibri" w:hAnsi="Calibri"/>
        </w:rPr>
        <w:t>12</w:t>
      </w:r>
      <w:r>
        <w:rPr>
          <w:spacing w:val="-10"/>
        </w:rPr>
        <w:t xml:space="preserve">°。其中耐磨性能每克每 </w:t>
      </w:r>
      <w:r>
        <w:rPr>
          <w:rFonts w:ascii="Calibri" w:eastAsia="Calibri" w:hAnsi="Calibri"/>
        </w:rPr>
        <w:t>100</w:t>
      </w:r>
      <w:r>
        <w:rPr>
          <w:rFonts w:ascii="Calibri" w:eastAsia="Calibri" w:hAnsi="Calibri"/>
          <w:spacing w:val="5"/>
        </w:rPr>
        <w:t xml:space="preserve"> </w:t>
      </w:r>
      <w:r>
        <w:t>转≤</w:t>
      </w:r>
      <w:r>
        <w:rPr>
          <w:rFonts w:ascii="Calibri" w:eastAsia="Calibri" w:hAnsi="Calibri"/>
        </w:rPr>
        <w:t>0.1</w:t>
      </w:r>
      <w:r>
        <w:rPr>
          <w:rFonts w:ascii="Calibri" w:eastAsia="Calibri" w:hAnsi="Calibri"/>
          <w:spacing w:val="6"/>
        </w:rPr>
        <w:t xml:space="preserve"> </w:t>
      </w:r>
      <w:r>
        <w:t xml:space="preserve">且为抗压型片材； </w:t>
      </w:r>
      <w:r>
        <w:rPr>
          <w:spacing w:val="-11"/>
        </w:rPr>
        <w:t xml:space="preserve">投标送样片材的规格为 </w:t>
      </w:r>
      <w:r>
        <w:rPr>
          <w:rFonts w:ascii="Calibri" w:eastAsia="Calibri" w:hAnsi="Calibri"/>
        </w:rPr>
        <w:t>450mm</w:t>
      </w:r>
      <w:r>
        <w:t>×</w:t>
      </w:r>
      <w:r>
        <w:rPr>
          <w:rFonts w:ascii="Calibri" w:eastAsia="Calibri" w:hAnsi="Calibri"/>
        </w:rPr>
        <w:t>450mm</w:t>
      </w:r>
      <w:r>
        <w:t>。</w:t>
      </w:r>
    </w:p>
    <w:p>
      <w:pPr>
        <w:pStyle w:val="BodyText"/>
        <w:spacing w:before="7"/>
      </w:pPr>
      <w:r>
        <w:rPr>
          <w:rFonts w:ascii="Calibri" w:eastAsia="Calibri"/>
        </w:rPr>
        <w:t>11</w:t>
      </w:r>
      <w:r>
        <w:t>、隔断墙铝材表面为高档电泳或金属拉丝工艺处理要求。</w:t>
      </w:r>
    </w:p>
    <w:p>
      <w:pPr>
        <w:pStyle w:val="BodyText"/>
      </w:pPr>
      <w:r>
        <w:rPr>
          <w:rFonts w:ascii="Calibri" w:eastAsia="Calibri"/>
        </w:rPr>
        <w:t>12</w:t>
      </w:r>
      <w:r>
        <w:t>、玻璃材质要求</w:t>
      </w:r>
    </w:p>
    <w:p>
      <w:pPr>
        <w:pStyle w:val="BodyText"/>
        <w:spacing w:line="364" w:lineRule="auto"/>
        <w:ind w:right="1618"/>
        <w:jc w:val="both"/>
      </w:pPr>
      <w:r>
        <w:t>（</w:t>
      </w:r>
      <w:r>
        <w:rPr>
          <w:rFonts w:ascii="Calibri" w:eastAsia="Calibri" w:hAnsi="Calibri"/>
        </w:rPr>
        <w:t>1</w:t>
      </w:r>
      <w:r>
        <w:t>）</w:t>
      </w:r>
      <w:r>
        <w:rPr>
          <w:spacing w:val="-4"/>
        </w:rPr>
        <w:t>抗冲击性：</w:t>
      </w:r>
      <w:r>
        <w:rPr>
          <w:rFonts w:ascii="Calibri" w:eastAsia="Calibri" w:hAnsi="Calibri"/>
          <w:spacing w:val="-17"/>
        </w:rPr>
        <w:t xml:space="preserve">1040G </w:t>
      </w:r>
      <w:r>
        <w:rPr>
          <w:spacing w:val="-43"/>
        </w:rPr>
        <w:t xml:space="preserve">球从 </w:t>
      </w:r>
      <w:r>
        <w:rPr>
          <w:rFonts w:ascii="Calibri" w:eastAsia="Calibri" w:hAnsi="Calibri"/>
        </w:rPr>
        <w:t xml:space="preserve">1000mm </w:t>
      </w:r>
      <w:r>
        <w:rPr>
          <w:spacing w:val="-4"/>
        </w:rPr>
        <w:t>高度自由下落，</w:t>
      </w:r>
      <w:r>
        <w:rPr>
          <w:rFonts w:ascii="Calibri" w:eastAsia="Calibri" w:hAnsi="Calibri"/>
          <w:spacing w:val="-23"/>
        </w:rPr>
        <w:t xml:space="preserve">6 </w:t>
      </w:r>
      <w:r>
        <w:t>块试</w:t>
      </w:r>
      <w:r>
        <w:rPr>
          <w:spacing w:val="-2"/>
        </w:rPr>
        <w:t>样均未破坏。</w:t>
      </w:r>
      <w:r>
        <w:rPr>
          <w:spacing w:val="-19"/>
        </w:rPr>
        <w:t>（</w:t>
      </w:r>
      <w:r>
        <w:rPr>
          <w:rFonts w:ascii="Calibri" w:eastAsia="Calibri" w:hAnsi="Calibri"/>
          <w:spacing w:val="-19"/>
        </w:rPr>
        <w:t>2</w:t>
      </w:r>
      <w:r>
        <w:rPr>
          <w:spacing w:val="-19"/>
        </w:rPr>
        <w:t xml:space="preserve">）碎片状态：每块试样在 </w:t>
      </w:r>
      <w:r>
        <w:rPr>
          <w:rFonts w:ascii="Calibri" w:eastAsia="Calibri" w:hAnsi="Calibri"/>
        </w:rPr>
        <w:t>50mm</w:t>
      </w:r>
      <w:r>
        <w:t>×</w:t>
      </w:r>
      <w:r>
        <w:rPr>
          <w:rFonts w:ascii="Calibri" w:eastAsia="Calibri" w:hAnsi="Calibri"/>
        </w:rPr>
        <w:t xml:space="preserve">50mm </w:t>
      </w:r>
      <w:r>
        <w:t>区</w:t>
      </w:r>
      <w:r>
        <w:rPr>
          <w:spacing w:val="-13"/>
        </w:rPr>
        <w:t xml:space="preserve">域内碎片数量大于 </w:t>
      </w:r>
      <w:r>
        <w:rPr>
          <w:rFonts w:ascii="Calibri" w:eastAsia="Calibri" w:hAnsi="Calibri"/>
        </w:rPr>
        <w:t xml:space="preserve">40 </w:t>
      </w:r>
      <w:r>
        <w:t>块，无尖刃状碎片。</w:t>
      </w:r>
    </w:p>
    <w:p>
      <w:pPr>
        <w:spacing w:after="0" w:line="364"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 w:history="1">
        <w:r>
          <w:rPr>
            <w:rFonts w:ascii="SimSun" w:eastAsia="SimSun" w:hAnsi="SimSun" w:cs="SimSun"/>
            <w:b/>
            <w:bCs/>
            <w:color w:val="0000EE"/>
            <w:sz w:val="30"/>
            <w:szCs w:val="30"/>
            <w:u w:val="single" w:color="0000EE"/>
          </w:rPr>
          <w:t>https://d.book118.com/408007103116006041</w:t>
        </w:r>
      </w:hyperlink>
    </w:p>
    <w:p>
      <w:pPr>
        <w:spacing w:after="0" w:line="364" w:lineRule="auto"/>
        <w:jc w:val="both"/>
      </w:pPr>
    </w:p>
    <w:sectPr>
      <w:pgSz w:w="17860" w:h="25260"/>
      <w:pgMar w:top="1880" w:right="1080" w:bottom="280" w:left="2160" w:header="708" w:footer="708"/>
      <w:pgNumType w:start="16"/>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81B59"/>
    <w:multiLevelType w:val="hybridMultilevel"/>
    <w:tmpl w:val="00000000"/>
    <w:lvl w:ilvl="0">
      <w:start w:val="1"/>
      <w:numFmt w:val="decimal"/>
      <w:lvlText w:val="(%1)"/>
      <w:lvlJc w:val="left"/>
      <w:pPr>
        <w:ind w:left="540" w:hanging="1012"/>
        <w:jc w:val="left"/>
      </w:pPr>
      <w:rPr>
        <w:rFonts w:ascii="Calibri" w:eastAsia="Calibri" w:hAnsi="Calibri" w:cs="Calibri" w:hint="default"/>
        <w:spacing w:val="-1"/>
        <w:w w:val="99"/>
        <w:sz w:val="48"/>
        <w:szCs w:val="48"/>
      </w:rPr>
    </w:lvl>
    <w:lvl w:ilvl="1">
      <w:start w:val="0"/>
      <w:numFmt w:val="bullet"/>
      <w:lvlText w:val="•"/>
      <w:lvlJc w:val="left"/>
      <w:pPr>
        <w:ind w:left="1947" w:hanging="1012"/>
      </w:pPr>
      <w:rPr>
        <w:rFonts w:hint="default"/>
      </w:rPr>
    </w:lvl>
    <w:lvl w:ilvl="2">
      <w:start w:val="0"/>
      <w:numFmt w:val="bullet"/>
      <w:lvlText w:val="•"/>
      <w:lvlJc w:val="left"/>
      <w:pPr>
        <w:ind w:left="3355" w:hanging="1012"/>
      </w:pPr>
      <w:rPr>
        <w:rFonts w:hint="default"/>
      </w:rPr>
    </w:lvl>
    <w:lvl w:ilvl="3">
      <w:start w:val="0"/>
      <w:numFmt w:val="bullet"/>
      <w:lvlText w:val="•"/>
      <w:lvlJc w:val="left"/>
      <w:pPr>
        <w:ind w:left="4763" w:hanging="1012"/>
      </w:pPr>
      <w:rPr>
        <w:rFonts w:hint="default"/>
      </w:rPr>
    </w:lvl>
    <w:lvl w:ilvl="4">
      <w:start w:val="0"/>
      <w:numFmt w:val="bullet"/>
      <w:lvlText w:val="•"/>
      <w:lvlJc w:val="left"/>
      <w:pPr>
        <w:ind w:left="6171" w:hanging="1012"/>
      </w:pPr>
      <w:rPr>
        <w:rFonts w:hint="default"/>
      </w:rPr>
    </w:lvl>
    <w:lvl w:ilvl="5">
      <w:start w:val="0"/>
      <w:numFmt w:val="bullet"/>
      <w:lvlText w:val="•"/>
      <w:lvlJc w:val="left"/>
      <w:pPr>
        <w:ind w:left="7579" w:hanging="1012"/>
      </w:pPr>
      <w:rPr>
        <w:rFonts w:hint="default"/>
      </w:rPr>
    </w:lvl>
    <w:lvl w:ilvl="6">
      <w:start w:val="0"/>
      <w:numFmt w:val="bullet"/>
      <w:lvlText w:val="•"/>
      <w:lvlJc w:val="left"/>
      <w:pPr>
        <w:ind w:left="8987" w:hanging="1012"/>
      </w:pPr>
      <w:rPr>
        <w:rFonts w:hint="default"/>
      </w:rPr>
    </w:lvl>
    <w:lvl w:ilvl="7">
      <w:start w:val="0"/>
      <w:numFmt w:val="bullet"/>
      <w:lvlText w:val="•"/>
      <w:lvlJc w:val="left"/>
      <w:pPr>
        <w:ind w:left="10395" w:hanging="1012"/>
      </w:pPr>
      <w:rPr>
        <w:rFonts w:hint="default"/>
      </w:rPr>
    </w:lvl>
    <w:lvl w:ilvl="8">
      <w:start w:val="0"/>
      <w:numFmt w:val="bullet"/>
      <w:lvlText w:val="•"/>
      <w:lvlJc w:val="left"/>
      <w:pPr>
        <w:ind w:left="11803" w:hanging="1012"/>
      </w:pPr>
      <w:rPr>
        <w:rFonts w:hint="default"/>
      </w:rPr>
    </w:lvl>
  </w:abstractNum>
  <w:abstractNum w:abstractNumId="1">
    <w:nsid w:val="2CD84CA1"/>
    <w:multiLevelType w:val="hybridMultilevel"/>
    <w:tmpl w:val="00000000"/>
    <w:lvl w:ilvl="0">
      <w:start w:val="1"/>
      <w:numFmt w:val="decimal"/>
      <w:lvlText w:val="%1."/>
      <w:lvlJc w:val="left"/>
      <w:pPr>
        <w:ind w:left="1037" w:hanging="497"/>
        <w:jc w:val="left"/>
      </w:pPr>
      <w:rPr>
        <w:rFonts w:ascii="Calibri" w:eastAsia="Calibri" w:hAnsi="Calibri" w:cs="Calibri" w:hint="default"/>
        <w:spacing w:val="-1"/>
        <w:w w:val="99"/>
        <w:sz w:val="48"/>
        <w:szCs w:val="48"/>
      </w:rPr>
    </w:lvl>
    <w:lvl w:ilvl="1">
      <w:start w:val="0"/>
      <w:numFmt w:val="bullet"/>
      <w:lvlText w:val="•"/>
      <w:lvlJc w:val="left"/>
      <w:pPr>
        <w:ind w:left="2397" w:hanging="497"/>
      </w:pPr>
      <w:rPr>
        <w:rFonts w:hint="default"/>
      </w:rPr>
    </w:lvl>
    <w:lvl w:ilvl="2">
      <w:start w:val="0"/>
      <w:numFmt w:val="bullet"/>
      <w:lvlText w:val="•"/>
      <w:lvlJc w:val="left"/>
      <w:pPr>
        <w:ind w:left="3755" w:hanging="497"/>
      </w:pPr>
      <w:rPr>
        <w:rFonts w:hint="default"/>
      </w:rPr>
    </w:lvl>
    <w:lvl w:ilvl="3">
      <w:start w:val="0"/>
      <w:numFmt w:val="bullet"/>
      <w:lvlText w:val="•"/>
      <w:lvlJc w:val="left"/>
      <w:pPr>
        <w:ind w:left="5113" w:hanging="497"/>
      </w:pPr>
      <w:rPr>
        <w:rFonts w:hint="default"/>
      </w:rPr>
    </w:lvl>
    <w:lvl w:ilvl="4">
      <w:start w:val="0"/>
      <w:numFmt w:val="bullet"/>
      <w:lvlText w:val="•"/>
      <w:lvlJc w:val="left"/>
      <w:pPr>
        <w:ind w:left="6471" w:hanging="497"/>
      </w:pPr>
      <w:rPr>
        <w:rFonts w:hint="default"/>
      </w:rPr>
    </w:lvl>
    <w:lvl w:ilvl="5">
      <w:start w:val="0"/>
      <w:numFmt w:val="bullet"/>
      <w:lvlText w:val="•"/>
      <w:lvlJc w:val="left"/>
      <w:pPr>
        <w:ind w:left="7829" w:hanging="497"/>
      </w:pPr>
      <w:rPr>
        <w:rFonts w:hint="default"/>
      </w:rPr>
    </w:lvl>
    <w:lvl w:ilvl="6">
      <w:start w:val="0"/>
      <w:numFmt w:val="bullet"/>
      <w:lvlText w:val="•"/>
      <w:lvlJc w:val="left"/>
      <w:pPr>
        <w:ind w:left="9187" w:hanging="497"/>
      </w:pPr>
      <w:rPr>
        <w:rFonts w:hint="default"/>
      </w:rPr>
    </w:lvl>
    <w:lvl w:ilvl="7">
      <w:start w:val="0"/>
      <w:numFmt w:val="bullet"/>
      <w:lvlText w:val="•"/>
      <w:lvlJc w:val="left"/>
      <w:pPr>
        <w:ind w:left="10545" w:hanging="497"/>
      </w:pPr>
      <w:rPr>
        <w:rFonts w:hint="default"/>
      </w:rPr>
    </w:lvl>
    <w:lvl w:ilvl="8">
      <w:start w:val="0"/>
      <w:numFmt w:val="bullet"/>
      <w:lvlText w:val="•"/>
      <w:lvlJc w:val="left"/>
      <w:pPr>
        <w:ind w:left="11903" w:hanging="497"/>
      </w:pPr>
      <w:rPr>
        <w:rFonts w:hint="default"/>
      </w:rPr>
    </w:lvl>
  </w:abstractNum>
  <w:abstractNum w:abstractNumId="2">
    <w:nsid w:val="4E62F8DF"/>
    <w:multiLevelType w:val="hybridMultilevel"/>
    <w:tmpl w:val="00000000"/>
    <w:lvl w:ilvl="0">
      <w:start w:val="1"/>
      <w:numFmt w:val="decimal"/>
      <w:lvlText w:val="%1."/>
      <w:lvlJc w:val="left"/>
      <w:pPr>
        <w:ind w:left="1368" w:hanging="828"/>
        <w:jc w:val="right"/>
      </w:pPr>
      <w:rPr>
        <w:rFonts w:ascii="Calibri" w:eastAsia="Calibri" w:hAnsi="Calibri" w:cs="Calibri" w:hint="default"/>
        <w:spacing w:val="-2"/>
        <w:w w:val="99"/>
        <w:sz w:val="48"/>
        <w:szCs w:val="48"/>
      </w:rPr>
    </w:lvl>
    <w:lvl w:ilvl="1">
      <w:start w:val="1"/>
      <w:numFmt w:val="lowerLetter"/>
      <w:lvlText w:val="%2."/>
      <w:lvlJc w:val="left"/>
      <w:pPr>
        <w:ind w:left="1984" w:hanging="483"/>
        <w:jc w:val="left"/>
      </w:pPr>
      <w:rPr>
        <w:rFonts w:ascii="宋体" w:eastAsia="宋体" w:hAnsi="宋体" w:cs="宋体" w:hint="default"/>
        <w:w w:val="99"/>
        <w:sz w:val="46"/>
        <w:szCs w:val="46"/>
      </w:rPr>
    </w:lvl>
    <w:lvl w:ilvl="2">
      <w:start w:val="0"/>
      <w:numFmt w:val="bullet"/>
      <w:lvlText w:val="•"/>
      <w:lvlJc w:val="left"/>
      <w:pPr>
        <w:ind w:left="1980" w:hanging="483"/>
      </w:pPr>
      <w:rPr>
        <w:rFonts w:hint="default"/>
      </w:rPr>
    </w:lvl>
    <w:lvl w:ilvl="3">
      <w:start w:val="0"/>
      <w:numFmt w:val="bullet"/>
      <w:lvlText w:val="•"/>
      <w:lvlJc w:val="left"/>
      <w:pPr>
        <w:ind w:left="3559" w:hanging="483"/>
      </w:pPr>
      <w:rPr>
        <w:rFonts w:hint="default"/>
      </w:rPr>
    </w:lvl>
    <w:lvl w:ilvl="4">
      <w:start w:val="0"/>
      <w:numFmt w:val="bullet"/>
      <w:lvlText w:val="•"/>
      <w:lvlJc w:val="left"/>
      <w:pPr>
        <w:ind w:left="5139" w:hanging="483"/>
      </w:pPr>
      <w:rPr>
        <w:rFonts w:hint="default"/>
      </w:rPr>
    </w:lvl>
    <w:lvl w:ilvl="5">
      <w:start w:val="0"/>
      <w:numFmt w:val="bullet"/>
      <w:lvlText w:val="•"/>
      <w:lvlJc w:val="left"/>
      <w:pPr>
        <w:ind w:left="6719" w:hanging="483"/>
      </w:pPr>
      <w:rPr>
        <w:rFonts w:hint="default"/>
      </w:rPr>
    </w:lvl>
    <w:lvl w:ilvl="6">
      <w:start w:val="0"/>
      <w:numFmt w:val="bullet"/>
      <w:lvlText w:val="•"/>
      <w:lvlJc w:val="left"/>
      <w:pPr>
        <w:ind w:left="8299" w:hanging="483"/>
      </w:pPr>
      <w:rPr>
        <w:rFonts w:hint="default"/>
      </w:rPr>
    </w:lvl>
    <w:lvl w:ilvl="7">
      <w:start w:val="0"/>
      <w:numFmt w:val="bullet"/>
      <w:lvlText w:val="•"/>
      <w:lvlJc w:val="left"/>
      <w:pPr>
        <w:ind w:left="9879" w:hanging="483"/>
      </w:pPr>
      <w:rPr>
        <w:rFonts w:hint="default"/>
      </w:rPr>
    </w:lvl>
    <w:lvl w:ilvl="8">
      <w:start w:val="0"/>
      <w:numFmt w:val="bullet"/>
      <w:lvlText w:val="•"/>
      <w:lvlJc w:val="left"/>
      <w:pPr>
        <w:ind w:left="11459" w:hanging="483"/>
      </w:pPr>
      <w:rPr>
        <w:rFonts w:hint="default"/>
      </w:rPr>
    </w:lvl>
  </w:abstractNum>
  <w:abstractNum w:abstractNumId="3">
    <w:nsid w:val="5E75E7AB"/>
    <w:multiLevelType w:val="hybridMultilevel"/>
    <w:tmpl w:val="00000000"/>
    <w:lvl w:ilvl="0">
      <w:start w:val="0"/>
      <w:numFmt w:val="bullet"/>
      <w:lvlText w:val="●"/>
      <w:lvlJc w:val="left"/>
      <w:pPr>
        <w:ind w:left="1981" w:hanging="480"/>
      </w:pPr>
      <w:rPr>
        <w:rFonts w:ascii="宋体" w:eastAsia="宋体" w:hAnsi="宋体" w:cs="宋体" w:hint="default"/>
        <w:w w:val="99"/>
        <w:sz w:val="46"/>
        <w:szCs w:val="46"/>
      </w:rPr>
    </w:lvl>
    <w:lvl w:ilvl="1">
      <w:start w:val="0"/>
      <w:numFmt w:val="bullet"/>
      <w:lvlText w:val="•"/>
      <w:lvlJc w:val="left"/>
      <w:pPr>
        <w:ind w:left="3243" w:hanging="480"/>
      </w:pPr>
      <w:rPr>
        <w:rFonts w:hint="default"/>
      </w:rPr>
    </w:lvl>
    <w:lvl w:ilvl="2">
      <w:start w:val="0"/>
      <w:numFmt w:val="bullet"/>
      <w:lvlText w:val="•"/>
      <w:lvlJc w:val="left"/>
      <w:pPr>
        <w:ind w:left="4507" w:hanging="480"/>
      </w:pPr>
      <w:rPr>
        <w:rFonts w:hint="default"/>
      </w:rPr>
    </w:lvl>
    <w:lvl w:ilvl="3">
      <w:start w:val="0"/>
      <w:numFmt w:val="bullet"/>
      <w:lvlText w:val="•"/>
      <w:lvlJc w:val="left"/>
      <w:pPr>
        <w:ind w:left="5771" w:hanging="480"/>
      </w:pPr>
      <w:rPr>
        <w:rFonts w:hint="default"/>
      </w:rPr>
    </w:lvl>
    <w:lvl w:ilvl="4">
      <w:start w:val="0"/>
      <w:numFmt w:val="bullet"/>
      <w:lvlText w:val="•"/>
      <w:lvlJc w:val="left"/>
      <w:pPr>
        <w:ind w:left="7035" w:hanging="480"/>
      </w:pPr>
      <w:rPr>
        <w:rFonts w:hint="default"/>
      </w:rPr>
    </w:lvl>
    <w:lvl w:ilvl="5">
      <w:start w:val="0"/>
      <w:numFmt w:val="bullet"/>
      <w:lvlText w:val="•"/>
      <w:lvlJc w:val="left"/>
      <w:pPr>
        <w:ind w:left="8299" w:hanging="480"/>
      </w:pPr>
      <w:rPr>
        <w:rFonts w:hint="default"/>
      </w:rPr>
    </w:lvl>
    <w:lvl w:ilvl="6">
      <w:start w:val="0"/>
      <w:numFmt w:val="bullet"/>
      <w:lvlText w:val="•"/>
      <w:lvlJc w:val="left"/>
      <w:pPr>
        <w:ind w:left="9563" w:hanging="480"/>
      </w:pPr>
      <w:rPr>
        <w:rFonts w:hint="default"/>
      </w:rPr>
    </w:lvl>
    <w:lvl w:ilvl="7">
      <w:start w:val="0"/>
      <w:numFmt w:val="bullet"/>
      <w:lvlText w:val="•"/>
      <w:lvlJc w:val="left"/>
      <w:pPr>
        <w:ind w:left="10827" w:hanging="480"/>
      </w:pPr>
      <w:rPr>
        <w:rFonts w:hint="default"/>
      </w:rPr>
    </w:lvl>
    <w:lvl w:ilvl="8">
      <w:start w:val="0"/>
      <w:numFmt w:val="bullet"/>
      <w:lvlText w:val="•"/>
      <w:lvlJc w:val="left"/>
      <w:pPr>
        <w:ind w:left="12091" w:hanging="48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540"/>
      <w:outlineLvl w:val="0"/>
    </w:pPr>
    <w:rPr>
      <w:rFonts w:ascii="宋体" w:eastAsia="宋体" w:hAnsi="宋体" w:cs="宋体"/>
      <w:b/>
      <w:bCs/>
      <w:sz w:val="48"/>
      <w:szCs w:val="48"/>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321"/>
      <w:ind w:left="540"/>
    </w:pPr>
    <w:rPr>
      <w:rFonts w:ascii="宋体" w:eastAsia="宋体" w:hAnsi="宋体" w:cs="宋体"/>
      <w:sz w:val="48"/>
      <w:szCs w:val="48"/>
    </w:rPr>
  </w:style>
  <w:style w:type="paragraph" w:styleId="ListParagraph">
    <w:name w:val="List Paragraph"/>
    <w:basedOn w:val="Normal"/>
    <w:uiPriority w:val="1"/>
    <w:qFormat/>
    <w:pPr>
      <w:spacing w:before="321"/>
      <w:ind w:left="540"/>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hyperlink" Target="https://d.book118.com/408007103116006041"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2024-02-01T15:00:31Z</dcterms:created>
  <dcterms:modified xsi:type="dcterms:W3CDTF">2024-02-01T15:00:31Z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2022-11-24T00:00:00Z</vt:filetime>
  </property>
  <property fmtid="{D5CDD505-2E9C-101B-9397-08002B2CF9AE}" pid="3" name="LastSaved">
    <vt:filetime>2024-02-01T00:00:00Z</vt:filetime>
  </property>
</Properties>
</file>