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line="360" w:lineRule="auto"/>
        <w:rPr>
          <w:rFonts w:ascii="宋体" w:hAnsi="宋体" w:hint="eastAsia"/>
          <w:sz w:val="24"/>
          <w:szCs w:val="24"/>
        </w:rPr>
      </w:pPr>
      <w:bookmarkStart w:id="0" w:name="_GoBack"/>
      <w:bookmarkEnd w:id="0"/>
      <w:r>
        <w:rPr>
          <w:rFonts w:ascii="宋体" w:hAnsi="宋体" w:hint="eastAsia"/>
          <w:sz w:val="24"/>
          <w:szCs w:val="24"/>
        </w:rPr>
        <w:t>　　　　　　　　　</w:t>
      </w:r>
    </w:p>
    <w:p>
      <w:pPr>
        <w:pStyle w:val="Heading1"/>
        <w:spacing w:line="360" w:lineRule="auto"/>
        <w:ind w:firstLine="1546" w:firstLineChars="644"/>
        <w:rPr>
          <w:rFonts w:ascii="宋体" w:hAnsi="宋体" w:hint="eastAsia"/>
          <w:sz w:val="24"/>
          <w:szCs w:val="24"/>
        </w:rPr>
      </w:pPr>
    </w:p>
    <w:p>
      <w:pPr>
        <w:pStyle w:val="Heading1"/>
        <w:spacing w:line="360" w:lineRule="auto"/>
        <w:ind w:firstLine="1546" w:firstLineChars="644"/>
        <w:rPr>
          <w:rFonts w:ascii="宋体" w:hAnsi="宋体" w:hint="eastAsia"/>
          <w:sz w:val="24"/>
          <w:szCs w:val="24"/>
        </w:rPr>
      </w:pPr>
    </w:p>
    <w:p>
      <w:pPr>
        <w:pStyle w:val="Heading1"/>
        <w:spacing w:line="360" w:lineRule="auto"/>
        <w:ind w:firstLine="1096" w:firstLineChars="249"/>
        <w:rPr>
          <w:rFonts w:ascii="宋体" w:hAnsi="宋体" w:hint="eastAsia"/>
        </w:rPr>
      </w:pPr>
      <w:r>
        <w:rPr>
          <w:rFonts w:ascii="宋体" w:hAnsi="宋体" w:hint="eastAsia"/>
        </w:rPr>
        <w:t>长沙五一路</w:t>
      </w:r>
      <w:r>
        <w:rPr>
          <w:rFonts w:ascii="宋体" w:hAnsi="宋体" w:hint="eastAsia"/>
          <w:lang w:eastAsia="zh-CN"/>
        </w:rPr>
        <w:t>相关项目</w:t>
      </w:r>
      <w:r>
        <w:rPr>
          <w:rFonts w:ascii="宋体" w:hAnsi="宋体" w:hint="eastAsia"/>
        </w:rPr>
        <w:t>策划提案报告</w:t>
      </w:r>
    </w:p>
    <w:p>
      <w:pPr>
        <w:pStyle w:val="Heading1"/>
        <w:spacing w:line="360" w:lineRule="auto"/>
        <w:rPr>
          <w:rFonts w:ascii="宋体" w:hAnsi="宋体" w:hint="eastAsia"/>
          <w:sz w:val="24"/>
          <w:szCs w:val="24"/>
        </w:rPr>
      </w:pPr>
      <w:r>
        <w:rPr>
          <w:rFonts w:ascii="宋体" w:hAnsi="宋体" w:hint="eastAsia"/>
          <w:sz w:val="24"/>
          <w:szCs w:val="24"/>
        </w:rPr>
        <w:t>　　</w:t>
      </w: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rPr>
      </w:pPr>
    </w:p>
    <w:p>
      <w:pPr>
        <w:pStyle w:val="Normal0"/>
        <w:rPr>
          <w:rFonts w:ascii="宋体" w:eastAsia="宋体" w:hAnsi="宋体" w:hint="eastAsia"/>
          <w:lang w:eastAsia="zh-CN"/>
        </w:rPr>
      </w:pPr>
    </w:p>
    <w:p>
      <w:pPr>
        <w:pStyle w:val="Normal0"/>
        <w:rPr>
          <w:rFonts w:ascii="宋体" w:eastAsia="宋体" w:hAnsi="宋体" w:hint="eastAsia"/>
          <w:lang w:eastAsia="zh-CN"/>
        </w:rPr>
      </w:pPr>
    </w:p>
    <w:p>
      <w:pPr>
        <w:pStyle w:val="Normal0"/>
        <w:rPr>
          <w:rFonts w:ascii="宋体" w:eastAsia="宋体" w:hAnsi="宋体" w:hint="eastAsia"/>
          <w:b/>
          <w:lang w:eastAsia="zh-CN"/>
        </w:rPr>
        <w:sectPr>
          <w:headerReference w:type="default" r:id="rId5"/>
          <w:footerReference w:type="default" r:id="rId6"/>
          <w:pgSz w:w="11906" w:h="16838"/>
          <w:pgMar w:top="539" w:right="926" w:bottom="1440" w:left="1800" w:header="495" w:footer="992" w:gutter="0"/>
          <w:cols w:num="1" w:space="425"/>
          <w:docGrid w:type="lines" w:linePitch="360" w:charSpace="0"/>
        </w:sectPr>
      </w:pPr>
    </w:p>
    <w:p>
      <w:pPr>
        <w:pStyle w:val="Normal0"/>
        <w:ind w:firstLine="1920" w:firstLineChars="800"/>
        <w:rPr>
          <w:rFonts w:ascii="宋体" w:eastAsia="宋体" w:hAnsi="宋体" w:hint="eastAsia"/>
          <w:b/>
          <w:lang w:eastAsia="zh-CN"/>
        </w:rPr>
      </w:pPr>
      <w:r>
        <w:rPr>
          <w:rFonts w:ascii="宋体" w:eastAsia="宋体" w:hAnsi="宋体" w:hint="eastAsia"/>
          <w:b/>
        </w:rPr>
        <w:t>目录</w:t>
      </w:r>
    </w:p>
    <w:p>
      <w:pPr>
        <w:pStyle w:val="Heading1"/>
        <w:spacing w:line="360" w:lineRule="auto"/>
        <w:ind w:left="180"/>
        <w:rPr>
          <w:rFonts w:ascii="宋体" w:hAnsi="宋体" w:hint="eastAsia"/>
          <w:sz w:val="24"/>
          <w:szCs w:val="24"/>
        </w:rPr>
      </w:pPr>
      <w:r>
        <w:rPr>
          <w:rFonts w:ascii="宋体" w:hAnsi="宋体" w:hint="eastAsia"/>
          <w:sz w:val="24"/>
          <w:szCs w:val="24"/>
        </w:rPr>
        <w:t>第一部分：</w:t>
      </w:r>
      <w:r>
        <w:rPr>
          <w:rFonts w:ascii="宋体" w:hAnsi="宋体" w:hint="eastAsia"/>
          <w:sz w:val="24"/>
          <w:szCs w:val="24"/>
          <w:lang w:eastAsia="zh-CN"/>
        </w:rPr>
        <w:t>相关项目</w:t>
      </w:r>
      <w:r>
        <w:rPr>
          <w:rFonts w:ascii="宋体" w:hAnsi="宋体" w:hint="eastAsia"/>
          <w:sz w:val="24"/>
          <w:szCs w:val="24"/>
        </w:rPr>
        <w:t>市场调查分析</w:t>
      </w:r>
    </w:p>
    <w:p>
      <w:pPr>
        <w:pStyle w:val="Normal0"/>
        <w:spacing w:line="360" w:lineRule="auto"/>
        <w:ind w:firstLine="120" w:firstLineChars="50"/>
        <w:rPr>
          <w:rFonts w:ascii="宋体" w:eastAsia="宋体" w:hAnsi="宋体" w:hint="eastAsia"/>
          <w:b/>
          <w:bCs/>
          <w:kern w:val="44"/>
          <w:lang w:eastAsia="zh-CN"/>
        </w:rPr>
      </w:pPr>
      <w:r>
        <w:rPr>
          <w:rFonts w:ascii="宋体" w:eastAsia="宋体" w:hAnsi="宋体" w:hint="eastAsia"/>
          <w:b/>
          <w:bCs/>
          <w:kern w:val="44"/>
        </w:rPr>
        <w:t>第二部分：</w:t>
      </w:r>
      <w:r>
        <w:rPr>
          <w:rFonts w:ascii="宋体" w:eastAsia="宋体" w:hAnsi="宋体" w:hint="eastAsia"/>
          <w:b/>
          <w:bCs/>
          <w:kern w:val="44"/>
          <w:lang w:eastAsia="zh-CN"/>
        </w:rPr>
        <w:t>相关项目</w:t>
      </w:r>
      <w:r>
        <w:rPr>
          <w:rFonts w:ascii="宋体" w:eastAsia="宋体" w:hAnsi="宋体" w:hint="eastAsia"/>
          <w:b/>
          <w:bCs/>
          <w:kern w:val="44"/>
        </w:rPr>
        <w:t>主题定位</w:t>
      </w:r>
    </w:p>
    <w:p>
      <w:pPr>
        <w:pStyle w:val="Normal0"/>
        <w:spacing w:line="360" w:lineRule="auto"/>
        <w:ind w:left="180"/>
        <w:rPr>
          <w:rFonts w:ascii="宋体" w:eastAsia="宋体" w:hAnsi="宋体" w:hint="eastAsia"/>
          <w:b/>
          <w:bCs/>
          <w:kern w:val="44"/>
          <w:lang w:eastAsia="zh-CN"/>
        </w:rPr>
      </w:pPr>
      <w:r>
        <w:rPr>
          <w:rFonts w:ascii="宋体" w:eastAsia="宋体" w:hAnsi="宋体" w:hint="eastAsia"/>
          <w:b/>
          <w:bCs/>
          <w:kern w:val="44"/>
        </w:rPr>
        <w:t>第三部分：</w:t>
      </w:r>
      <w:r>
        <w:rPr>
          <w:rFonts w:ascii="宋体" w:eastAsia="宋体" w:hAnsi="宋体" w:hint="eastAsia"/>
          <w:b/>
          <w:bCs/>
          <w:kern w:val="44"/>
          <w:lang w:eastAsia="zh-CN"/>
        </w:rPr>
        <w:t>相关项目</w:t>
      </w:r>
      <w:r>
        <w:rPr>
          <w:rFonts w:ascii="宋体" w:eastAsia="宋体" w:hAnsi="宋体" w:hint="eastAsia"/>
          <w:b/>
          <w:bCs/>
          <w:kern w:val="44"/>
        </w:rPr>
        <w:t>销售策略与操作</w:t>
      </w:r>
    </w:p>
    <w:p>
      <w:pPr>
        <w:pStyle w:val="Normal0"/>
        <w:spacing w:line="360" w:lineRule="auto"/>
        <w:ind w:firstLine="118" w:firstLineChars="49"/>
        <w:rPr>
          <w:rFonts w:ascii="宋体" w:eastAsia="宋体" w:hAnsi="宋体" w:hint="eastAsia"/>
          <w:b/>
          <w:bCs/>
          <w:kern w:val="44"/>
          <w:lang w:eastAsia="zh-CN"/>
        </w:rPr>
      </w:pPr>
      <w:r>
        <w:rPr>
          <w:rFonts w:ascii="宋体" w:eastAsia="宋体" w:hAnsi="宋体" w:hint="eastAsia"/>
          <w:b/>
          <w:bCs/>
          <w:kern w:val="44"/>
        </w:rPr>
        <w:t>第四部分：</w:t>
      </w:r>
      <w:r>
        <w:rPr>
          <w:rFonts w:ascii="宋体" w:eastAsia="宋体" w:hAnsi="宋体" w:hint="eastAsia"/>
          <w:b/>
          <w:bCs/>
          <w:kern w:val="44"/>
          <w:lang w:eastAsia="zh-CN"/>
        </w:rPr>
        <w:t>相关项目</w:t>
      </w:r>
      <w:r>
        <w:rPr>
          <w:rFonts w:ascii="宋体" w:eastAsia="宋体" w:hAnsi="宋体" w:hint="eastAsia"/>
          <w:b/>
          <w:bCs/>
          <w:kern w:val="44"/>
        </w:rPr>
        <w:t>招商策略</w:t>
      </w:r>
    </w:p>
    <w:p>
      <w:pPr>
        <w:pStyle w:val="Normal0"/>
        <w:spacing w:line="360" w:lineRule="auto"/>
        <w:ind w:firstLine="118" w:firstLineChars="49"/>
        <w:rPr>
          <w:rFonts w:ascii="宋体" w:eastAsia="宋体" w:hAnsi="宋体" w:hint="eastAsia"/>
          <w:b/>
          <w:bCs/>
          <w:kern w:val="44"/>
          <w:lang w:eastAsia="zh-CN"/>
        </w:rPr>
      </w:pPr>
      <w:r>
        <w:rPr>
          <w:rFonts w:ascii="宋体" w:eastAsia="宋体" w:hAnsi="宋体" w:hint="eastAsia"/>
          <w:b/>
          <w:bCs/>
          <w:kern w:val="44"/>
        </w:rPr>
        <w:t>第五部分：</w:t>
      </w:r>
      <w:r>
        <w:rPr>
          <w:rFonts w:ascii="宋体" w:eastAsia="宋体" w:hAnsi="宋体" w:hint="eastAsia"/>
          <w:b/>
          <w:bCs/>
          <w:kern w:val="44"/>
          <w:lang w:eastAsia="zh-CN"/>
        </w:rPr>
        <w:t>相关项目</w:t>
      </w:r>
      <w:r>
        <w:rPr>
          <w:rFonts w:ascii="宋体" w:eastAsia="宋体" w:hAnsi="宋体" w:hint="eastAsia"/>
          <w:b/>
          <w:bCs/>
          <w:kern w:val="44"/>
        </w:rPr>
        <w:t>营销推广思路</w:t>
      </w:r>
    </w:p>
    <w:p>
      <w:pPr>
        <w:pStyle w:val="Normal0"/>
        <w:spacing w:line="360" w:lineRule="auto"/>
        <w:ind w:left="180"/>
        <w:rPr>
          <w:rFonts w:ascii="宋体" w:eastAsia="宋体" w:hAnsi="宋体" w:hint="eastAsia"/>
          <w:b/>
          <w:bCs/>
          <w:kern w:val="44"/>
          <w:lang w:eastAsia="zh-CN"/>
        </w:rPr>
      </w:pPr>
      <w:r>
        <w:rPr>
          <w:rFonts w:ascii="宋体" w:eastAsia="宋体" w:hAnsi="宋体" w:hint="eastAsia"/>
          <w:b/>
          <w:bCs/>
          <w:kern w:val="44"/>
        </w:rPr>
        <w:t>第六部分：</w:t>
      </w:r>
      <w:r>
        <w:rPr>
          <w:rFonts w:ascii="宋体" w:eastAsia="宋体" w:hAnsi="宋体" w:hint="eastAsia"/>
          <w:b/>
          <w:bCs/>
          <w:kern w:val="44"/>
          <w:lang w:eastAsia="zh-CN"/>
        </w:rPr>
        <w:t>相关项目</w:t>
      </w:r>
      <w:r>
        <w:rPr>
          <w:rFonts w:ascii="宋体" w:eastAsia="宋体" w:hAnsi="宋体" w:hint="eastAsia"/>
          <w:b/>
          <w:bCs/>
          <w:kern w:val="44"/>
        </w:rPr>
        <w:t>风险分析及价值评估</w:t>
      </w:r>
    </w:p>
    <w:p>
      <w:pPr>
        <w:pStyle w:val="Normal0"/>
        <w:spacing w:line="360" w:lineRule="auto"/>
        <w:rPr>
          <w:rFonts w:ascii="宋体" w:eastAsia="宋体" w:hAnsi="宋体" w:hint="eastAsia"/>
        </w:rPr>
      </w:pPr>
    </w:p>
    <w:p>
      <w:pPr>
        <w:pStyle w:val="Normal0"/>
        <w:spacing w:line="360" w:lineRule="auto"/>
        <w:rPr>
          <w:rFonts w:ascii="宋体" w:eastAsia="宋体" w:hAnsi="宋体" w:hint="eastAsia"/>
        </w:rPr>
      </w:pPr>
    </w:p>
    <w:p>
      <w:pPr>
        <w:pStyle w:val="Normal0"/>
        <w:spacing w:line="360" w:lineRule="auto"/>
        <w:rPr>
          <w:rFonts w:ascii="宋体" w:eastAsia="宋体" w:hAnsi="宋体" w:hint="eastAsia"/>
        </w:rPr>
      </w:pPr>
    </w:p>
    <w:p>
      <w:pPr>
        <w:pStyle w:val="Heading1"/>
        <w:spacing w:line="360" w:lineRule="auto"/>
        <w:jc w:val="center"/>
        <w:rPr>
          <w:rFonts w:ascii="宋体" w:hAnsi="宋体" w:hint="eastAsia"/>
          <w:sz w:val="24"/>
          <w:szCs w:val="24"/>
        </w:rPr>
      </w:pPr>
      <w:r>
        <w:rPr>
          <w:rFonts w:ascii="宋体" w:hAnsi="宋体" w:hint="eastAsia"/>
          <w:sz w:val="24"/>
          <w:szCs w:val="24"/>
        </w:rPr>
        <w:t>第一部分、</w:t>
      </w:r>
      <w:r>
        <w:rPr>
          <w:rFonts w:ascii="宋体" w:hAnsi="宋体" w:hint="eastAsia"/>
          <w:sz w:val="24"/>
          <w:szCs w:val="24"/>
          <w:lang w:eastAsia="zh-CN"/>
        </w:rPr>
        <w:t>相关项目</w:t>
      </w:r>
      <w:r>
        <w:rPr>
          <w:rFonts w:ascii="宋体" w:hAnsi="宋体" w:hint="eastAsia"/>
          <w:sz w:val="24"/>
          <w:szCs w:val="24"/>
        </w:rPr>
        <w:t>市场调查分析</w:t>
      </w:r>
    </w:p>
    <w:p>
      <w:pPr>
        <w:pStyle w:val="Normal0"/>
        <w:spacing w:line="360" w:lineRule="auto"/>
        <w:rPr>
          <w:rFonts w:ascii="宋体" w:eastAsia="宋体" w:hAnsi="宋体" w:hint="eastAsia"/>
          <w:b/>
        </w:rPr>
      </w:pPr>
      <w:r>
        <w:rPr>
          <w:rFonts w:ascii="宋体" w:eastAsia="宋体" w:hAnsi="宋体" w:hint="eastAsia"/>
          <w:b/>
        </w:rPr>
        <w:t>一、城市区位及地位分析</w:t>
      </w:r>
    </w:p>
    <w:p>
      <w:pPr>
        <w:pStyle w:val="Normal0"/>
        <w:widowControl/>
        <w:spacing w:before="100" w:beforeAutospacing="1" w:after="100" w:afterAutospacing="1" w:line="360" w:lineRule="auto"/>
        <w:ind w:firstLine="480" w:firstLineChars="200"/>
        <w:rPr>
          <w:rFonts w:ascii="宋体" w:eastAsia="宋体" w:hAnsi="宋体" w:hint="eastAsia"/>
        </w:rPr>
      </w:pPr>
      <w:r>
        <w:rPr>
          <w:rFonts w:ascii="宋体" w:eastAsia="宋体" w:hAnsi="宋体" w:hint="eastAsia"/>
        </w:rPr>
        <w:t>1、长沙市作为湖南省的政治、经济、文化、商贸、旅游中心，是中南地区重要的资金，技术，原材料集散地和交通枢纽。全市现辖芙蓉，天心，岳麓，开福，雨花五区和长沙，望城，宁乡三县及浏阳市总面积1。18万平方公里，人口613万，其中城区面积556平方公里，人口199万。</w:t>
      </w:r>
    </w:p>
    <w:p>
      <w:pPr>
        <w:pStyle w:val="Normal0"/>
        <w:widowControl/>
        <w:spacing w:before="100" w:beforeAutospacing="1" w:after="100" w:afterAutospacing="1" w:line="360" w:lineRule="auto"/>
        <w:ind w:firstLine="480" w:firstLineChars="200"/>
        <w:rPr>
          <w:rFonts w:ascii="宋体" w:eastAsia="宋体" w:hAnsi="宋体" w:hint="eastAsia"/>
        </w:rPr>
      </w:pPr>
      <w:r>
        <w:rPr>
          <w:rFonts w:ascii="宋体" w:eastAsia="宋体" w:hAnsi="宋体" w:hint="eastAsia"/>
        </w:rPr>
        <w:t>2、享受着“9＋2泛珠三角”的区域联动发展：长沙是“泛珠三角”的一分子，属中西部地区发展较快的地区之一，2002年在全国265个地级以上城市中，综合实力由1998年的19位跃居12位。</w:t>
      </w:r>
    </w:p>
    <w:p>
      <w:pPr>
        <w:pStyle w:val="Normal0"/>
        <w:spacing w:line="360" w:lineRule="auto"/>
        <w:ind w:firstLine="480" w:firstLineChars="200"/>
        <w:rPr>
          <w:rFonts w:ascii="宋体" w:eastAsia="宋体" w:hAnsi="宋体" w:hint="eastAsia"/>
        </w:rPr>
        <w:sectPr>
          <w:headerReference w:type="default" r:id="rId7"/>
          <w:footerReference w:type="default" r:id="rId8"/>
          <w:type w:val="nextPage"/>
          <w:pgSz w:w="11906" w:h="16838"/>
          <w:pgMar w:top="539" w:right="926" w:bottom="1440" w:left="1800" w:header="495" w:footer="992" w:gutter="0"/>
          <w:pgNumType w:start="2"/>
          <w:cols w:num="1" w:space="425"/>
          <w:titlePg w:val="0"/>
          <w:docGrid w:type="lines" w:linePitch="360" w:charSpace="0"/>
        </w:sectPr>
      </w:pPr>
    </w:p>
    <w:p>
      <w:pPr>
        <w:pStyle w:val="Normal0"/>
        <w:spacing w:line="360" w:lineRule="auto"/>
        <w:ind w:firstLine="480" w:firstLineChars="200"/>
        <w:rPr>
          <w:rFonts w:ascii="宋体" w:eastAsia="宋体" w:hAnsi="宋体" w:hint="eastAsia"/>
        </w:rPr>
      </w:pPr>
      <w:r>
        <w:rPr>
          <w:rFonts w:ascii="宋体" w:eastAsia="宋体" w:hAnsi="宋体" w:hint="eastAsia"/>
        </w:rPr>
        <w:t>3、核心交通与辐射功能。长沙是湘鄂赣三省和东南沿海、长江沿岸、大西南出海通道三个经济产业带的结合部，从长沙至广州走京珠高速公路只要6.5小时，铁路仅8小时，乘飞机不用1小时，拥有良好的水陆空的交通优势，具有极强的周边辐射能力和带动功能。</w:t>
      </w:r>
    </w:p>
    <w:p>
      <w:pPr>
        <w:pStyle w:val="Normal0"/>
        <w:spacing w:line="360" w:lineRule="auto"/>
        <w:ind w:firstLine="480" w:firstLineChars="200"/>
        <w:rPr>
          <w:rFonts w:ascii="宋体" w:eastAsia="宋体" w:hAnsi="宋体" w:hint="eastAsia"/>
        </w:rPr>
      </w:pPr>
      <w:r>
        <w:rPr>
          <w:rFonts w:ascii="宋体" w:eastAsia="宋体" w:hAnsi="宋体" w:hint="eastAsia"/>
        </w:rPr>
        <w:t>4、在“长、株、潭”一体化发展空间体系中，形成了以长沙为中轴的发展格局，随着经济的一体化与城市版图的倍性扩大，长沙的城市竞争力和区域竞争力将将进一步提升，而城市一体化的规划将吸引周边城市使长沙成为中部区域的“消费磁场”。</w:t>
      </w:r>
    </w:p>
    <w:p>
      <w:pPr>
        <w:pStyle w:val="Normal0"/>
        <w:spacing w:line="360" w:lineRule="auto"/>
        <w:ind w:firstLine="480" w:firstLineChars="200"/>
        <w:rPr>
          <w:rFonts w:ascii="宋体" w:eastAsia="宋体" w:hAnsi="宋体" w:hint="eastAsia"/>
        </w:rPr>
      </w:pPr>
      <w:r>
        <w:rPr>
          <w:rFonts w:ascii="宋体" w:eastAsia="宋体" w:hAnsi="宋体" w:hint="eastAsia"/>
        </w:rPr>
        <w:t>5、消费能力空前高涨。随着经济的发展和人民生活水平的提高，城市居民的消费指数全面提升，2004年，长沙GDP总量已突破1000亿元大关、全部工业总产值突破1000亿元大关、社会消费品零售总额突破500亿元大关、城市居民人均可支配收入突破10000元大关、众多具有标志性意义的“关口” 在2004年得以跨越。</w:t>
      </w:r>
    </w:p>
    <w:p>
      <w:pPr>
        <w:pStyle w:val="Normal0"/>
        <w:spacing w:line="360" w:lineRule="auto"/>
        <w:ind w:firstLine="480" w:firstLineChars="200"/>
        <w:rPr>
          <w:rFonts w:ascii="宋体" w:eastAsia="宋体" w:hAnsi="宋体" w:hint="eastAsia"/>
        </w:rPr>
      </w:pPr>
      <w:r>
        <w:rPr>
          <w:rFonts w:ascii="宋体" w:eastAsia="宋体" w:hAnsi="宋体" w:hint="eastAsia"/>
        </w:rPr>
        <w:t>从人均数来看，全年城市居民人均可支配收入11021元，同比增长11.0%，，城市居民人均消费性支出9032元，同比增长8.4%。城市居民恩格尔系数为33.4，同比上升1.8个百分点。</w:t>
      </w:r>
    </w:p>
    <w:p>
      <w:pPr>
        <w:pStyle w:val="Normal0"/>
        <w:spacing w:line="360" w:lineRule="auto"/>
        <w:ind w:firstLine="480" w:firstLineChars="200"/>
        <w:rPr>
          <w:rFonts w:ascii="宋体" w:eastAsia="宋体" w:hAnsi="宋体" w:hint="eastAsia"/>
        </w:rPr>
      </w:pPr>
    </w:p>
    <w:p>
      <w:pPr>
        <w:pStyle w:val="Normal0"/>
        <w:spacing w:line="360" w:lineRule="auto"/>
        <w:ind w:firstLine="480" w:firstLineChars="200"/>
        <w:rPr>
          <w:rFonts w:ascii="宋体" w:eastAsia="宋体" w:hAnsi="宋体" w:hint="eastAsia"/>
          <w:b/>
        </w:rPr>
      </w:pPr>
      <w:r>
        <w:rPr>
          <w:rFonts w:ascii="宋体" w:eastAsia="宋体" w:hAnsi="宋体" w:hint="eastAsia"/>
          <w:b/>
        </w:rPr>
        <w:t>小结：</w:t>
      </w:r>
    </w:p>
    <w:p>
      <w:pPr>
        <w:pStyle w:val="Normal0"/>
        <w:spacing w:line="360" w:lineRule="auto"/>
        <w:ind w:left="479" w:firstLine="353" w:leftChars="228" w:firstLineChars="147"/>
        <w:rPr>
          <w:rFonts w:ascii="宋体" w:eastAsia="宋体" w:hAnsi="宋体" w:hint="eastAsia"/>
          <w:b/>
        </w:rPr>
      </w:pPr>
      <w:r>
        <w:rPr>
          <w:rFonts w:ascii="宋体" w:eastAsia="宋体" w:hAnsi="宋体" w:hint="eastAsia"/>
          <w:b/>
        </w:rPr>
        <w:t>长沙具有区位优势、人才优势、成本优势和品牌优势。经过三次发展机遇，长沙已步入工业化的扩张期。在这一发展态势下，城市化明显加快，外源型经济水平继续提升，内源型经济加速发展，这使得城市人口、消费能力、品牌意识都将得到全面的提升。同时，作为中部中心城市和旅游大省，长沙吸引外来投资与旅游的机率很大，成为高消费的重要组成部分。</w:t>
      </w:r>
    </w:p>
    <w:p>
      <w:pPr>
        <w:pStyle w:val="Normal0"/>
        <w:spacing w:line="360" w:lineRule="auto"/>
        <w:ind w:firstLine="480" w:firstLineChars="200"/>
        <w:rPr>
          <w:rFonts w:ascii="宋体" w:eastAsia="宋体" w:hAnsi="宋体" w:hint="eastAsia"/>
        </w:rPr>
      </w:pPr>
    </w:p>
    <w:p>
      <w:pPr>
        <w:pStyle w:val="Normal0"/>
        <w:spacing w:line="360" w:lineRule="auto"/>
        <w:ind w:firstLine="480" w:firstLineChars="200"/>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二、</w:t>
      </w:r>
      <w:r>
        <w:rPr>
          <w:rFonts w:ascii="宋体" w:eastAsia="宋体" w:hAnsi="宋体" w:hint="eastAsia"/>
          <w:b/>
          <w:lang w:eastAsia="zh-CN"/>
        </w:rPr>
        <w:t>相关项目</w:t>
      </w:r>
      <w:r>
        <w:rPr>
          <w:rFonts w:ascii="宋体" w:eastAsia="宋体" w:hAnsi="宋体" w:hint="eastAsia"/>
          <w:b/>
        </w:rPr>
        <w:t>商业市场分析</w:t>
      </w:r>
    </w:p>
    <w:p>
      <w:pPr>
        <w:pStyle w:val="Web1"/>
        <w:shd w:val="clear" w:color="auto" w:fill="FFFFFF"/>
        <w:spacing w:line="360" w:lineRule="auto"/>
        <w:ind w:firstLine="420"/>
        <w:jc w:val="both"/>
        <w:rPr>
          <w:rFonts w:hint="eastAsia"/>
        </w:rPr>
        <w:sectPr>
          <w:headerReference w:type="default" r:id="rId9"/>
          <w:footerReference w:type="default" r:id="rId10"/>
          <w:type w:val="nextPage"/>
          <w:pgSz w:w="11906" w:h="16838"/>
          <w:pgMar w:top="539" w:right="926" w:bottom="1440" w:left="1800" w:header="495" w:footer="992" w:gutter="0"/>
          <w:pgNumType w:start="3"/>
          <w:cols w:num="1" w:space="425"/>
          <w:titlePg w:val="0"/>
          <w:docGrid w:type="lines" w:linePitch="360" w:charSpace="0"/>
        </w:sectPr>
      </w:pPr>
      <w:r>
        <w:rPr>
          <w:rFonts w:hint="eastAsia"/>
        </w:rPr>
        <w:t>社会经济和房地产发展，必然导致城市的扩张、旧城的改造，令整个商业市场面临重新洗牌的格局。在这一轮洗牌中，长沙的商业市场格局获得了新的调整，并促使其进入了新一轮的竞争格局，规模化、规范化、专业化成为新一轮竞争的主题。</w:t>
      </w:r>
    </w:p>
    <w:p>
      <w:pPr>
        <w:pStyle w:val="Web1"/>
        <w:shd w:val="clear" w:color="auto" w:fill="FFFFFF"/>
        <w:spacing w:line="360" w:lineRule="auto"/>
        <w:ind w:firstLine="420"/>
        <w:jc w:val="both"/>
        <w:rPr>
          <w:rFonts w:hint="eastAsia"/>
          <w:b/>
          <w:kern w:val="2"/>
        </w:rPr>
      </w:pPr>
      <w:r>
        <w:rPr>
          <w:rFonts w:hint="eastAsia"/>
          <w:b/>
          <w:kern w:val="2"/>
        </w:rPr>
        <w:t>2．1城市大型商业市场分析</w:t>
      </w:r>
    </w:p>
    <w:p>
      <w:pPr>
        <w:pStyle w:val="Web1"/>
        <w:shd w:val="clear" w:color="auto" w:fill="FFFFFF"/>
        <w:spacing w:line="360" w:lineRule="auto"/>
        <w:ind w:firstLine="420"/>
        <w:jc w:val="both"/>
        <w:rPr>
          <w:rFonts w:hint="eastAsia"/>
          <w:kern w:val="2"/>
        </w:rPr>
      </w:pPr>
      <w:r>
        <w:rPr>
          <w:rFonts w:hint="eastAsia"/>
          <w:kern w:val="2"/>
        </w:rPr>
        <w:t>2.1.1 “超大经济圈”助力商业地产</w:t>
      </w:r>
    </w:p>
    <w:p>
      <w:pPr>
        <w:pStyle w:val="Web1"/>
        <w:shd w:val="clear" w:color="auto" w:fill="FFFFFF"/>
        <w:spacing w:line="360" w:lineRule="auto"/>
        <w:ind w:firstLine="420"/>
        <w:jc w:val="both"/>
        <w:rPr>
          <w:rFonts w:hint="eastAsia"/>
          <w:kern w:val="2"/>
        </w:rPr>
      </w:pPr>
      <w:r>
        <w:rPr>
          <w:rFonts w:hint="eastAsia"/>
          <w:kern w:val="2"/>
        </w:rPr>
        <w:t>近几年，长沙经济发展迅速，人均收入的持续增加和人均消费的同比增长，推动了一些成熟商圈的形成。《长沙市城市商业网点布局规划》以长沙市为中心，立足1小时商务圈，辐射株洲、湘潭等周边城市，重点发展电子商务、物流配送、连锁经营、国际合作等业态，同时注重文化特色。由此，长沙商业的消费者已不仅仅是本市的200万人口，而是长株潭一小时经济圈内。在这个庞大的经济圈内，</w:t>
      </w:r>
    </w:p>
    <w:p>
      <w:pPr>
        <w:pStyle w:val="Web1"/>
        <w:shd w:val="clear" w:color="auto" w:fill="FFFFFF"/>
        <w:spacing w:line="360" w:lineRule="auto"/>
        <w:ind w:firstLine="420"/>
        <w:jc w:val="both"/>
        <w:rPr>
          <w:rFonts w:hint="eastAsia"/>
          <w:kern w:val="2"/>
        </w:rPr>
      </w:pPr>
      <w:r>
        <w:rPr>
          <w:rFonts w:hint="eastAsia"/>
          <w:kern w:val="2"/>
        </w:rPr>
        <w:t>2.1.2宏观调控完成优胜劣汰</w:t>
      </w:r>
    </w:p>
    <w:p>
      <w:pPr>
        <w:pStyle w:val="Web1"/>
        <w:shd w:val="clear" w:color="auto" w:fill="FFFFFF"/>
        <w:spacing w:line="360" w:lineRule="auto"/>
        <w:ind w:firstLine="420"/>
        <w:jc w:val="both"/>
        <w:rPr>
          <w:rFonts w:hint="eastAsia"/>
          <w:kern w:val="2"/>
        </w:rPr>
      </w:pPr>
      <w:r>
        <w:rPr>
          <w:rFonts w:hint="eastAsia"/>
          <w:kern w:val="2"/>
        </w:rPr>
        <w:t>2004年开始，国家对房地产市场的宏观调控，在大力调整房地产行业、并对小型商业</w:t>
      </w:r>
      <w:r>
        <w:rPr>
          <w:rFonts w:hint="eastAsia"/>
          <w:kern w:val="2"/>
          <w:lang w:eastAsia="zh-CN"/>
        </w:rPr>
        <w:t>相关项目</w:t>
      </w:r>
      <w:r>
        <w:rPr>
          <w:rFonts w:hint="eastAsia"/>
          <w:kern w:val="2"/>
        </w:rPr>
        <w:t>大浪淘沙的同时，却赋予高品质、高规格的商业地产以强劲的动力。随着长沙城区扩张，人流、物流逐渐往城市次中心迁移，高规划、高起点的商业配套与商业地产更是风生水起。而一些商业布局不合理，甚至连停车场规划都没有做好的商业</w:t>
      </w:r>
      <w:r>
        <w:rPr>
          <w:rFonts w:hint="eastAsia"/>
          <w:kern w:val="2"/>
          <w:lang w:eastAsia="zh-CN"/>
        </w:rPr>
        <w:t>相关项目</w:t>
      </w:r>
      <w:r>
        <w:rPr>
          <w:rFonts w:hint="eastAsia"/>
          <w:kern w:val="2"/>
        </w:rPr>
        <w:t>，将逐渐被淘汰，而那些定位和设计都经过专业分析的</w:t>
      </w:r>
      <w:r>
        <w:rPr>
          <w:rFonts w:hint="eastAsia"/>
          <w:kern w:val="2"/>
          <w:lang w:eastAsia="zh-CN"/>
        </w:rPr>
        <w:t>相关项目</w:t>
      </w:r>
      <w:r>
        <w:rPr>
          <w:rFonts w:hint="eastAsia"/>
          <w:kern w:val="2"/>
        </w:rPr>
        <w:t>，其价值更容易受到投资者的认可。</w:t>
      </w:r>
    </w:p>
    <w:p>
      <w:pPr>
        <w:pStyle w:val="Web1"/>
        <w:shd w:val="clear" w:color="auto" w:fill="FFFFFF"/>
        <w:spacing w:line="360" w:lineRule="auto"/>
        <w:ind w:firstLine="420"/>
        <w:jc w:val="both"/>
        <w:rPr>
          <w:rFonts w:hint="eastAsia"/>
          <w:kern w:val="2"/>
        </w:rPr>
      </w:pPr>
      <w:r>
        <w:rPr>
          <w:rFonts w:hint="eastAsia"/>
          <w:kern w:val="2"/>
        </w:rPr>
        <w:t>2.1.3国际资本注入，商业地产活力再现</w:t>
      </w:r>
    </w:p>
    <w:p>
      <w:pPr>
        <w:pStyle w:val="Normal0"/>
        <w:widowControl/>
        <w:spacing w:before="100" w:beforeAutospacing="1" w:after="100" w:afterAutospacing="1" w:line="360" w:lineRule="auto"/>
        <w:ind w:firstLine="480" w:firstLineChars="200"/>
        <w:rPr>
          <w:rFonts w:ascii="宋体" w:eastAsia="宋体" w:hAnsi="宋体" w:hint="eastAsia"/>
        </w:rPr>
      </w:pPr>
      <w:r>
        <w:rPr>
          <w:rFonts w:ascii="宋体" w:eastAsia="宋体" w:hAnsi="宋体" w:hint="eastAsia"/>
        </w:rPr>
        <w:t>长沙商业地产已经有了良好的基础，而随着众多的国际商家在沿海大型城市布局告一段落，长沙吸引了更多国际商家的眼球。麦德龙、沃尔玛、家乐福等国际商家已经在长沙扎下了根基，而其他的国内、国际商家也将投资目光描准了消费活跃的中部重要城市</w:t>
      </w:r>
      <w:r>
        <w:rPr>
          <w:rFonts w:ascii="宋体" w:eastAsia="宋体" w:hAnsi="宋体" w:cs="宋体" w:hint="eastAsia"/>
        </w:rPr>
        <w:t>――</w:t>
      </w:r>
      <w:r>
        <w:rPr>
          <w:rFonts w:ascii="宋体" w:eastAsia="宋体" w:hAnsi="宋体" w:hint="eastAsia"/>
        </w:rPr>
        <w:t>长沙。</w:t>
      </w:r>
    </w:p>
    <w:p>
      <w:pPr>
        <w:pStyle w:val="Normal0"/>
        <w:spacing w:line="360" w:lineRule="auto"/>
        <w:ind w:firstLine="480" w:firstLineChars="200"/>
        <w:rPr>
          <w:rFonts w:ascii="宋体" w:eastAsia="宋体" w:hAnsi="宋体" w:hint="eastAsia"/>
        </w:rPr>
        <w:sectPr>
          <w:headerReference w:type="default" r:id="rId11"/>
          <w:footerReference w:type="default" r:id="rId12"/>
          <w:type w:val="nextPage"/>
          <w:pgSz w:w="11906" w:h="16838"/>
          <w:pgMar w:top="539" w:right="926" w:bottom="1440" w:left="1800" w:header="495" w:footer="992" w:gutter="0"/>
          <w:pgNumType w:start="4"/>
          <w:cols w:num="1" w:space="425"/>
          <w:titlePg w:val="0"/>
          <w:docGrid w:type="lines" w:linePitch="360" w:charSpace="0"/>
        </w:sectPr>
      </w:pPr>
      <w:r>
        <w:rPr>
          <w:rFonts w:ascii="宋体" w:eastAsia="宋体" w:hAnsi="宋体" w:hint="eastAsia"/>
        </w:rPr>
        <w:t>2.1.4市场步入了互赢的“商圈竞争”模式</w:t>
      </w:r>
    </w:p>
    <w:p>
      <w:pPr>
        <w:pStyle w:val="Web1"/>
        <w:shd w:val="clear" w:color="auto" w:fill="FFFFFF"/>
        <w:spacing w:line="360" w:lineRule="auto"/>
        <w:ind w:firstLine="420"/>
        <w:jc w:val="both"/>
        <w:rPr>
          <w:rFonts w:hint="eastAsia"/>
          <w:kern w:val="2"/>
        </w:rPr>
      </w:pPr>
      <w:r>
        <w:rPr>
          <w:rFonts w:hint="eastAsia"/>
          <w:kern w:val="2"/>
        </w:rPr>
        <w:t>经过街铺－大厦裙楼－百货商城－购物中心的发展模式，长沙开始全面步入商业物业的升级阶段。城市的发展催生三大商业区域的新格局，构成长沙市的三大商圈即泛五一路商圈、东塘商圈、火车站商圈。</w:t>
      </w:r>
    </w:p>
    <w:p>
      <w:pPr>
        <w:pStyle w:val="Web1"/>
        <w:shd w:val="clear" w:color="auto" w:fill="FFFFFF"/>
        <w:spacing w:line="360" w:lineRule="auto"/>
        <w:ind w:firstLine="420"/>
        <w:jc w:val="both"/>
        <w:rPr>
          <w:rFonts w:hint="eastAsia"/>
          <w:kern w:val="2"/>
        </w:rPr>
      </w:pPr>
      <w:r>
        <w:rPr>
          <w:rFonts w:hint="eastAsia"/>
          <w:kern w:val="2"/>
        </w:rPr>
        <w:t>每个商圈都有大型商业</w:t>
      </w:r>
      <w:r>
        <w:rPr>
          <w:rFonts w:hint="eastAsia"/>
          <w:kern w:val="2"/>
          <w:lang w:eastAsia="zh-CN"/>
        </w:rPr>
        <w:t>相关项目</w:t>
      </w:r>
      <w:r>
        <w:rPr>
          <w:rFonts w:hint="eastAsia"/>
          <w:kern w:val="2"/>
        </w:rPr>
        <w:t>，竟争激烈程度虽然空前激烈，但各大发展商和商业</w:t>
      </w:r>
      <w:r>
        <w:rPr>
          <w:rFonts w:hint="eastAsia"/>
          <w:kern w:val="2"/>
          <w:lang w:eastAsia="zh-CN"/>
        </w:rPr>
        <w:t>相关项目</w:t>
      </w:r>
      <w:r>
        <w:rPr>
          <w:rFonts w:hint="eastAsia"/>
          <w:kern w:val="2"/>
        </w:rPr>
        <w:t>都重视发挥各自的优势，互为补充，在竟争中谋求发展，形成了“梯度商圈”。其中，五一广场.黄兴路商圈由王府井、平和堂等构成了长沙市的高档商圈；以超市、百货、专业市场等为主的东塘商圈为长沙的综合商圈；而火车站商圈以低档次混杂型商业构成了长沙的“平民商圈”。这样的梯度分布不仅没有造成“三败俱伤”，反而形成了市场的共赢局面。</w:t>
      </w:r>
    </w:p>
    <w:p>
      <w:pPr>
        <w:pStyle w:val="Web1"/>
        <w:shd w:val="clear" w:color="auto" w:fill="FFFFFF"/>
        <w:spacing w:line="360" w:lineRule="auto"/>
        <w:ind w:firstLine="420"/>
        <w:jc w:val="both"/>
        <w:rPr>
          <w:rFonts w:hint="eastAsia"/>
          <w:b/>
          <w:kern w:val="2"/>
        </w:rPr>
      </w:pPr>
      <w:r>
        <w:rPr>
          <w:rFonts w:hint="eastAsia"/>
          <w:b/>
          <w:kern w:val="2"/>
        </w:rPr>
        <w:t>小结：</w:t>
      </w:r>
    </w:p>
    <w:p>
      <w:pPr>
        <w:pStyle w:val="Web1"/>
        <w:shd w:val="clear" w:color="auto" w:fill="FFFFFF"/>
        <w:spacing w:line="360" w:lineRule="auto"/>
        <w:ind w:left="479" w:firstLine="410" w:leftChars="228" w:firstLineChars="171"/>
        <w:jc w:val="both"/>
        <w:rPr>
          <w:rFonts w:hint="eastAsia"/>
          <w:b/>
          <w:kern w:val="2"/>
        </w:rPr>
      </w:pPr>
      <w:r>
        <w:rPr>
          <w:rFonts w:hint="eastAsia"/>
          <w:b/>
          <w:kern w:val="2"/>
        </w:rPr>
        <w:t>从某种程度上说，宏观调控赋予了长沙商业地产新的强劲动力。随着中部的崛起、“9+2泛珠三角”合作平台的建立、以及长株潭三市融城，长沙商业主力店的发展与建立，将在未来几年进入发展的周期，长沙商业地产将得到强劲发展。从长沙的竞争模式来看，各个商圈要发挥优势互补的共赢局面，需加强各自的优势与特点，而作为城市中心商圈的“五一路商圈”，保持其“品牌优势与形象”将是其取得竞争的方向所在。</w:t>
      </w:r>
    </w:p>
    <w:p>
      <w:pPr>
        <w:pStyle w:val="Web1"/>
        <w:shd w:val="clear" w:color="auto" w:fill="FFFFFF"/>
        <w:spacing w:line="360" w:lineRule="auto"/>
        <w:ind w:left="479" w:firstLine="410" w:leftChars="228" w:firstLineChars="171"/>
        <w:jc w:val="both"/>
        <w:rPr>
          <w:rFonts w:hint="eastAsia"/>
          <w:b/>
          <w:kern w:val="2"/>
        </w:rPr>
      </w:pPr>
    </w:p>
    <w:p>
      <w:pPr>
        <w:pStyle w:val="Web1"/>
        <w:shd w:val="clear" w:color="auto" w:fill="FFFFFF"/>
        <w:spacing w:line="360" w:lineRule="auto"/>
        <w:ind w:firstLine="420"/>
        <w:jc w:val="both"/>
        <w:rPr>
          <w:rFonts w:hint="eastAsia"/>
          <w:b/>
          <w:kern w:val="2"/>
        </w:rPr>
      </w:pPr>
      <w:r>
        <w:rPr>
          <w:rFonts w:hint="eastAsia"/>
          <w:b/>
          <w:kern w:val="2"/>
        </w:rPr>
        <w:t>2．2城市大型商业物业发展分析</w:t>
      </w:r>
    </w:p>
    <w:p>
      <w:pPr>
        <w:pStyle w:val="Normal0"/>
        <w:spacing w:line="360" w:lineRule="auto"/>
        <w:ind w:firstLine="480" w:firstLineChars="200"/>
        <w:rPr>
          <w:rFonts w:ascii="宋体" w:eastAsia="宋体" w:hAnsi="宋体" w:hint="eastAsia"/>
        </w:rPr>
      </w:pPr>
      <w:r>
        <w:rPr>
          <w:rFonts w:ascii="宋体" w:eastAsia="宋体" w:hAnsi="宋体" w:hint="eastAsia"/>
        </w:rPr>
        <w:t>2.2.1产权式商铺成为主流产品模式</w:t>
      </w:r>
    </w:p>
    <w:p>
      <w:pPr>
        <w:pStyle w:val="Normal0"/>
        <w:spacing w:line="360" w:lineRule="auto"/>
        <w:ind w:firstLine="480" w:firstLineChars="200"/>
        <w:rPr>
          <w:rFonts w:ascii="宋体" w:eastAsia="宋体" w:hAnsi="宋体" w:hint="eastAsia"/>
        </w:rPr>
        <w:sectPr>
          <w:headerReference w:type="default" r:id="rId13"/>
          <w:footerReference w:type="default" r:id="rId14"/>
          <w:type w:val="nextPage"/>
          <w:pgSz w:w="11906" w:h="16838"/>
          <w:pgMar w:top="539" w:right="926" w:bottom="1440" w:left="1800" w:header="495" w:footer="992" w:gutter="0"/>
          <w:pgNumType w:start="5"/>
          <w:cols w:num="1" w:space="425"/>
          <w:titlePg w:val="0"/>
          <w:docGrid w:type="lines" w:linePitch="360" w:charSpace="0"/>
        </w:sectPr>
      </w:pPr>
    </w:p>
    <w:p>
      <w:pPr>
        <w:pStyle w:val="Normal0"/>
        <w:spacing w:line="360" w:lineRule="auto"/>
        <w:ind w:firstLine="480" w:firstLineChars="200"/>
        <w:rPr>
          <w:rFonts w:ascii="宋体" w:eastAsia="宋体" w:hAnsi="宋体" w:hint="eastAsia"/>
        </w:rPr>
      </w:pPr>
      <w:r>
        <w:rPr>
          <w:rFonts w:ascii="宋体" w:eastAsia="宋体" w:hAnsi="宋体" w:hint="eastAsia"/>
        </w:rPr>
        <w:t>从2003年开始，商业地产的产品以产权式商铺为主，并以持续火爆的趋势继续发展，王府井商业广场、铜锣湾购物中心、运达国际广场等产权式商铺“返租”模式带来的商铺热贯穿着市场的始终。单一的产品与销售模式使长沙商业投资市场陷入了惯性思维，新的地产模式面临着市场的考验。</w:t>
      </w:r>
    </w:p>
    <w:p>
      <w:pPr>
        <w:pStyle w:val="Normal0"/>
        <w:spacing w:line="360" w:lineRule="auto"/>
        <w:ind w:firstLine="480" w:firstLineChars="200"/>
        <w:rPr>
          <w:rFonts w:ascii="宋体" w:eastAsia="宋体" w:hAnsi="宋体" w:hint="eastAsia"/>
        </w:rPr>
      </w:pPr>
      <w:r>
        <w:rPr>
          <w:rFonts w:ascii="宋体" w:eastAsia="宋体" w:hAnsi="宋体" w:hint="eastAsia"/>
        </w:rPr>
        <w:t>2.2.2 商铺经营</w:t>
      </w:r>
      <w:r>
        <w:rPr>
          <w:rFonts w:ascii="宋体" w:eastAsia="宋体" w:hAnsi="宋体" w:hint="eastAsia"/>
          <w:lang w:eastAsia="zh-CN"/>
        </w:rPr>
        <w:t>管理管控</w:t>
      </w:r>
      <w:r>
        <w:rPr>
          <w:rFonts w:ascii="宋体" w:eastAsia="宋体" w:hAnsi="宋体" w:hint="eastAsia"/>
        </w:rPr>
        <w:t>专业化</w:t>
      </w:r>
    </w:p>
    <w:p>
      <w:pPr>
        <w:pStyle w:val="Normal0"/>
        <w:spacing w:line="360" w:lineRule="auto"/>
        <w:ind w:firstLine="480" w:firstLineChars="200"/>
        <w:rPr>
          <w:rFonts w:ascii="宋体" w:eastAsia="宋体" w:hAnsi="宋体" w:hint="eastAsia"/>
        </w:rPr>
      </w:pPr>
      <w:r>
        <w:rPr>
          <w:rFonts w:ascii="宋体" w:eastAsia="宋体" w:hAnsi="宋体" w:hint="eastAsia"/>
        </w:rPr>
        <w:t>目前整个市场明显呈现出更理性化的需求，投资者和经营者都对发展商提出了经营</w:t>
      </w:r>
      <w:r>
        <w:rPr>
          <w:rFonts w:ascii="宋体" w:eastAsia="宋体" w:hAnsi="宋体" w:hint="eastAsia"/>
          <w:lang w:eastAsia="zh-CN"/>
        </w:rPr>
        <w:t>管理管控</w:t>
      </w:r>
      <w:r>
        <w:rPr>
          <w:rFonts w:ascii="宋体" w:eastAsia="宋体" w:hAnsi="宋体" w:hint="eastAsia"/>
        </w:rPr>
        <w:t>上的要求，促使发展商地市场作出售后承诺，除了要考虑如何将商铺尽快销售出去，还要考虑商铺如何经营才能保证旺场，才能令物业保值和增值。长沙各个在型商场都采取了专业化的经营</w:t>
      </w:r>
      <w:r>
        <w:rPr>
          <w:rFonts w:ascii="宋体" w:eastAsia="宋体" w:hAnsi="宋体" w:hint="eastAsia"/>
          <w:lang w:eastAsia="zh-CN"/>
        </w:rPr>
        <w:t>管理管控</w:t>
      </w:r>
      <w:r>
        <w:rPr>
          <w:rFonts w:ascii="宋体" w:eastAsia="宋体" w:hAnsi="宋体" w:hint="eastAsia"/>
        </w:rPr>
        <w:t>，确保</w:t>
      </w:r>
      <w:r>
        <w:rPr>
          <w:rFonts w:ascii="宋体" w:eastAsia="宋体" w:hAnsi="宋体" w:hint="eastAsia"/>
          <w:lang w:eastAsia="zh-CN"/>
        </w:rPr>
        <w:t>相关项目</w:t>
      </w:r>
      <w:r>
        <w:rPr>
          <w:rFonts w:ascii="宋体" w:eastAsia="宋体" w:hAnsi="宋体" w:hint="eastAsia"/>
        </w:rPr>
        <w:t>的保值增值。</w:t>
      </w:r>
    </w:p>
    <w:p>
      <w:pPr>
        <w:pStyle w:val="Normal0"/>
        <w:spacing w:line="360" w:lineRule="auto"/>
        <w:ind w:firstLine="480" w:firstLineChars="200"/>
        <w:rPr>
          <w:rFonts w:ascii="宋体" w:eastAsia="宋体" w:hAnsi="宋体" w:hint="eastAsia"/>
        </w:rPr>
      </w:pPr>
      <w:r>
        <w:rPr>
          <w:rFonts w:ascii="宋体" w:eastAsia="宋体" w:hAnsi="宋体" w:hint="eastAsia"/>
        </w:rPr>
        <w:t>2.2.3商业物业开发规模化</w:t>
      </w:r>
    </w:p>
    <w:p>
      <w:pPr>
        <w:pStyle w:val="Normal0"/>
        <w:spacing w:line="360" w:lineRule="auto"/>
        <w:ind w:firstLine="480" w:firstLineChars="200"/>
        <w:rPr>
          <w:rFonts w:ascii="宋体" w:eastAsia="宋体" w:hAnsi="宋体" w:hint="eastAsia"/>
        </w:rPr>
      </w:pPr>
      <w:r>
        <w:rPr>
          <w:rFonts w:ascii="宋体" w:eastAsia="宋体" w:hAnsi="宋体" w:hint="eastAsia"/>
        </w:rPr>
        <w:t>随着国际资本的大举进入和国内商业运营机构的实力提升，促使商业物业开发与经营同先进的模式接轨，商业物业从原来无序、散乱的市场，逐步走向有序的规模化，经营专业化，是大势所趋。</w:t>
      </w:r>
    </w:p>
    <w:p>
      <w:pPr>
        <w:pStyle w:val="Normal0"/>
        <w:spacing w:line="360" w:lineRule="auto"/>
        <w:ind w:firstLine="480" w:firstLineChars="200"/>
        <w:rPr>
          <w:rFonts w:ascii="宋体" w:eastAsia="宋体" w:hAnsi="宋体" w:hint="eastAsia"/>
        </w:rPr>
      </w:pPr>
      <w:r>
        <w:rPr>
          <w:rFonts w:ascii="宋体" w:eastAsia="宋体" w:hAnsi="宋体" w:hint="eastAsia"/>
        </w:rPr>
        <w:t>2.2.4</w:t>
      </w:r>
      <w:r>
        <w:rPr>
          <w:rFonts w:ascii="宋体" w:eastAsia="宋体" w:hAnsi="宋体" w:hint="eastAsia"/>
          <w:lang w:eastAsia="zh-CN"/>
        </w:rPr>
        <w:t>相关项目</w:t>
      </w:r>
      <w:r>
        <w:rPr>
          <w:rFonts w:ascii="宋体" w:eastAsia="宋体" w:hAnsi="宋体" w:hint="eastAsia"/>
        </w:rPr>
        <w:t>公共区间社会化</w:t>
      </w:r>
    </w:p>
    <w:p>
      <w:pPr>
        <w:pStyle w:val="Normal0"/>
        <w:spacing w:line="360" w:lineRule="auto"/>
        <w:ind w:firstLine="480" w:firstLineChars="200"/>
        <w:rPr>
          <w:rFonts w:ascii="宋体" w:eastAsia="宋体" w:hAnsi="宋体" w:hint="eastAsia"/>
        </w:rPr>
      </w:pPr>
      <w:r>
        <w:rPr>
          <w:rFonts w:ascii="宋体" w:eastAsia="宋体" w:hAnsi="宋体" w:hint="eastAsia"/>
        </w:rPr>
        <w:t>发展商在</w:t>
      </w:r>
      <w:r>
        <w:rPr>
          <w:rFonts w:ascii="宋体" w:eastAsia="宋体" w:hAnsi="宋体" w:hint="eastAsia"/>
          <w:lang w:eastAsia="zh-CN"/>
        </w:rPr>
        <w:t>相关项目</w:t>
      </w:r>
      <w:r>
        <w:rPr>
          <w:rFonts w:ascii="宋体" w:eastAsia="宋体" w:hAnsi="宋体" w:hint="eastAsia"/>
        </w:rPr>
        <w:t>开发的同时，配合政府的规划，建设专用区间作为公共活动区域，用以组织社区活动、集市、表演、休闲、娱乐的场所，使商业活动和公共活动相与促进，成为综上所述合性的城市广场。如：黄兴路步行街、万达商业广场等。商业物业公共区间社会化的同时，也为这些商业物业带潜在的消费人流和可观的效益。</w:t>
      </w:r>
    </w:p>
    <w:p>
      <w:pPr>
        <w:pStyle w:val="Normal0"/>
        <w:spacing w:line="360" w:lineRule="auto"/>
        <w:ind w:firstLine="480" w:firstLineChars="200"/>
        <w:rPr>
          <w:rFonts w:ascii="宋体" w:eastAsia="宋体" w:hAnsi="宋体" w:hint="eastAsia"/>
        </w:rPr>
      </w:pPr>
      <w:r>
        <w:rPr>
          <w:rFonts w:ascii="宋体" w:eastAsia="宋体" w:hAnsi="宋体" w:hint="eastAsia"/>
        </w:rPr>
        <w:t>2.2.5商业定位专业化</w:t>
      </w:r>
    </w:p>
    <w:p>
      <w:pPr>
        <w:pStyle w:val="Normal0"/>
        <w:spacing w:line="360" w:lineRule="auto"/>
        <w:ind w:firstLine="480"/>
        <w:rPr>
          <w:rFonts w:ascii="宋体" w:eastAsia="宋体" w:hAnsi="宋体" w:hint="eastAsia"/>
        </w:rPr>
      </w:pPr>
      <w:r>
        <w:rPr>
          <w:rFonts w:ascii="宋体" w:eastAsia="宋体" w:hAnsi="宋体" w:hint="eastAsia"/>
        </w:rPr>
        <w:t>面对越来越激烈的竞争，长沙“大而全”的传统百货店面临着转型。以“女性主题商场”为主题的春天百货、以“金色家族名品中心”为主题的东塘百货大楼、以“运动商场”为主题的新大新等为代表，带领长沙百货商业步入了 “主题时代”。</w:t>
      </w:r>
    </w:p>
    <w:p>
      <w:pPr>
        <w:pStyle w:val="Normal0"/>
        <w:spacing w:line="360" w:lineRule="auto"/>
        <w:ind w:firstLine="480"/>
        <w:rPr>
          <w:rFonts w:ascii="宋体" w:eastAsia="宋体" w:hAnsi="宋体" w:hint="eastAsia"/>
        </w:rPr>
      </w:pPr>
      <w:r>
        <w:rPr>
          <w:rFonts w:ascii="宋体" w:eastAsia="宋体" w:hAnsi="宋体" w:hint="eastAsia"/>
        </w:rPr>
        <w:t>作为一种全新的理念，主题商场不仅是为消费者提供商品，还努力营造一个良好的购物氛围。在经营理念上，则改变以往的全销售模式，体现出特有的主题。这将是未来长沙的商业竞争模式走向。</w:t>
      </w:r>
    </w:p>
    <w:p>
      <w:pPr>
        <w:pStyle w:val="Normal0"/>
        <w:spacing w:line="360" w:lineRule="auto"/>
        <w:ind w:firstLine="480" w:firstLineChars="200"/>
        <w:rPr>
          <w:rFonts w:ascii="宋体" w:eastAsia="宋体" w:hAnsi="宋体" w:hint="eastAsia"/>
        </w:rPr>
      </w:pPr>
      <w:r>
        <w:rPr>
          <w:rFonts w:ascii="宋体" w:eastAsia="宋体" w:hAnsi="宋体" w:hint="eastAsia"/>
        </w:rPr>
        <w:t>2.2.6销售策略单一化</w:t>
      </w:r>
    </w:p>
    <w:p>
      <w:pPr>
        <w:pStyle w:val="Normal0"/>
        <w:spacing w:line="360" w:lineRule="auto"/>
        <w:ind w:firstLine="480" w:firstLineChars="200"/>
        <w:rPr>
          <w:rFonts w:ascii="宋体" w:eastAsia="宋体" w:hAnsi="宋体" w:hint="eastAsia"/>
        </w:rPr>
        <w:sectPr>
          <w:headerReference w:type="default" r:id="rId15"/>
          <w:footerReference w:type="default" r:id="rId16"/>
          <w:type w:val="nextPage"/>
          <w:pgSz w:w="11906" w:h="16838"/>
          <w:pgMar w:top="539" w:right="926" w:bottom="1440" w:left="1800" w:header="495" w:footer="992" w:gutter="0"/>
          <w:pgNumType w:start="6"/>
          <w:cols w:num="1" w:space="425"/>
          <w:titlePg w:val="0"/>
          <w:docGrid w:type="lines" w:linePitch="360" w:charSpace="0"/>
        </w:sectPr>
      </w:pPr>
    </w:p>
    <w:p>
      <w:pPr>
        <w:pStyle w:val="Normal0"/>
        <w:spacing w:line="360" w:lineRule="auto"/>
        <w:ind w:firstLine="480" w:firstLineChars="200"/>
        <w:rPr>
          <w:rFonts w:ascii="宋体" w:eastAsia="宋体" w:hAnsi="宋体" w:hint="eastAsia"/>
        </w:rPr>
      </w:pPr>
      <w:r>
        <w:rPr>
          <w:rFonts w:ascii="宋体" w:eastAsia="宋体" w:hAnsi="宋体" w:hint="eastAsia"/>
        </w:rPr>
        <w:t>目前商业物业的定位策略单一，销售策略单一。自“返租”策略以后，基本未见亮点，几年来位置销差的商铺销售基本是靠这一妙计打天下，用广州话来说就是“一本通书看到老”。</w:t>
      </w:r>
    </w:p>
    <w:p>
      <w:pPr>
        <w:pStyle w:val="Web1"/>
        <w:shd w:val="clear" w:color="auto" w:fill="FFFFFF"/>
        <w:spacing w:line="360" w:lineRule="auto"/>
        <w:ind w:left="479" w:firstLine="410" w:leftChars="228" w:firstLineChars="171"/>
        <w:jc w:val="both"/>
        <w:rPr>
          <w:rFonts w:hint="eastAsia"/>
          <w:b/>
          <w:kern w:val="2"/>
        </w:rPr>
      </w:pPr>
    </w:p>
    <w:p>
      <w:pPr>
        <w:pStyle w:val="Normal0"/>
        <w:adjustRightInd w:val="0"/>
        <w:snapToGrid w:val="0"/>
        <w:spacing w:line="360" w:lineRule="auto"/>
        <w:rPr>
          <w:rFonts w:ascii="宋体" w:eastAsia="宋体" w:hAnsi="宋体" w:hint="eastAsia"/>
          <w:b/>
        </w:rPr>
      </w:pPr>
      <w:r>
        <w:rPr>
          <w:rFonts w:ascii="宋体" w:eastAsia="宋体" w:hAnsi="宋体" w:hint="eastAsia"/>
          <w:b/>
        </w:rPr>
        <w:t>2.3商业市场商圈调研分析</w:t>
      </w:r>
    </w:p>
    <w:p>
      <w:pPr>
        <w:pStyle w:val="Normal0"/>
        <w:spacing w:line="360" w:lineRule="auto"/>
        <w:ind w:firstLine="480"/>
        <w:rPr>
          <w:rFonts w:ascii="宋体" w:eastAsia="宋体" w:hAnsi="宋体" w:hint="eastAsia"/>
        </w:rPr>
      </w:pPr>
      <w:r>
        <w:rPr>
          <w:rFonts w:ascii="宋体" w:eastAsia="宋体" w:hAnsi="宋体" w:hint="eastAsia"/>
          <w:b/>
        </w:rPr>
        <w:t xml:space="preserve">2.3.1　五一广场•黄兴路商圈（简称五一商圈） </w:t>
      </w:r>
      <w:r>
        <w:rPr>
          <w:rFonts w:ascii="宋体" w:eastAsia="宋体" w:hAnsi="宋体" w:hint="eastAsia"/>
        </w:rPr>
        <w:t xml:space="preserve"> </w:t>
      </w:r>
    </w:p>
    <w:p>
      <w:pPr>
        <w:pStyle w:val="Normal0"/>
        <w:spacing w:line="360" w:lineRule="auto"/>
        <w:ind w:firstLine="480"/>
        <w:rPr>
          <w:rFonts w:ascii="宋体" w:eastAsia="宋体" w:hAnsi="宋体" w:hint="eastAsia"/>
        </w:rPr>
      </w:pPr>
      <w:r>
        <w:rPr>
          <w:rFonts w:ascii="宋体" w:eastAsia="宋体" w:hAnsi="宋体" w:hint="eastAsia"/>
        </w:rPr>
        <w:t>位于星城核心地带的五一商圈，是长沙商业阵线的制高点，历来是各路商家必争之地。在五一商圈近3平方公里的区域内，各路商家排兵布阵，积极进驻，长沙铜锣湾广场、长沙王府井商业广场、黄兴南路步行商业街、坡子街民俗名食商业街等四大豪强暗自发力，近20万平方米的商业铺面先后竞相入市。五一商圈已成为龙虎争雄之地，北派商家大佬王府井百货盘踞南部，南派商家旗手铜锣湾百货屹立北方，与先行者平和堂、春天百货一起，成四方呼应之势。</w:t>
      </w:r>
    </w:p>
    <w:p>
      <w:pPr>
        <w:pStyle w:val="Normal0"/>
        <w:spacing w:line="360" w:lineRule="auto"/>
        <w:ind w:firstLine="480"/>
        <w:rPr>
          <w:rFonts w:ascii="宋体" w:eastAsia="宋体" w:hAnsi="宋体" w:hint="eastAsia"/>
        </w:rPr>
      </w:pPr>
      <w:r>
        <w:rPr>
          <w:rFonts w:ascii="宋体" w:eastAsia="宋体" w:hAnsi="宋体" w:hint="eastAsia"/>
        </w:rPr>
        <w:t xml:space="preserve">五一商圈是一方财富宝地，凭借交通便利、人气兴旺、商业气氛浓厚以及得天独厚的湖湘文化、成熟的商业环境与不可复制的优越位置，在长沙独占鳌头，这一区域成为长沙乃至整个湖南名副其实的人流、物流、资金流、信息流的中心。 </w:t>
      </w:r>
    </w:p>
    <w:p>
      <w:pPr>
        <w:pStyle w:val="Normal0"/>
        <w:spacing w:line="360" w:lineRule="auto"/>
        <w:rPr>
          <w:rFonts w:ascii="宋体" w:eastAsia="宋体" w:hAnsi="宋体" w:hint="eastAsia"/>
          <w:b/>
        </w:rPr>
      </w:pPr>
      <w:r>
        <w:rPr>
          <w:rFonts w:ascii="宋体" w:eastAsia="宋体" w:hAnsi="宋体" w:hint="eastAsia"/>
        </w:rPr>
        <w:t>　　</w:t>
      </w:r>
      <w:r>
        <w:rPr>
          <w:rFonts w:ascii="宋体" w:eastAsia="宋体" w:hAnsi="宋体" w:hint="eastAsia"/>
          <w:b/>
        </w:rPr>
        <w:t xml:space="preserve">商圈小结： </w:t>
      </w:r>
    </w:p>
    <w:p>
      <w:pPr>
        <w:pStyle w:val="Normal0"/>
        <w:spacing w:line="360" w:lineRule="auto"/>
        <w:rPr>
          <w:rFonts w:ascii="宋体" w:eastAsia="宋体" w:hAnsi="宋体" w:hint="eastAsia"/>
        </w:rPr>
      </w:pPr>
      <w:r>
        <w:rPr>
          <w:rFonts w:ascii="宋体" w:eastAsia="宋体" w:hAnsi="宋体" w:hint="eastAsia"/>
        </w:rPr>
        <w:t xml:space="preserve">　　地段与口岸决定着商业地产的命脉。五一商圈属于城市的核心商圈，地段显赫，交通畅达，商业活跃，人气旺盛（日均人流量超过30万），是真正意义上的寸土寸金。数百年来，五一商圈一直就是长沙商业的核心和支撑。正是基于对五一商圈这一黄金口岸的认同，众多商家、开发商、投资者对区域内的商业物业极具信心。 </w:t>
      </w:r>
    </w:p>
    <w:p>
      <w:pPr>
        <w:pStyle w:val="Normal0"/>
        <w:spacing w:line="360" w:lineRule="auto"/>
        <w:rPr>
          <w:rFonts w:ascii="宋体" w:eastAsia="宋体" w:hAnsi="宋体" w:hint="eastAsia"/>
        </w:rPr>
      </w:pPr>
      <w:r>
        <w:rPr>
          <w:rFonts w:ascii="宋体" w:eastAsia="宋体" w:hAnsi="宋体" w:hint="eastAsia"/>
        </w:rPr>
        <w:t>　　现已有沃尔玛、国美与苏宁、铜锣湾百货这四大连锁商业巨头进驻五一商圈。随着四大巨头的入驻，以及人民西路改造的顺利竣工，该商圈将焕发出空前的活力。五一商圈已经成为各路诸侯和大量资本纷纷杀入的黄金宝地，不仅意味着都心地带强劲的向心力和丰富的含金量，同时也预示着这一区域内的市场竞争将日趋激烈。</w:t>
      </w:r>
    </w:p>
    <w:p>
      <w:pPr>
        <w:pStyle w:val="Normal0"/>
        <w:spacing w:line="360" w:lineRule="auto"/>
        <w:ind w:firstLine="240" w:firstLineChars="100"/>
        <w:rPr>
          <w:rFonts w:ascii="宋体" w:eastAsia="宋体" w:hAnsi="宋体" w:hint="eastAsia"/>
          <w:b/>
        </w:rPr>
      </w:pPr>
      <w:r>
        <w:rPr>
          <w:rFonts w:ascii="宋体" w:eastAsia="宋体" w:hAnsi="宋体" w:hint="eastAsia"/>
        </w:rPr>
        <w:t>　</w:t>
      </w:r>
    </w:p>
    <w:p>
      <w:pPr>
        <w:pStyle w:val="Normal0"/>
        <w:spacing w:line="360" w:lineRule="auto"/>
        <w:ind w:firstLine="470" w:firstLineChars="196"/>
        <w:rPr>
          <w:rFonts w:ascii="宋体" w:eastAsia="宋体" w:hAnsi="宋体" w:hint="eastAsia"/>
          <w:b/>
        </w:rPr>
      </w:pPr>
      <w:r>
        <w:rPr>
          <w:rFonts w:ascii="宋体" w:eastAsia="宋体" w:hAnsi="宋体" w:hint="eastAsia"/>
          <w:b/>
        </w:rPr>
        <w:t xml:space="preserve">2.3.2东塘商圈 </w:t>
      </w:r>
    </w:p>
    <w:p>
      <w:pPr>
        <w:pStyle w:val="Normal0"/>
        <w:spacing w:line="360" w:lineRule="auto"/>
        <w:rPr>
          <w:rFonts w:ascii="宋体" w:eastAsia="宋体" w:hAnsi="宋体" w:hint="eastAsia"/>
        </w:rPr>
        <w:sectPr>
          <w:headerReference w:type="default" r:id="rId17"/>
          <w:footerReference w:type="default" r:id="rId18"/>
          <w:type w:val="nextPage"/>
          <w:pgSz w:w="11906" w:h="16838"/>
          <w:pgMar w:top="539" w:right="926" w:bottom="1440" w:left="1800" w:header="495" w:footer="992" w:gutter="0"/>
          <w:pgNumType w:start="7"/>
          <w:cols w:num="1" w:space="425"/>
          <w:titlePg w:val="0"/>
          <w:docGrid w:type="lines" w:linePitch="360" w:charSpace="0"/>
        </w:sectPr>
      </w:pPr>
    </w:p>
    <w:p>
      <w:pPr>
        <w:pStyle w:val="Normal0"/>
        <w:spacing w:line="360" w:lineRule="auto"/>
        <w:rPr>
          <w:rFonts w:ascii="宋体" w:eastAsia="宋体" w:hAnsi="宋体" w:hint="eastAsia"/>
        </w:rPr>
      </w:pPr>
      <w:r>
        <w:rPr>
          <w:rFonts w:ascii="宋体" w:eastAsia="宋体" w:hAnsi="宋体" w:hint="eastAsia"/>
        </w:rPr>
        <w:t>　　目前东塘不仅拥有百年老店火宫殿，还有东塘百货大楼、友谊商城、百姓鞋城等当家，而且还有麦当劳、肯德基落户东塘商圈，构筑了东塘大商业格局，成为长沙南部一个重要的节点。</w:t>
      </w:r>
      <w:r>
        <w:rPr>
          <w:rFonts w:ascii="宋体" w:eastAsia="宋体" w:hAnsi="宋体" w:hint="eastAsia"/>
        </w:rPr>
        <w:t xml:space="preserve"> </w:t>
      </w:r>
    </w:p>
    <w:p>
      <w:pPr>
        <w:pStyle w:val="Normal0"/>
        <w:spacing w:line="360" w:lineRule="auto"/>
        <w:rPr>
          <w:rFonts w:ascii="宋体" w:eastAsia="宋体" w:hAnsi="宋体" w:hint="eastAsia"/>
          <w:b/>
        </w:rPr>
      </w:pPr>
      <w:r>
        <w:rPr>
          <w:rFonts w:ascii="宋体" w:eastAsia="宋体" w:hAnsi="宋体" w:hint="eastAsia"/>
        </w:rPr>
        <w:t>　　</w:t>
      </w:r>
      <w:r>
        <w:rPr>
          <w:rFonts w:ascii="宋体" w:eastAsia="宋体" w:hAnsi="宋体" w:hint="eastAsia"/>
          <w:b/>
        </w:rPr>
        <w:t xml:space="preserve">商圈小结： </w:t>
      </w:r>
    </w:p>
    <w:p>
      <w:pPr>
        <w:pStyle w:val="Normal0"/>
        <w:spacing w:line="360" w:lineRule="auto"/>
        <w:rPr>
          <w:rFonts w:ascii="宋体" w:eastAsia="宋体" w:hAnsi="宋体" w:hint="eastAsia"/>
        </w:rPr>
      </w:pPr>
      <w:r>
        <w:rPr>
          <w:rFonts w:ascii="宋体" w:eastAsia="宋体" w:hAnsi="宋体" w:hint="eastAsia"/>
        </w:rPr>
        <w:t xml:space="preserve">　　步步高生活超市的入驻、大都市商业街的兴建，使如今东塘商圈的商业生态链趋于和谐、商业业态分布也日趋成熟和完美。 </w:t>
      </w:r>
    </w:p>
    <w:p>
      <w:pPr>
        <w:pStyle w:val="Normal0"/>
        <w:spacing w:line="360" w:lineRule="auto"/>
        <w:ind w:firstLine="360" w:firstLineChars="150"/>
        <w:rPr>
          <w:rFonts w:ascii="宋体" w:eastAsia="宋体" w:hAnsi="宋体" w:hint="eastAsia"/>
        </w:rPr>
      </w:pPr>
      <w:r>
        <w:rPr>
          <w:rFonts w:ascii="宋体" w:eastAsia="宋体" w:hAnsi="宋体" w:hint="eastAsia"/>
        </w:rPr>
        <w:t>虽东塘商圈的商业格局已经相对饱和，但2005年对连接曙光路与车站路的赤新路进行大规模拓改，（即将新建赤新路西段，西起东塘立交桥北端，东至曙光路，长约1公里）推动了东塘商圈的再度升级与扩容；赤新路的拓改竣工，将进一步完善东塘商圈，其商业规模与繁华程度将会直逼五一商圈。</w:t>
      </w:r>
    </w:p>
    <w:p>
      <w:pPr>
        <w:pStyle w:val="Normal0"/>
        <w:spacing w:line="360" w:lineRule="auto"/>
        <w:ind w:firstLine="240" w:firstLineChars="100"/>
        <w:rPr>
          <w:rFonts w:ascii="宋体" w:eastAsia="宋体" w:hAnsi="宋体" w:hint="eastAsia"/>
          <w:b/>
        </w:rPr>
      </w:pPr>
    </w:p>
    <w:p>
      <w:pPr>
        <w:pStyle w:val="Normal0"/>
        <w:spacing w:line="360" w:lineRule="auto"/>
        <w:ind w:firstLine="470" w:firstLineChars="196"/>
        <w:rPr>
          <w:rFonts w:ascii="宋体" w:eastAsia="宋体" w:hAnsi="宋体" w:hint="eastAsia"/>
          <w:b/>
        </w:rPr>
      </w:pPr>
      <w:r>
        <w:rPr>
          <w:rFonts w:ascii="宋体" w:eastAsia="宋体" w:hAnsi="宋体" w:hint="eastAsia"/>
          <w:b/>
        </w:rPr>
        <w:t>2.3.3火车站商圈</w:t>
      </w:r>
      <w:r>
        <w:rPr>
          <w:rFonts w:ascii="宋体" w:eastAsia="宋体" w:hAnsi="宋体" w:hint="eastAsia"/>
        </w:rPr>
        <w:t xml:space="preserve"> </w:t>
      </w:r>
    </w:p>
    <w:p>
      <w:pPr>
        <w:pStyle w:val="Normal0"/>
        <w:spacing w:line="360" w:lineRule="auto"/>
        <w:ind w:firstLine="480"/>
        <w:rPr>
          <w:rFonts w:ascii="宋体" w:eastAsia="宋体" w:hAnsi="宋体" w:hint="eastAsia"/>
        </w:rPr>
      </w:pPr>
      <w:r>
        <w:rPr>
          <w:rFonts w:ascii="宋体" w:eastAsia="宋体" w:hAnsi="宋体" w:hint="eastAsia"/>
        </w:rPr>
        <w:t>火车站商圈主要是沿车站路布置，汇集了阿波罗商业广场、晓园电器、金苹果服装批发市场、国美电器、三湘、南湖五金机电建材市场，目前该区域新建</w:t>
      </w:r>
      <w:r>
        <w:rPr>
          <w:rFonts w:ascii="宋体" w:eastAsia="宋体" w:hAnsi="宋体" w:hint="eastAsia"/>
          <w:lang w:eastAsia="zh-CN"/>
        </w:rPr>
        <w:t>相关项目</w:t>
      </w:r>
      <w:r>
        <w:rPr>
          <w:rFonts w:ascii="宋体" w:eastAsia="宋体" w:hAnsi="宋体" w:hint="eastAsia"/>
        </w:rPr>
        <w:t>只有凯旋国际，该</w:t>
      </w:r>
      <w:r>
        <w:rPr>
          <w:rFonts w:ascii="宋体" w:eastAsia="宋体" w:hAnsi="宋体" w:hint="eastAsia"/>
          <w:lang w:eastAsia="zh-CN"/>
        </w:rPr>
        <w:t>相关项目</w:t>
      </w:r>
      <w:r>
        <w:rPr>
          <w:rFonts w:ascii="宋体" w:eastAsia="宋体" w:hAnsi="宋体" w:hint="eastAsia"/>
        </w:rPr>
        <w:t>只有极少的商业部分，且价格和和户型没有出来。</w:t>
      </w:r>
    </w:p>
    <w:p>
      <w:pPr>
        <w:pStyle w:val="Normal0"/>
        <w:spacing w:line="360" w:lineRule="auto"/>
        <w:ind w:firstLine="480"/>
        <w:rPr>
          <w:rFonts w:ascii="宋体" w:eastAsia="宋体" w:hAnsi="宋体" w:hint="eastAsia"/>
        </w:rPr>
      </w:pPr>
      <w:r>
        <w:rPr>
          <w:rFonts w:ascii="宋体" w:eastAsia="宋体" w:hAnsi="宋体" w:hint="eastAsia"/>
        </w:rPr>
        <w:t xml:space="preserve"> </w:t>
      </w:r>
    </w:p>
    <w:p>
      <w:pPr>
        <w:pStyle w:val="Normal0"/>
        <w:spacing w:line="360" w:lineRule="auto"/>
        <w:ind w:firstLine="470" w:firstLineChars="196"/>
        <w:rPr>
          <w:rFonts w:ascii="宋体" w:eastAsia="宋体" w:hAnsi="宋体" w:hint="eastAsia"/>
          <w:b/>
        </w:rPr>
      </w:pPr>
      <w:r>
        <w:rPr>
          <w:rFonts w:ascii="宋体" w:eastAsia="宋体" w:hAnsi="宋体" w:hint="eastAsia"/>
          <w:b/>
        </w:rPr>
        <w:t xml:space="preserve">2.3.4 伍家岭商圈 </w:t>
      </w:r>
    </w:p>
    <w:p>
      <w:pPr>
        <w:pStyle w:val="Normal0"/>
        <w:spacing w:line="360" w:lineRule="auto"/>
        <w:rPr>
          <w:rFonts w:ascii="宋体" w:eastAsia="宋体" w:hAnsi="宋体" w:hint="eastAsia"/>
        </w:rPr>
      </w:pPr>
      <w:r>
        <w:rPr>
          <w:rFonts w:ascii="宋体" w:eastAsia="宋体" w:hAnsi="宋体" w:hint="eastAsia"/>
        </w:rPr>
        <w:t xml:space="preserve">　　伍家岭商圈一直以来就是长沙北部唯一的一个商业区，以丽臣路和芙蓉路交叉处为核心，泰阳商城、北斗星商厦雄踞此地多年，随着芙蓉路的修建，世界著名零售企业通程电器也相继进驻，但由于波隆立交桥的修建，削弱了该商圈本身就不够浓厚的商业氛围，加上该地区客户的消费能力不强，导致普尔斯玛特、北斗星商厦被迫关门或经营转向。 </w:t>
      </w:r>
    </w:p>
    <w:p>
      <w:pPr>
        <w:pStyle w:val="Normal0"/>
        <w:spacing w:line="360" w:lineRule="auto"/>
        <w:rPr>
          <w:rFonts w:ascii="宋体" w:eastAsia="宋体" w:hAnsi="宋体" w:hint="eastAsia"/>
        </w:rPr>
      </w:pPr>
      <w:r>
        <w:rPr>
          <w:rFonts w:ascii="宋体" w:eastAsia="宋体" w:hAnsi="宋体" w:hint="eastAsia"/>
        </w:rPr>
        <w:t xml:space="preserve">　　该区域目前汇集的商家：泰阳家电商场、维多利、通程电器超市。 </w:t>
      </w:r>
    </w:p>
    <w:p>
      <w:pPr>
        <w:pStyle w:val="Normal0"/>
        <w:spacing w:line="360" w:lineRule="auto"/>
        <w:ind w:firstLine="480"/>
        <w:rPr>
          <w:rFonts w:ascii="宋体" w:eastAsia="宋体" w:hAnsi="宋体" w:hint="eastAsia"/>
        </w:rPr>
      </w:pPr>
      <w:r>
        <w:rPr>
          <w:rFonts w:ascii="宋体" w:eastAsia="宋体" w:hAnsi="宋体" w:hint="eastAsia"/>
        </w:rPr>
        <w:t>　</w:t>
      </w:r>
    </w:p>
    <w:p>
      <w:pPr>
        <w:pStyle w:val="Normal0"/>
        <w:spacing w:line="360" w:lineRule="auto"/>
        <w:ind w:firstLine="480"/>
        <w:rPr>
          <w:rFonts w:ascii="宋体" w:eastAsia="宋体" w:hAnsi="宋体" w:hint="eastAsia"/>
          <w:b/>
        </w:rPr>
      </w:pPr>
      <w:r>
        <w:rPr>
          <w:rFonts w:ascii="宋体" w:eastAsia="宋体" w:hAnsi="宋体" w:hint="eastAsia"/>
          <w:b/>
        </w:rPr>
        <w:t xml:space="preserve">2.3.5溁湾镇商圈 </w:t>
      </w:r>
      <w:r>
        <w:rPr>
          <w:rFonts w:ascii="宋体" w:eastAsia="宋体" w:hAnsi="宋体" w:hint="eastAsia"/>
        </w:rPr>
        <w:t xml:space="preserve"> </w:t>
      </w:r>
    </w:p>
    <w:p>
      <w:pPr>
        <w:pStyle w:val="Normal0"/>
        <w:spacing w:line="360" w:lineRule="auto"/>
        <w:ind w:firstLine="480"/>
        <w:rPr>
          <w:rFonts w:ascii="宋体" w:eastAsia="宋体" w:hAnsi="宋体" w:hint="eastAsia"/>
        </w:rPr>
        <w:sectPr>
          <w:headerReference w:type="default" r:id="rId19"/>
          <w:footerReference w:type="default" r:id="rId20"/>
          <w:type w:val="nextPage"/>
          <w:pgSz w:w="11906" w:h="16838"/>
          <w:pgMar w:top="539" w:right="926" w:bottom="1440" w:left="1800" w:header="495" w:footer="992" w:gutter="0"/>
          <w:pgNumType w:start="8"/>
          <w:cols w:num="1" w:space="425"/>
          <w:titlePg w:val="0"/>
          <w:docGrid w:type="lines" w:linePitch="360" w:charSpace="0"/>
        </w:sectPr>
      </w:pPr>
    </w:p>
    <w:p>
      <w:pPr>
        <w:pStyle w:val="Normal0"/>
        <w:spacing w:line="360" w:lineRule="auto"/>
        <w:ind w:firstLine="480"/>
        <w:rPr>
          <w:rFonts w:ascii="宋体" w:eastAsia="宋体" w:hAnsi="宋体" w:hint="eastAsia"/>
        </w:rPr>
      </w:pPr>
      <w:r>
        <w:rPr>
          <w:rFonts w:ascii="宋体" w:eastAsia="宋体" w:hAnsi="宋体" w:hint="eastAsia"/>
        </w:rPr>
        <w:t>溁湾镇商圈位于岳麓区核心位置，该商圈近年发展较快，2000年时，该区域仅一家西城超市，现在溁湾镇汇聚了通程电器、通程百货、家润多超市、新外滩商业中心、国际知名的易初莲花也即将在此落户。</w:t>
      </w:r>
      <w:r>
        <w:rPr>
          <w:rFonts w:ascii="宋体" w:eastAsia="宋体" w:hAnsi="宋体" w:hint="eastAsia"/>
        </w:rPr>
        <w:t xml:space="preserve"> </w:t>
      </w:r>
    </w:p>
    <w:p>
      <w:pPr>
        <w:pStyle w:val="Normal0"/>
        <w:spacing w:line="360" w:lineRule="auto"/>
        <w:ind w:firstLine="480"/>
        <w:rPr>
          <w:rFonts w:ascii="宋体" w:eastAsia="宋体" w:hAnsi="宋体" w:hint="eastAsia"/>
        </w:rPr>
      </w:pPr>
      <w:r>
        <w:rPr>
          <w:rFonts w:ascii="宋体" w:eastAsia="宋体" w:hAnsi="宋体" w:hint="eastAsia"/>
        </w:rPr>
        <w:t xml:space="preserve">　 </w:t>
      </w:r>
    </w:p>
    <w:p>
      <w:pPr>
        <w:pStyle w:val="Normal0"/>
        <w:spacing w:line="360" w:lineRule="auto"/>
        <w:ind w:firstLine="420"/>
        <w:rPr>
          <w:rFonts w:ascii="宋体" w:eastAsia="宋体" w:hAnsi="宋体" w:hint="eastAsia"/>
        </w:rPr>
      </w:pPr>
      <w:r>
        <w:rPr>
          <w:rFonts w:ascii="宋体" w:eastAsia="宋体" w:hAnsi="宋体" w:hint="eastAsia"/>
        </w:rPr>
        <w:t>除此之外，日益兴起的还有包括友谊商店，阿波罗商业城等的袁家岭商圈。包含百意百货，家润多朝阳店，通程电器，东方服饰广场等人民路立交桥商圈；拥有新一佳，家润多贺龙店侯家塘商圈；吸引沃尔玛，华银旺和，国美，韩国商业街等的新中路商圈。</w:t>
      </w:r>
    </w:p>
    <w:p>
      <w:pPr>
        <w:pStyle w:val="Normal0"/>
        <w:spacing w:line="360" w:lineRule="auto"/>
        <w:rPr>
          <w:rFonts w:ascii="宋体" w:eastAsia="宋体" w:hAnsi="宋体" w:hint="eastAsia"/>
        </w:rPr>
      </w:pPr>
    </w:p>
    <w:p>
      <w:pPr>
        <w:pStyle w:val="Normal0"/>
        <w:spacing w:line="360" w:lineRule="auto"/>
        <w:ind w:firstLine="480"/>
        <w:rPr>
          <w:rFonts w:ascii="宋体" w:eastAsia="宋体" w:hAnsi="宋体" w:hint="eastAsia"/>
          <w:b/>
        </w:rPr>
      </w:pPr>
      <w:r>
        <w:rPr>
          <w:rFonts w:ascii="宋体" w:eastAsia="宋体" w:hAnsi="宋体" w:hint="eastAsia"/>
          <w:b/>
        </w:rPr>
        <w:t>总结：</w:t>
      </w:r>
    </w:p>
    <w:p>
      <w:pPr>
        <w:pStyle w:val="Normal0"/>
        <w:spacing w:line="360" w:lineRule="auto"/>
        <w:ind w:firstLine="480"/>
        <w:rPr>
          <w:rFonts w:ascii="宋体" w:eastAsia="宋体" w:hAnsi="宋体" w:hint="eastAsia"/>
          <w:b/>
        </w:rPr>
      </w:pPr>
      <w:r>
        <w:rPr>
          <w:rFonts w:ascii="宋体" w:eastAsia="宋体" w:hAnsi="宋体" w:hint="eastAsia"/>
          <w:b/>
        </w:rPr>
        <w:t>长沙商圈以东西南北中五大区域为中心进行分布，其特点如下：</w:t>
      </w:r>
    </w:p>
    <w:p>
      <w:pPr>
        <w:pStyle w:val="Normal0"/>
        <w:spacing w:line="360" w:lineRule="auto"/>
        <w:ind w:left="830" w:hanging="353" w:leftChars="227" w:hangingChars="147"/>
        <w:rPr>
          <w:rFonts w:ascii="宋体" w:eastAsia="宋体" w:hAnsi="宋体" w:hint="eastAsia"/>
          <w:b/>
        </w:rPr>
      </w:pPr>
      <w:r>
        <w:rPr>
          <w:rFonts w:ascii="宋体" w:eastAsia="宋体" w:hAnsi="宋体" w:hint="eastAsia"/>
          <w:b/>
        </w:rPr>
        <w:t>1、从物业的售价及地段的繁华程度来看，五一商圈居各商圈之首，作为高档物业的代表区域，将是未来品牌商家集结的地方，但由于地块的稀缺性与地位的唯一性，其未来商业升值潜力不可限量。</w:t>
      </w:r>
    </w:p>
    <w:p>
      <w:pPr>
        <w:pStyle w:val="Normal0"/>
        <w:spacing w:line="360" w:lineRule="auto"/>
        <w:ind w:left="830" w:hanging="353" w:leftChars="227" w:hangingChars="147"/>
        <w:rPr>
          <w:rFonts w:ascii="宋体" w:eastAsia="宋体" w:hAnsi="宋体" w:hint="eastAsia"/>
          <w:b/>
        </w:rPr>
      </w:pPr>
      <w:r>
        <w:rPr>
          <w:rFonts w:ascii="宋体" w:eastAsia="宋体" w:hAnsi="宋体" w:hint="eastAsia"/>
          <w:b/>
        </w:rPr>
        <w:t>2、东塘商圈位于市区南部，交通便利，人口密集，随着长株潭融城进程加速，必成南来北往之咽喉，是经商绝佳之所。随着大量商家的涌入，它成为目前长沙发展最快的商圈，随着南部的进一步发展，该商圈极具市场生长空间。</w:t>
      </w:r>
    </w:p>
    <w:p>
      <w:pPr>
        <w:pStyle w:val="Normal0"/>
        <w:spacing w:line="360" w:lineRule="auto"/>
        <w:ind w:left="830" w:hanging="353" w:leftChars="227" w:hangingChars="147"/>
        <w:rPr>
          <w:rFonts w:ascii="宋体" w:eastAsia="宋体" w:hAnsi="宋体" w:hint="eastAsia"/>
          <w:b/>
        </w:rPr>
      </w:pPr>
      <w:r>
        <w:rPr>
          <w:rFonts w:ascii="宋体" w:eastAsia="宋体" w:hAnsi="宋体" w:hint="eastAsia"/>
          <w:b/>
        </w:rPr>
        <w:t>3、伍家岭商圈作为北部的传统商圈，一直没有发挥其应有的作用。随着开福区政府重振伍家岭商圈构想的提出及芙蓉北路各住宅小区的开发，伍家岭商圈目前不很景气的现状将得到改变，而其再一次兴起将是一个必然的趋势。</w:t>
      </w:r>
    </w:p>
    <w:p>
      <w:pPr>
        <w:pStyle w:val="Normal0"/>
        <w:spacing w:line="360" w:lineRule="auto"/>
        <w:ind w:left="830" w:hanging="353" w:leftChars="227" w:hangingChars="147"/>
        <w:rPr>
          <w:rFonts w:ascii="宋体" w:eastAsia="宋体" w:hAnsi="宋体" w:hint="eastAsia"/>
          <w:b/>
        </w:rPr>
      </w:pPr>
      <w:r>
        <w:rPr>
          <w:rFonts w:ascii="宋体" w:eastAsia="宋体" w:hAnsi="宋体" w:hint="eastAsia"/>
          <w:b/>
        </w:rPr>
        <w:t>4、火车站商圈由于环境因素的影响，其发展潜力有限，商家以火车站的过往客户为主，商业信誉不高，早期的阿波罗商业广场也无力回天，该区域的整体商业档次带不上来，周边市民没有到该区消费的习惯，随着东部的发展，在城市的东部必定还将产生新的商业圈来替代火车站商圈。</w:t>
      </w:r>
    </w:p>
    <w:p>
      <w:pPr>
        <w:pStyle w:val="Normal0"/>
        <w:spacing w:line="360" w:lineRule="auto"/>
        <w:ind w:left="823" w:hanging="353" w:leftChars="224" w:hangingChars="147"/>
        <w:rPr>
          <w:rFonts w:ascii="宋体" w:eastAsia="宋体" w:hAnsi="宋体" w:hint="eastAsia"/>
          <w:b/>
          <w:bCs/>
        </w:rPr>
      </w:pPr>
      <w:r>
        <w:rPr>
          <w:rFonts w:ascii="宋体" w:eastAsia="宋体" w:hAnsi="宋体" w:hint="eastAsia"/>
          <w:b/>
        </w:rPr>
        <w:t>5、溁湾镇商圈作为河西唯一的商圈，承担着未来河西区域商业发展的先发责任，但目前规划混乱、档次低劣、消费能力偏低是制约其发展的主要因素。</w:t>
      </w:r>
    </w:p>
    <w:p>
      <w:pPr>
        <w:pStyle w:val="Normal0"/>
        <w:spacing w:line="360" w:lineRule="auto"/>
        <w:ind w:left="748" w:leftChars="356"/>
        <w:rPr>
          <w:rFonts w:ascii="宋体" w:eastAsia="宋体" w:hAnsi="宋体" w:hint="eastAsia"/>
          <w:b/>
          <w:bCs/>
        </w:rPr>
        <w:sectPr>
          <w:headerReference w:type="default" r:id="rId21"/>
          <w:footerReference w:type="default" r:id="rId22"/>
          <w:type w:val="nextPage"/>
          <w:pgSz w:w="11906" w:h="16838"/>
          <w:pgMar w:top="539" w:right="926" w:bottom="1440" w:left="1800" w:header="495" w:footer="992" w:gutter="0"/>
          <w:pgNumType w:start="9"/>
          <w:cols w:num="1" w:space="425"/>
          <w:titlePg w:val="0"/>
          <w:docGrid w:type="lines" w:linePitch="360" w:charSpace="0"/>
        </w:sectPr>
      </w:pPr>
    </w:p>
    <w:p>
      <w:pPr>
        <w:pStyle w:val="Normal0"/>
        <w:spacing w:line="360" w:lineRule="auto"/>
        <w:ind w:left="748" w:leftChars="356"/>
        <w:rPr>
          <w:rFonts w:ascii="宋体" w:eastAsia="宋体" w:hAnsi="宋体" w:hint="eastAsia"/>
          <w:b/>
          <w:bCs/>
        </w:rPr>
      </w:pPr>
      <w:r>
        <w:rPr>
          <w:rFonts w:ascii="宋体" w:eastAsia="宋体" w:hAnsi="宋体" w:hint="eastAsia"/>
          <w:b/>
          <w:bCs/>
        </w:rPr>
        <w:t>以上五个商圈的总体供应量将在一定程度满足长沙市中高档消费群体的消费需求，而对于“金字塔尖”细分部分的消费需求的挖掘，目前满足得并不充分。对于后入市的本</w:t>
      </w:r>
      <w:r>
        <w:rPr>
          <w:rFonts w:ascii="宋体" w:eastAsia="宋体" w:hAnsi="宋体" w:hint="eastAsia"/>
          <w:b/>
          <w:bCs/>
          <w:lang w:eastAsia="zh-CN"/>
        </w:rPr>
        <w:t>相关项目</w:t>
      </w:r>
      <w:r>
        <w:rPr>
          <w:rFonts w:ascii="宋体" w:eastAsia="宋体" w:hAnsi="宋体" w:hint="eastAsia"/>
          <w:b/>
          <w:bCs/>
        </w:rPr>
        <w:t>来说，市场机会不是没有，关键是如何挖掘市场的空白和提升</w:t>
      </w:r>
      <w:r>
        <w:rPr>
          <w:rFonts w:ascii="宋体" w:eastAsia="宋体" w:hAnsi="宋体" w:hint="eastAsia"/>
          <w:b/>
          <w:bCs/>
          <w:lang w:eastAsia="zh-CN"/>
        </w:rPr>
        <w:t>相关项目</w:t>
      </w:r>
      <w:r>
        <w:rPr>
          <w:rFonts w:ascii="宋体" w:eastAsia="宋体" w:hAnsi="宋体" w:hint="eastAsia"/>
          <w:b/>
          <w:bCs/>
        </w:rPr>
        <w:t>竞争力。</w:t>
      </w:r>
    </w:p>
    <w:p>
      <w:pPr>
        <w:pStyle w:val="Normal0"/>
        <w:spacing w:line="360" w:lineRule="auto"/>
        <w:rPr>
          <w:rFonts w:ascii="宋体" w:eastAsia="宋体" w:hAnsi="宋体" w:hint="eastAsia"/>
          <w:b/>
        </w:rPr>
      </w:pPr>
      <w:r>
        <w:rPr>
          <w:rFonts w:ascii="宋体" w:eastAsia="宋体" w:hAnsi="宋体" w:hint="eastAsia"/>
          <w:b/>
        </w:rPr>
        <w:t>三、区域商业</w:t>
      </w:r>
      <w:r>
        <w:rPr>
          <w:rFonts w:ascii="宋体" w:eastAsia="宋体" w:hAnsi="宋体" w:hint="eastAsia"/>
          <w:b/>
          <w:lang w:eastAsia="zh-CN"/>
        </w:rPr>
        <w:t>相关项目</w:t>
      </w:r>
      <w:r>
        <w:rPr>
          <w:rFonts w:ascii="宋体" w:eastAsia="宋体" w:hAnsi="宋体" w:hint="eastAsia"/>
          <w:b/>
        </w:rPr>
        <w:t>分析</w:t>
      </w:r>
    </w:p>
    <w:p>
      <w:pPr>
        <w:pStyle w:val="Normal0"/>
        <w:spacing w:line="360" w:lineRule="auto"/>
        <w:rPr>
          <w:rFonts w:ascii="宋体" w:eastAsia="宋体" w:hAnsi="宋体" w:hint="eastAsia"/>
          <w:bCs/>
        </w:rPr>
      </w:pPr>
      <w:r>
        <w:rPr>
          <w:rFonts w:ascii="宋体" w:eastAsia="宋体" w:hAnsi="宋体" w:hint="eastAsia"/>
          <w:b/>
        </w:rPr>
        <w:t>　</w:t>
      </w:r>
      <w:r>
        <w:rPr>
          <w:rFonts w:ascii="宋体" w:eastAsia="宋体" w:hAnsi="宋体" w:hint="eastAsia"/>
          <w:bCs/>
        </w:rPr>
        <w:t>　</w:t>
      </w:r>
    </w:p>
    <w:p>
      <w:pPr>
        <w:pStyle w:val="Normal0"/>
        <w:spacing w:line="360" w:lineRule="auto"/>
        <w:ind w:firstLine="480" w:firstLineChars="200"/>
        <w:rPr>
          <w:rFonts w:ascii="宋体" w:eastAsia="宋体" w:hAnsi="宋体" w:hint="eastAsia"/>
          <w:bCs/>
        </w:rPr>
      </w:pPr>
      <w:r>
        <w:rPr>
          <w:rFonts w:ascii="宋体" w:eastAsia="宋体" w:hAnsi="宋体" w:hint="eastAsia"/>
          <w:bCs/>
        </w:rPr>
        <w:t>本案位于五一路西侧，属于五一路商圈的延伸部分，随着周边</w:t>
      </w:r>
      <w:r>
        <w:rPr>
          <w:rFonts w:ascii="宋体" w:eastAsia="宋体" w:hAnsi="宋体" w:hint="eastAsia"/>
          <w:bCs/>
          <w:lang w:eastAsia="zh-CN"/>
        </w:rPr>
        <w:t>相关项目</w:t>
      </w:r>
      <w:r>
        <w:rPr>
          <w:rFonts w:ascii="宋体" w:eastAsia="宋体" w:hAnsi="宋体" w:hint="eastAsia"/>
          <w:bCs/>
        </w:rPr>
        <w:t>的经营归位，本案将是五一路商圈的重要组成部分，并将以五一路立交为节点，与平和堂、王府井、铜锣湾等共同构成“四方角力”的商业阵容，推动该区域的商业与住宅的全面升值。</w:t>
      </w:r>
    </w:p>
    <w:p>
      <w:pPr>
        <w:pStyle w:val="Normal0"/>
        <w:spacing w:line="360" w:lineRule="auto"/>
        <w:jc w:val="center"/>
        <w:rPr>
          <w:rFonts w:ascii="宋体" w:eastAsia="宋体" w:hAnsi="宋体" w:hint="eastAsia"/>
          <w:b/>
        </w:rPr>
      </w:pPr>
    </w:p>
    <w:p>
      <w:pPr>
        <w:pStyle w:val="Normal0"/>
        <w:spacing w:line="360" w:lineRule="auto"/>
        <w:rPr>
          <w:rFonts w:ascii="宋体" w:eastAsia="宋体" w:hAnsi="宋体" w:hint="eastAsia"/>
          <w:b/>
        </w:rPr>
      </w:pPr>
      <w:r>
        <w:rPr>
          <w:rFonts w:ascii="宋体" w:eastAsia="宋体" w:hAnsi="宋体" w:hint="eastAsia"/>
          <w:b/>
        </w:rPr>
        <w:t>3．1王府井百货</w:t>
      </w:r>
    </w:p>
    <w:p>
      <w:pPr>
        <w:pStyle w:val="Normal0"/>
        <w:spacing w:line="360" w:lineRule="auto"/>
        <w:ind w:firstLine="353" w:firstLineChars="147"/>
        <w:rPr>
          <w:rFonts w:ascii="宋体" w:eastAsia="宋体" w:hAnsi="宋体" w:hint="eastAsia"/>
          <w:b/>
        </w:rPr>
      </w:pPr>
      <w:r>
        <w:rPr>
          <w:rFonts w:ascii="宋体" w:eastAsia="宋体" w:hAnsi="宋体" w:hint="eastAsia"/>
          <w:b/>
        </w:rPr>
        <w:t>3.1．1各楼层业种分布</w:t>
      </w:r>
    </w:p>
    <w:tbl>
      <w:tblPr>
        <w:tblStyle w:val="TableNormal"/>
        <w:tblW w:w="8475" w:type="dxa"/>
        <w:tblInd w:w="93" w:type="dxa"/>
        <w:tblCellMar>
          <w:top w:w="0" w:type="dxa"/>
          <w:left w:w="108" w:type="dxa"/>
          <w:bottom w:w="0" w:type="dxa"/>
          <w:right w:w="108" w:type="dxa"/>
        </w:tblCellMar>
      </w:tblPr>
      <w:tblGrid>
        <w:gridCol w:w="1120"/>
        <w:gridCol w:w="7355"/>
      </w:tblGrid>
      <w:tr>
        <w:tblPrEx>
          <w:tblW w:w="8475" w:type="dxa"/>
          <w:tblInd w:w="93" w:type="dxa"/>
          <w:tblCellMar>
            <w:top w:w="0" w:type="dxa"/>
            <w:left w:w="108" w:type="dxa"/>
            <w:bottom w:w="0" w:type="dxa"/>
            <w:right w:w="108" w:type="dxa"/>
          </w:tblCellMar>
        </w:tblPrEx>
        <w:trPr>
          <w:trHeight w:val="285"/>
        </w:trPr>
        <w:tc>
          <w:tcPr>
            <w:tcW w:w="1120" w:type="dxa"/>
            <w:tcBorders>
              <w:top w:val="single" w:sz="4" w:space="0" w:color="auto"/>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B2</w:t>
            </w:r>
          </w:p>
        </w:tc>
        <w:tc>
          <w:tcPr>
            <w:tcW w:w="7355" w:type="dxa"/>
            <w:tcBorders>
              <w:top w:val="single" w:sz="4" w:space="0" w:color="auto"/>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停车场</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B1</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流行服饰／超市</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1F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化妆品</w:t>
            </w:r>
            <w:r>
              <w:rPr>
                <w:rFonts w:ascii="宋体" w:eastAsia="宋体" w:hAnsi="宋体" w:hint="eastAsia"/>
                <w:kern w:val="0"/>
              </w:rPr>
              <w:t>/</w:t>
            </w:r>
            <w:r>
              <w:rPr>
                <w:rFonts w:ascii="宋体" w:eastAsia="宋体" w:hAnsi="宋体" w:cs="宋体" w:hint="eastAsia"/>
                <w:kern w:val="0"/>
              </w:rPr>
              <w:t>手表</w:t>
            </w:r>
            <w:r>
              <w:rPr>
                <w:rFonts w:ascii="宋体" w:eastAsia="宋体" w:hAnsi="宋体" w:hint="eastAsia"/>
                <w:kern w:val="0"/>
              </w:rPr>
              <w:t>/</w:t>
            </w:r>
            <w:r>
              <w:rPr>
                <w:rFonts w:ascii="宋体" w:eastAsia="宋体" w:hAnsi="宋体" w:cs="宋体" w:hint="eastAsia"/>
                <w:kern w:val="0"/>
              </w:rPr>
              <w:t>眼镜</w:t>
            </w:r>
            <w:r>
              <w:rPr>
                <w:rFonts w:ascii="宋体" w:eastAsia="宋体" w:hAnsi="宋体" w:hint="eastAsia"/>
                <w:kern w:val="0"/>
              </w:rPr>
              <w:t>/</w:t>
            </w:r>
            <w:r>
              <w:rPr>
                <w:rFonts w:ascii="宋体" w:eastAsia="宋体" w:hAnsi="宋体" w:cs="宋体" w:hint="eastAsia"/>
                <w:kern w:val="0"/>
              </w:rPr>
              <w:t>首饰</w:t>
            </w:r>
            <w:r>
              <w:rPr>
                <w:rFonts w:ascii="宋体" w:eastAsia="宋体" w:hAnsi="宋体" w:hint="eastAsia"/>
                <w:kern w:val="0"/>
              </w:rPr>
              <w:t>/</w:t>
            </w:r>
            <w:r>
              <w:rPr>
                <w:rFonts w:ascii="宋体" w:eastAsia="宋体" w:hAnsi="宋体" w:cs="宋体" w:hint="eastAsia"/>
                <w:kern w:val="0"/>
              </w:rPr>
              <w:t>女鞋</w:t>
            </w:r>
            <w:r>
              <w:rPr>
                <w:rFonts w:ascii="宋体" w:eastAsia="宋体" w:hAnsi="宋体" w:hint="eastAsia"/>
                <w:kern w:val="0"/>
              </w:rPr>
              <w:t>/</w:t>
            </w:r>
            <w:r>
              <w:rPr>
                <w:rFonts w:ascii="宋体" w:eastAsia="宋体" w:hAnsi="宋体" w:cs="宋体" w:hint="eastAsia"/>
                <w:kern w:val="0"/>
              </w:rPr>
              <w:t>餐饮</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2F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首饰</w:t>
            </w:r>
            <w:r>
              <w:rPr>
                <w:rFonts w:ascii="宋体" w:eastAsia="宋体" w:hAnsi="宋体" w:hint="eastAsia"/>
                <w:kern w:val="0"/>
              </w:rPr>
              <w:t>/</w:t>
            </w:r>
            <w:r>
              <w:rPr>
                <w:rFonts w:ascii="宋体" w:eastAsia="宋体" w:hAnsi="宋体" w:cs="宋体" w:hint="eastAsia"/>
                <w:kern w:val="0"/>
              </w:rPr>
              <w:t>手表</w:t>
            </w:r>
            <w:r>
              <w:rPr>
                <w:rFonts w:ascii="宋体" w:eastAsia="宋体" w:hAnsi="宋体" w:hint="eastAsia"/>
                <w:kern w:val="0"/>
              </w:rPr>
              <w:t>/</w:t>
            </w:r>
            <w:r>
              <w:rPr>
                <w:rFonts w:ascii="宋体" w:eastAsia="宋体" w:hAnsi="宋体" w:cs="宋体" w:hint="eastAsia"/>
                <w:kern w:val="0"/>
              </w:rPr>
              <w:t>包袋</w:t>
            </w:r>
            <w:r>
              <w:rPr>
                <w:rFonts w:ascii="宋体" w:eastAsia="宋体" w:hAnsi="宋体" w:hint="eastAsia"/>
                <w:kern w:val="0"/>
              </w:rPr>
              <w:t>/</w:t>
            </w:r>
            <w:r>
              <w:rPr>
                <w:rFonts w:ascii="宋体" w:eastAsia="宋体" w:hAnsi="宋体" w:cs="宋体" w:hint="eastAsia"/>
                <w:kern w:val="0"/>
              </w:rPr>
              <w:t>女装</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3F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羽绒服／内衣/女装</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4F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男装／男鞋／包袋／内衣</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5F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运动休闲装／童车／童装／童鞋／玩具／婴儿用品</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6F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床上用品／家居用品／羊绒衫／工艺品／通讯用品／文化用品／音像用品／相机</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7F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咖啡厅／中西餐厅</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8F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摄影／自助餐／烧烤／美容SPA</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9F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中体倍力健身俱乐部</w:t>
            </w:r>
          </w:p>
        </w:tc>
      </w:tr>
      <w:tr>
        <w:tblPrEx>
          <w:tblW w:w="8475" w:type="dxa"/>
          <w:tblInd w:w="93" w:type="dxa"/>
          <w:tblCellMar>
            <w:top w:w="0" w:type="dxa"/>
            <w:left w:w="108" w:type="dxa"/>
            <w:bottom w:w="0" w:type="dxa"/>
            <w:right w:w="108" w:type="dxa"/>
          </w:tblCellMar>
        </w:tblPrEx>
        <w:trPr>
          <w:trHeight w:val="285"/>
        </w:trPr>
        <w:tc>
          <w:tcPr>
            <w:tcW w:w="112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10F</w:t>
            </w:r>
          </w:p>
        </w:tc>
        <w:tc>
          <w:tcPr>
            <w:tcW w:w="7355"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影城</w:t>
            </w:r>
          </w:p>
        </w:tc>
      </w:tr>
    </w:tbl>
    <w:p>
      <w:pPr>
        <w:pStyle w:val="Normal0"/>
        <w:spacing w:line="360" w:lineRule="auto"/>
        <w:rPr>
          <w:rFonts w:ascii="宋体" w:eastAsia="宋体" w:hAnsi="宋体" w:hint="eastAsia"/>
        </w:rPr>
        <w:sectPr>
          <w:headerReference w:type="default" r:id="rId23"/>
          <w:footerReference w:type="default" r:id="rId24"/>
          <w:type w:val="nextPage"/>
          <w:pgSz w:w="11906" w:h="16838"/>
          <w:pgMar w:top="539" w:right="926" w:bottom="1440" w:left="1800" w:header="495" w:footer="992" w:gutter="0"/>
          <w:pgNumType w:start="10"/>
          <w:cols w:num="1" w:space="425"/>
          <w:titlePg w:val="0"/>
          <w:docGrid w:type="lines" w:linePitch="360" w:charSpace="0"/>
        </w:sectPr>
      </w:pPr>
    </w:p>
    <w:p>
      <w:pPr>
        <w:pStyle w:val="Normal0"/>
        <w:spacing w:line="360" w:lineRule="auto"/>
        <w:ind w:firstLine="353" w:firstLineChars="147"/>
        <w:rPr>
          <w:rFonts w:ascii="宋体" w:eastAsia="宋体" w:hAnsi="宋体" w:hint="eastAsia"/>
          <w:b/>
        </w:rPr>
      </w:pPr>
      <w:r>
        <w:rPr>
          <w:rFonts w:ascii="宋体" w:eastAsia="宋体" w:hAnsi="宋体" w:hint="eastAsia"/>
          <w:b/>
        </w:rPr>
        <w:t>3.1．2各楼层品牌：</w:t>
      </w:r>
    </w:p>
    <w:tbl>
      <w:tblPr>
        <w:tblStyle w:val="TableNormal"/>
        <w:tblW w:w="8500" w:type="dxa"/>
        <w:tblInd w:w="93" w:type="dxa"/>
        <w:tblCellMar>
          <w:top w:w="0" w:type="dxa"/>
          <w:left w:w="108" w:type="dxa"/>
          <w:bottom w:w="0" w:type="dxa"/>
          <w:right w:w="108" w:type="dxa"/>
        </w:tblCellMar>
      </w:tblPr>
      <w:tblGrid>
        <w:gridCol w:w="1040"/>
        <w:gridCol w:w="7460"/>
      </w:tblGrid>
      <w:tr>
        <w:tblPrEx>
          <w:tblW w:w="8500" w:type="dxa"/>
          <w:tblInd w:w="93" w:type="dxa"/>
          <w:tblCellMar>
            <w:top w:w="0" w:type="dxa"/>
            <w:left w:w="108" w:type="dxa"/>
            <w:bottom w:w="0" w:type="dxa"/>
            <w:right w:w="108" w:type="dxa"/>
          </w:tblCellMar>
        </w:tblPrEx>
        <w:trPr>
          <w:cantSplit/>
          <w:trHeight w:val="285"/>
        </w:trPr>
        <w:tc>
          <w:tcPr>
            <w:tcW w:w="1040" w:type="dxa"/>
            <w:vMerge w:val="restart"/>
            <w:tcBorders>
              <w:top w:val="single" w:sz="4" w:space="0" w:color="auto"/>
              <w:left w:val="single" w:sz="4" w:space="0" w:color="auto"/>
              <w:bottom w:val="single" w:sz="4" w:space="0" w:color="000000"/>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1F</w:t>
            </w:r>
          </w:p>
        </w:tc>
        <w:tc>
          <w:tcPr>
            <w:tcW w:w="7460" w:type="dxa"/>
            <w:tcBorders>
              <w:top w:val="single" w:sz="4" w:space="0" w:color="auto"/>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手表：精工／西铁城／罗西尼／天王表</w:t>
            </w:r>
          </w:p>
        </w:tc>
      </w:tr>
      <w:tr>
        <w:tblPrEx>
          <w:tblW w:w="8500" w:type="dxa"/>
          <w:tblInd w:w="93" w:type="dxa"/>
          <w:tblCellMar>
            <w:top w:w="0" w:type="dxa"/>
            <w:left w:w="108" w:type="dxa"/>
            <w:bottom w:w="0" w:type="dxa"/>
            <w:right w:w="108" w:type="dxa"/>
          </w:tblCellMar>
        </w:tblPrEx>
        <w:trPr>
          <w:cantSplit/>
          <w:trHeight w:val="285"/>
        </w:trPr>
        <w:tc>
          <w:tcPr>
            <w:tcW w:w="1040" w:type="dxa"/>
            <w:vMerge/>
            <w:tcBorders>
              <w:top w:val="single" w:sz="4" w:space="0" w:color="auto"/>
              <w:left w:val="single" w:sz="4" w:space="0" w:color="auto"/>
              <w:bottom w:val="single" w:sz="4" w:space="0" w:color="000000"/>
              <w:right w:val="single" w:sz="4" w:space="0" w:color="auto"/>
            </w:tcBorders>
            <w:vAlign w:val="center"/>
          </w:tcPr>
          <w:p>
            <w:pPr>
              <w:pStyle w:val="Normal0"/>
              <w:widowControl/>
              <w:spacing w:line="360" w:lineRule="auto"/>
              <w:rPr>
                <w:rFonts w:ascii="宋体" w:eastAsia="宋体" w:hAnsi="宋体" w:cs="宋体" w:hint="eastAsia"/>
                <w:kern w:val="0"/>
              </w:rPr>
            </w:pP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餐饮：肯德鸡／必胜客／仙踪林</w:t>
            </w:r>
          </w:p>
        </w:tc>
      </w:tr>
      <w:tr>
        <w:tblPrEx>
          <w:tblW w:w="8500" w:type="dxa"/>
          <w:tblInd w:w="93" w:type="dxa"/>
          <w:tblCellMar>
            <w:top w:w="0" w:type="dxa"/>
            <w:left w:w="108" w:type="dxa"/>
            <w:bottom w:w="0" w:type="dxa"/>
            <w:right w:w="108" w:type="dxa"/>
          </w:tblCellMar>
        </w:tblPrEx>
        <w:trPr>
          <w:cantSplit/>
          <w:trHeight w:val="285"/>
        </w:trPr>
        <w:tc>
          <w:tcPr>
            <w:tcW w:w="1040" w:type="dxa"/>
            <w:vMerge/>
            <w:tcBorders>
              <w:top w:val="single" w:sz="4" w:space="0" w:color="auto"/>
              <w:left w:val="single" w:sz="4" w:space="0" w:color="auto"/>
              <w:bottom w:val="single" w:sz="4" w:space="0" w:color="000000"/>
              <w:right w:val="single" w:sz="4" w:space="0" w:color="auto"/>
            </w:tcBorders>
            <w:vAlign w:val="center"/>
          </w:tcPr>
          <w:p>
            <w:pPr>
              <w:pStyle w:val="Normal0"/>
              <w:widowControl/>
              <w:spacing w:line="360" w:lineRule="auto"/>
              <w:rPr>
                <w:rFonts w:ascii="宋体" w:eastAsia="宋体" w:hAnsi="宋体" w:cs="宋体" w:hint="eastAsia"/>
                <w:kern w:val="0"/>
              </w:rPr>
            </w:pP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眼镜：Gucci／Chencl/</w:t>
            </w:r>
          </w:p>
        </w:tc>
      </w:tr>
      <w:tr>
        <w:tblPrEx>
          <w:tblW w:w="8500" w:type="dxa"/>
          <w:tblInd w:w="93" w:type="dxa"/>
          <w:tblCellMar>
            <w:top w:w="0" w:type="dxa"/>
            <w:left w:w="108" w:type="dxa"/>
            <w:bottom w:w="0" w:type="dxa"/>
            <w:right w:w="108" w:type="dxa"/>
          </w:tblCellMar>
        </w:tblPrEx>
        <w:trPr>
          <w:cantSplit/>
          <w:trHeight w:val="285"/>
        </w:trPr>
        <w:tc>
          <w:tcPr>
            <w:tcW w:w="1040" w:type="dxa"/>
            <w:vMerge/>
            <w:tcBorders>
              <w:top w:val="single" w:sz="4" w:space="0" w:color="auto"/>
              <w:left w:val="single" w:sz="4" w:space="0" w:color="auto"/>
              <w:bottom w:val="single" w:sz="4" w:space="0" w:color="000000"/>
              <w:right w:val="single" w:sz="4" w:space="0" w:color="auto"/>
            </w:tcBorders>
            <w:vAlign w:val="center"/>
          </w:tcPr>
          <w:p>
            <w:pPr>
              <w:pStyle w:val="Normal0"/>
              <w:widowControl/>
              <w:spacing w:line="360" w:lineRule="auto"/>
              <w:rPr>
                <w:rFonts w:ascii="宋体" w:eastAsia="宋体" w:hAnsi="宋体" w:cs="宋体" w:hint="eastAsia"/>
                <w:kern w:val="0"/>
              </w:rPr>
            </w:pP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女鞋：百丽／星期六／沙驰／kisscat／法拉莉／安玛莉</w:t>
            </w:r>
          </w:p>
        </w:tc>
      </w:tr>
      <w:tr>
        <w:tblPrEx>
          <w:tblW w:w="8500" w:type="dxa"/>
          <w:tblInd w:w="93" w:type="dxa"/>
          <w:tblCellMar>
            <w:top w:w="0" w:type="dxa"/>
            <w:left w:w="108" w:type="dxa"/>
            <w:bottom w:w="0" w:type="dxa"/>
            <w:right w:w="108" w:type="dxa"/>
          </w:tblCellMar>
        </w:tblPrEx>
        <w:trPr>
          <w:cantSplit/>
          <w:trHeight w:val="285"/>
        </w:trPr>
        <w:tc>
          <w:tcPr>
            <w:tcW w:w="1040" w:type="dxa"/>
            <w:vMerge w:val="restart"/>
            <w:tcBorders>
              <w:top w:val="nil"/>
              <w:left w:val="single" w:sz="4" w:space="0" w:color="auto"/>
              <w:bottom w:val="single" w:sz="4" w:space="0" w:color="000000"/>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2F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女装：依恋/艾希尔/VERO MODA/only/B2/edc/TEENIE WEENIE/FRIZZ/oasis</w:t>
            </w:r>
          </w:p>
        </w:tc>
      </w:tr>
      <w:tr>
        <w:tblPrEx>
          <w:tblW w:w="8500" w:type="dxa"/>
          <w:tblInd w:w="93" w:type="dxa"/>
          <w:tblCellMar>
            <w:top w:w="0" w:type="dxa"/>
            <w:left w:w="108" w:type="dxa"/>
            <w:bottom w:w="0" w:type="dxa"/>
            <w:right w:w="108" w:type="dxa"/>
          </w:tblCellMar>
        </w:tblPrEx>
        <w:trPr>
          <w:cantSplit/>
          <w:trHeight w:val="285"/>
        </w:trPr>
        <w:tc>
          <w:tcPr>
            <w:tcW w:w="1040" w:type="dxa"/>
            <w:vMerge/>
            <w:tcBorders>
              <w:top w:val="nil"/>
              <w:left w:val="single" w:sz="4" w:space="0" w:color="auto"/>
              <w:bottom w:val="single" w:sz="4" w:space="0" w:color="000000"/>
              <w:right w:val="single" w:sz="4" w:space="0" w:color="auto"/>
            </w:tcBorders>
            <w:vAlign w:val="center"/>
          </w:tcPr>
          <w:p>
            <w:pPr>
              <w:pStyle w:val="Normal0"/>
              <w:widowControl/>
              <w:spacing w:line="360" w:lineRule="auto"/>
              <w:rPr>
                <w:rFonts w:ascii="宋体" w:eastAsia="宋体" w:hAnsi="宋体" w:cs="宋体" w:hint="eastAsia"/>
                <w:kern w:val="0"/>
              </w:rPr>
            </w:pP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　　　百图/chaber/ofuon/艾格/酷/淑女屋</w:t>
            </w:r>
          </w:p>
        </w:tc>
      </w:tr>
      <w:tr>
        <w:tblPrEx>
          <w:tblW w:w="8500" w:type="dxa"/>
          <w:tblInd w:w="93" w:type="dxa"/>
          <w:tblCellMar>
            <w:top w:w="0" w:type="dxa"/>
            <w:left w:w="108" w:type="dxa"/>
            <w:bottom w:w="0" w:type="dxa"/>
            <w:right w:w="108" w:type="dxa"/>
          </w:tblCellMar>
        </w:tblPrEx>
        <w:trPr>
          <w:cantSplit/>
          <w:trHeight w:val="285"/>
        </w:trPr>
        <w:tc>
          <w:tcPr>
            <w:tcW w:w="1040" w:type="dxa"/>
            <w:vMerge/>
            <w:tcBorders>
              <w:top w:val="nil"/>
              <w:left w:val="single" w:sz="4" w:space="0" w:color="auto"/>
              <w:bottom w:val="single" w:sz="4" w:space="0" w:color="000000"/>
              <w:right w:val="single" w:sz="4" w:space="0" w:color="auto"/>
            </w:tcBorders>
            <w:vAlign w:val="center"/>
          </w:tcPr>
          <w:p>
            <w:pPr>
              <w:pStyle w:val="Normal0"/>
              <w:widowControl/>
              <w:spacing w:line="360" w:lineRule="auto"/>
              <w:rPr>
                <w:rFonts w:ascii="宋体" w:eastAsia="宋体" w:hAnsi="宋体" w:cs="宋体" w:hint="eastAsia"/>
                <w:kern w:val="0"/>
              </w:rPr>
            </w:pP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手表：swatch</w:t>
            </w:r>
          </w:p>
        </w:tc>
      </w:tr>
      <w:tr>
        <w:tblPrEx>
          <w:tblW w:w="8500" w:type="dxa"/>
          <w:tblInd w:w="93" w:type="dxa"/>
          <w:tblCellMar>
            <w:top w:w="0" w:type="dxa"/>
            <w:left w:w="108" w:type="dxa"/>
            <w:bottom w:w="0" w:type="dxa"/>
            <w:right w:w="108" w:type="dxa"/>
          </w:tblCellMar>
        </w:tblPrEx>
        <w:trPr>
          <w:cantSplit/>
          <w:trHeight w:val="285"/>
        </w:trPr>
        <w:tc>
          <w:tcPr>
            <w:tcW w:w="1040" w:type="dxa"/>
            <w:vMerge/>
            <w:tcBorders>
              <w:top w:val="nil"/>
              <w:left w:val="single" w:sz="4" w:space="0" w:color="auto"/>
              <w:bottom w:val="single" w:sz="4" w:space="0" w:color="000000"/>
              <w:right w:val="single" w:sz="4" w:space="0" w:color="auto"/>
            </w:tcBorders>
            <w:vAlign w:val="center"/>
          </w:tcPr>
          <w:p>
            <w:pPr>
              <w:pStyle w:val="Normal0"/>
              <w:widowControl/>
              <w:spacing w:line="360" w:lineRule="auto"/>
              <w:rPr>
                <w:rFonts w:ascii="宋体" w:eastAsia="宋体" w:hAnsi="宋体" w:cs="宋体" w:hint="eastAsia"/>
                <w:kern w:val="0"/>
              </w:rPr>
            </w:pP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包袋：万里马/金利来</w:t>
            </w:r>
          </w:p>
        </w:tc>
      </w:tr>
      <w:tr>
        <w:tblPrEx>
          <w:tblW w:w="8500" w:type="dxa"/>
          <w:tblInd w:w="93" w:type="dxa"/>
          <w:tblCellMar>
            <w:top w:w="0" w:type="dxa"/>
            <w:left w:w="108" w:type="dxa"/>
            <w:bottom w:w="0" w:type="dxa"/>
            <w:right w:w="108" w:type="dxa"/>
          </w:tblCellMar>
        </w:tblPrEx>
        <w:trPr>
          <w:cantSplit/>
          <w:trHeight w:val="285"/>
        </w:trPr>
        <w:tc>
          <w:tcPr>
            <w:tcW w:w="1040" w:type="dxa"/>
            <w:vMerge/>
            <w:tcBorders>
              <w:top w:val="nil"/>
              <w:left w:val="single" w:sz="4" w:space="0" w:color="auto"/>
              <w:bottom w:val="single" w:sz="4" w:space="0" w:color="000000"/>
              <w:right w:val="single" w:sz="4" w:space="0" w:color="auto"/>
            </w:tcBorders>
            <w:vAlign w:val="center"/>
          </w:tcPr>
          <w:p>
            <w:pPr>
              <w:pStyle w:val="Normal0"/>
              <w:widowControl/>
              <w:spacing w:line="360" w:lineRule="auto"/>
              <w:rPr>
                <w:rFonts w:ascii="宋体" w:eastAsia="宋体" w:hAnsi="宋体" w:cs="宋体" w:hint="eastAsia"/>
                <w:kern w:val="0"/>
              </w:rPr>
            </w:pP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水果主题餐厅</w:t>
            </w:r>
          </w:p>
        </w:tc>
      </w:tr>
      <w:tr>
        <w:tblPrEx>
          <w:tblW w:w="8500" w:type="dxa"/>
          <w:tblInd w:w="93"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3F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女装：埃米雅文/宝姿/范怡文/米兰/波司登</w:t>
            </w:r>
          </w:p>
        </w:tc>
      </w:tr>
      <w:tr>
        <w:tblPrEx>
          <w:tblW w:w="8500" w:type="dxa"/>
          <w:tblInd w:w="93"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4F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男士品牌：金利来/宝姿/鄂尔多斯/皮尔卡丹/圣大保罗/Jeep/Nautica/LEICI/沙驰</w:t>
            </w:r>
          </w:p>
        </w:tc>
      </w:tr>
      <w:tr>
        <w:tblPrEx>
          <w:tblW w:w="8500" w:type="dxa"/>
          <w:tblInd w:w="93" w:type="dxa"/>
          <w:tblCellMar>
            <w:top w:w="0" w:type="dxa"/>
            <w:left w:w="108" w:type="dxa"/>
            <w:bottom w:w="0" w:type="dxa"/>
            <w:right w:w="108" w:type="dxa"/>
          </w:tblCellMar>
        </w:tblPrEx>
        <w:trPr>
          <w:cantSplit/>
          <w:trHeight w:val="285"/>
        </w:trPr>
        <w:tc>
          <w:tcPr>
            <w:tcW w:w="1040" w:type="dxa"/>
            <w:vMerge w:val="restart"/>
            <w:tcBorders>
              <w:top w:val="nil"/>
              <w:left w:val="single" w:sz="4" w:space="0" w:color="auto"/>
              <w:bottom w:val="single" w:sz="4" w:space="0" w:color="000000"/>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5F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运动休闲装：NIKE/李宁</w:t>
            </w:r>
          </w:p>
        </w:tc>
      </w:tr>
      <w:tr>
        <w:tblPrEx>
          <w:tblW w:w="8500" w:type="dxa"/>
          <w:tblInd w:w="93" w:type="dxa"/>
          <w:tblCellMar>
            <w:top w:w="0" w:type="dxa"/>
            <w:left w:w="108" w:type="dxa"/>
            <w:bottom w:w="0" w:type="dxa"/>
            <w:right w:w="108" w:type="dxa"/>
          </w:tblCellMar>
        </w:tblPrEx>
        <w:trPr>
          <w:cantSplit/>
          <w:trHeight w:val="285"/>
        </w:trPr>
        <w:tc>
          <w:tcPr>
            <w:tcW w:w="1040" w:type="dxa"/>
            <w:vMerge/>
            <w:tcBorders>
              <w:top w:val="nil"/>
              <w:left w:val="single" w:sz="4" w:space="0" w:color="auto"/>
              <w:bottom w:val="single" w:sz="4" w:space="0" w:color="000000"/>
              <w:right w:val="single" w:sz="4" w:space="0" w:color="auto"/>
            </w:tcBorders>
            <w:vAlign w:val="center"/>
          </w:tcPr>
          <w:p>
            <w:pPr>
              <w:pStyle w:val="Normal0"/>
              <w:widowControl/>
              <w:spacing w:line="360" w:lineRule="auto"/>
              <w:rPr>
                <w:rFonts w:ascii="宋体" w:eastAsia="宋体" w:hAnsi="宋体" w:cs="宋体" w:hint="eastAsia"/>
                <w:kern w:val="0"/>
              </w:rPr>
            </w:pP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儿童品牌：樱桃小丸子/巴布豆/丽婴房/好孩子/米奇/大头/兄弟猫/ELLE</w:t>
            </w:r>
          </w:p>
        </w:tc>
      </w:tr>
      <w:tr>
        <w:tblPrEx>
          <w:tblW w:w="8500" w:type="dxa"/>
          <w:tblInd w:w="93"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6F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床上用品／家居用品／羊绒衫／工艺品／通讯用品／文化用品／音像用品／相机</w:t>
            </w:r>
          </w:p>
        </w:tc>
      </w:tr>
      <w:tr>
        <w:tblPrEx>
          <w:tblW w:w="8500" w:type="dxa"/>
          <w:tblInd w:w="93"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7F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咖啡厅／中西餐厅</w:t>
            </w:r>
          </w:p>
        </w:tc>
      </w:tr>
      <w:tr>
        <w:tblPrEx>
          <w:tblW w:w="8500" w:type="dxa"/>
          <w:tblInd w:w="93"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8F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摄影／自助餐／烧烤／美容SPA</w:t>
            </w:r>
          </w:p>
        </w:tc>
      </w:tr>
      <w:tr>
        <w:tblPrEx>
          <w:tblW w:w="8500" w:type="dxa"/>
          <w:tblInd w:w="93"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9F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中体倍力健身俱乐部</w:t>
            </w:r>
          </w:p>
        </w:tc>
      </w:tr>
      <w:tr>
        <w:tblPrEx>
          <w:tblW w:w="8500" w:type="dxa"/>
          <w:tblInd w:w="93"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10F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影城</w:t>
            </w:r>
          </w:p>
        </w:tc>
      </w:tr>
    </w:tbl>
    <w:p>
      <w:pPr>
        <w:pStyle w:val="Normal0"/>
        <w:spacing w:line="360" w:lineRule="auto"/>
        <w:ind w:left="935" w:hanging="576" w:leftChars="171" w:hangingChars="240"/>
        <w:rPr>
          <w:rFonts w:ascii="宋体" w:eastAsia="宋体" w:hAnsi="宋体" w:hint="eastAsia"/>
          <w:b/>
        </w:rPr>
      </w:pPr>
    </w:p>
    <w:p>
      <w:pPr>
        <w:pStyle w:val="Normal0"/>
        <w:spacing w:line="360" w:lineRule="auto"/>
        <w:ind w:left="935" w:hanging="576" w:leftChars="171" w:hangingChars="240"/>
        <w:rPr>
          <w:rFonts w:ascii="宋体" w:eastAsia="宋体" w:hAnsi="宋体" w:hint="eastAsia"/>
          <w:b/>
        </w:rPr>
      </w:pPr>
      <w:r>
        <w:rPr>
          <w:rFonts w:ascii="宋体" w:eastAsia="宋体" w:hAnsi="宋体" w:hint="eastAsia"/>
          <w:b/>
        </w:rPr>
        <w:t>3.1．3分析</w:t>
      </w:r>
    </w:p>
    <w:p>
      <w:pPr>
        <w:pStyle w:val="Normal0"/>
        <w:spacing w:line="360" w:lineRule="auto"/>
        <w:ind w:left="834" w:hanging="214" w:leftChars="295" w:hangingChars="89"/>
        <w:rPr>
          <w:rFonts w:ascii="宋体" w:eastAsia="宋体" w:hAnsi="宋体" w:hint="eastAsia"/>
        </w:rPr>
        <w:sectPr>
          <w:headerReference w:type="default" r:id="rId25"/>
          <w:footerReference w:type="default" r:id="rId26"/>
          <w:type w:val="nextPage"/>
          <w:pgSz w:w="11906" w:h="16838"/>
          <w:pgMar w:top="539" w:right="926" w:bottom="1440" w:left="1800" w:header="495" w:footer="992" w:gutter="0"/>
          <w:pgNumType w:start="11"/>
          <w:cols w:num="1" w:space="425"/>
          <w:titlePg w:val="0"/>
          <w:docGrid w:type="lines" w:linePitch="360" w:charSpace="0"/>
        </w:sectPr>
      </w:pPr>
      <w:r>
        <w:rPr>
          <w:rFonts w:ascii="宋体" w:eastAsia="宋体" w:hAnsi="宋体" w:hint="eastAsia"/>
          <w:b/>
        </w:rPr>
        <w:t>1.</w:t>
      </w:r>
    </w:p>
    <w:p>
      <w:pPr>
        <w:pStyle w:val="Normal0"/>
        <w:spacing w:line="360" w:lineRule="auto"/>
        <w:ind w:left="834" w:hanging="214" w:leftChars="295" w:hangingChars="89"/>
        <w:rPr>
          <w:rFonts w:ascii="宋体" w:eastAsia="宋体" w:hAnsi="宋体" w:hint="eastAsia"/>
        </w:rPr>
      </w:pPr>
      <w:r>
        <w:rPr>
          <w:rFonts w:ascii="宋体" w:eastAsia="宋体" w:hAnsi="宋体" w:hint="eastAsia"/>
        </w:rPr>
        <w:t>王府井百货地处长沙市一级商圈，整体面积约6万方，招商面积达到90%，经营品牌以二，三线品牌为主，以中，低档消费群体为主，在长沙地区王府井是居平和堂之后第二家经营状况最好的商业百货，除了一楼是由王府井负责出售后返租的，其它楼层都是由王府井负责整体招商与经营</w:t>
      </w:r>
      <w:r>
        <w:rPr>
          <w:rFonts w:ascii="宋体" w:eastAsia="宋体" w:hAnsi="宋体" w:hint="eastAsia"/>
          <w:lang w:eastAsia="zh-CN"/>
        </w:rPr>
        <w:t>管理管控</w:t>
      </w:r>
      <w:r>
        <w:rPr>
          <w:rFonts w:ascii="宋体" w:eastAsia="宋体" w:hAnsi="宋体" w:hint="eastAsia"/>
        </w:rPr>
        <w:t>，整个商场的布局较为合理，动线明朗，因此在整体规划上比较一致，统一。</w:t>
      </w:r>
    </w:p>
    <w:p>
      <w:pPr>
        <w:pStyle w:val="Normal0"/>
        <w:spacing w:line="360" w:lineRule="auto"/>
        <w:ind w:left="792" w:hanging="233" w:leftChars="266" w:hangingChars="97"/>
        <w:rPr>
          <w:rFonts w:ascii="宋体" w:eastAsia="宋体" w:hAnsi="宋体" w:hint="eastAsia"/>
        </w:rPr>
      </w:pPr>
      <w:r>
        <w:rPr>
          <w:rFonts w:ascii="宋体" w:eastAsia="宋体" w:hAnsi="宋体" w:hint="eastAsia"/>
          <w:b/>
        </w:rPr>
        <w:t>2.</w:t>
      </w:r>
      <w:r>
        <w:rPr>
          <w:rFonts w:ascii="宋体" w:eastAsia="宋体" w:hAnsi="宋体" w:hint="eastAsia"/>
        </w:rPr>
        <w:t>长沙市的百货业基本都是以二，三线品牌为主，使的行业竞争日益激烈，也无法满足人们对一线品牌的需求，更无法提升商场的品质。</w:t>
      </w:r>
    </w:p>
    <w:p>
      <w:pPr>
        <w:pStyle w:val="Normal0"/>
        <w:spacing w:line="360" w:lineRule="auto"/>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3．2平和堂商场</w:t>
      </w:r>
    </w:p>
    <w:p>
      <w:pPr>
        <w:pStyle w:val="Normal0"/>
        <w:spacing w:line="360" w:lineRule="auto"/>
        <w:ind w:firstLine="360" w:firstLineChars="150"/>
        <w:rPr>
          <w:rFonts w:ascii="宋体" w:eastAsia="宋体" w:hAnsi="宋体" w:hint="eastAsia"/>
          <w:b/>
        </w:rPr>
      </w:pPr>
      <w:r>
        <w:rPr>
          <w:rFonts w:ascii="宋体" w:eastAsia="宋体" w:hAnsi="宋体" w:hint="eastAsia"/>
          <w:b/>
        </w:rPr>
        <w:t>3．2．1各楼层业种分布</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28"/>
        <w:gridCol w:w="679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B3</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停车场</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B2</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停车场</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B1</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超市、休闲、药店、咖啡等</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F1</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名牌化妆品、鞋类、珠宝、皮具</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F2</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少女装、化妆品、内衣、咖啡厅</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F3</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男装、成熟女装、皮具箱包</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F4</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童装、床上用品、休闲服装</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F5</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家电、小商品、美食广场</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F6</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树时代、大丰和、巴西卡特兰等休闲餐饮</w:t>
            </w:r>
          </w:p>
        </w:tc>
      </w:tr>
    </w:tbl>
    <w:p>
      <w:pPr>
        <w:pStyle w:val="Normal0"/>
        <w:spacing w:line="360" w:lineRule="auto"/>
        <w:rPr>
          <w:rFonts w:ascii="宋体" w:eastAsia="宋体" w:hAnsi="宋体" w:hint="eastAsia"/>
        </w:rPr>
      </w:pPr>
    </w:p>
    <w:p>
      <w:pPr>
        <w:pStyle w:val="Normal0"/>
        <w:spacing w:line="360" w:lineRule="auto"/>
        <w:ind w:firstLine="240" w:firstLineChars="100"/>
        <w:rPr>
          <w:rFonts w:ascii="宋体" w:eastAsia="宋体" w:hAnsi="宋体" w:hint="eastAsia"/>
        </w:rPr>
      </w:pPr>
      <w:r>
        <w:rPr>
          <w:rFonts w:ascii="宋体" w:eastAsia="宋体" w:hAnsi="宋体" w:hint="eastAsia"/>
          <w:b/>
        </w:rPr>
        <w:t>3．2．2各楼层品牌</w:t>
      </w: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7"/>
        <w:gridCol w:w="8011"/>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一楼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鞋类品牌：senda森达、UQUQ、威尔斯丹、无意美、fed、RIZ、贵之步、百丽、红蜻蜓等</w:t>
            </w:r>
          </w:p>
          <w:p>
            <w:pPr>
              <w:pStyle w:val="Normal0"/>
              <w:spacing w:line="360" w:lineRule="auto"/>
              <w:ind w:firstLine="461"/>
              <w:rPr>
                <w:rFonts w:ascii="宋体" w:eastAsia="宋体" w:hAnsi="宋体" w:hint="eastAsia"/>
              </w:rPr>
            </w:pPr>
            <w:r>
              <w:rPr>
                <w:rFonts w:ascii="宋体" w:eastAsia="宋体" w:hAnsi="宋体" w:hint="eastAsia"/>
              </w:rPr>
              <w:t>化妆品品牌：Adidas、Estee Lauder、资生堂、雅芳、美宝莲、兰蔻、CD、SK=Ⅱ等</w:t>
            </w:r>
          </w:p>
          <w:p>
            <w:pPr>
              <w:pStyle w:val="Normal0"/>
              <w:spacing w:line="360" w:lineRule="auto"/>
              <w:ind w:firstLine="461"/>
              <w:rPr>
                <w:rFonts w:ascii="宋体" w:eastAsia="宋体" w:hAnsi="宋体" w:hint="eastAsia"/>
              </w:rPr>
            </w:pPr>
            <w:r>
              <w:rPr>
                <w:rFonts w:ascii="宋体" w:eastAsia="宋体" w:hAnsi="宋体" w:hint="eastAsia"/>
              </w:rPr>
              <w:t>珠宝：周大福、周生生等</w:t>
            </w:r>
          </w:p>
        </w:tc>
      </w:tr>
    </w:tbl>
    <w:p>
      <w:pPr>
        <w:sectPr>
          <w:headerReference w:type="default" r:id="rId27"/>
          <w:footerReference w:type="default" r:id="rId28"/>
          <w:type w:val="nextPage"/>
          <w:pgSz w:w="11906" w:h="16838"/>
          <w:pgMar w:top="539" w:right="926" w:bottom="1440" w:left="1800" w:header="495" w:footer="992" w:gutter="0"/>
          <w:pgNumType w:start="12"/>
          <w:cols w:num="1" w:space="425"/>
          <w:titlePg w:val="0"/>
          <w:docGrid w:type="lines" w:linePitch="360" w:charSpace="0"/>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7"/>
        <w:gridCol w:w="8011"/>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828" w:type="dxa"/>
          </w:tcP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皮具：高美高、来美登丹、DISSONA、FION等</w:t>
            </w:r>
          </w:p>
        </w:tc>
      </w:tr>
      <w:tr>
        <w:tblPrEx>
          <w:tblW w:w="8928" w:type="dxa"/>
          <w:tblInd w:w="0" w:type="dxa"/>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二楼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化妆品品牌：俄佩兰、OAOAS</w:t>
            </w:r>
          </w:p>
          <w:p>
            <w:pPr>
              <w:pStyle w:val="Normal0"/>
              <w:spacing w:line="360" w:lineRule="auto"/>
              <w:ind w:firstLine="461"/>
              <w:rPr>
                <w:rFonts w:ascii="宋体" w:eastAsia="宋体" w:hAnsi="宋体" w:hint="eastAsia"/>
              </w:rPr>
            </w:pPr>
            <w:r>
              <w:rPr>
                <w:rFonts w:ascii="宋体" w:eastAsia="宋体" w:hAnsi="宋体" w:hint="eastAsia"/>
              </w:rPr>
              <w:t>衣装品牌：G2000、Etam Storts、JES、Ouy、ln.clover、JDC JULE、纳帕佳、ILC、ID、FGFED、爱慕、芬怡、普普风、Theme等</w:t>
            </w:r>
          </w:p>
        </w:tc>
      </w:tr>
      <w:tr>
        <w:tblPrEx>
          <w:tblW w:w="8928" w:type="dxa"/>
          <w:tblInd w:w="0" w:type="dxa"/>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三楼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男装品牌：Thelebre 、Dicaro、Jack.jones、Clovanni、Leo、ELLE、金利来、浪比时、德国骆驼、郞.维高、法国都彭、花花公子、圣得西、路易。诗莱、沙驰、雅ge尔</w:t>
            </w:r>
          </w:p>
          <w:p>
            <w:pPr>
              <w:pStyle w:val="Normal0"/>
              <w:spacing w:line="360" w:lineRule="auto"/>
              <w:ind w:firstLine="461"/>
              <w:rPr>
                <w:rFonts w:ascii="宋体" w:eastAsia="宋体" w:hAnsi="宋体" w:hint="eastAsia"/>
              </w:rPr>
            </w:pPr>
            <w:r>
              <w:rPr>
                <w:rFonts w:ascii="宋体" w:eastAsia="宋体" w:hAnsi="宋体" w:hint="eastAsia"/>
              </w:rPr>
              <w:t>皮具：巴黎世家</w:t>
            </w:r>
          </w:p>
        </w:tc>
      </w:tr>
      <w:tr>
        <w:tblPrEx>
          <w:tblW w:w="8928" w:type="dxa"/>
          <w:tblInd w:w="0" w:type="dxa"/>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四楼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休闲服装品牌：左丹奴、APPLE、LEVCS、真维斯、耐克</w:t>
            </w:r>
          </w:p>
          <w:p>
            <w:pPr>
              <w:pStyle w:val="Normal0"/>
              <w:spacing w:line="360" w:lineRule="auto"/>
              <w:ind w:firstLine="461"/>
              <w:rPr>
                <w:rFonts w:ascii="宋体" w:eastAsia="宋体" w:hAnsi="宋体" w:hint="eastAsia"/>
              </w:rPr>
            </w:pPr>
            <w:r>
              <w:rPr>
                <w:rFonts w:ascii="宋体" w:eastAsia="宋体" w:hAnsi="宋体" w:hint="eastAsia"/>
              </w:rPr>
              <w:t>家居品牌：多喜爱、梦洁、朵彩、秋鹿家居服、卡帝乐</w:t>
            </w:r>
          </w:p>
          <w:p>
            <w:pPr>
              <w:pStyle w:val="Normal0"/>
              <w:spacing w:line="360" w:lineRule="auto"/>
              <w:ind w:firstLine="461"/>
              <w:rPr>
                <w:rFonts w:ascii="宋体" w:eastAsia="宋体" w:hAnsi="宋体" w:hint="eastAsia"/>
              </w:rPr>
            </w:pPr>
            <w:r>
              <w:rPr>
                <w:rFonts w:ascii="宋体" w:eastAsia="宋体" w:hAnsi="宋体" w:hint="eastAsia"/>
              </w:rPr>
              <w:t xml:space="preserve">童装：芭芘、流氓兔等 </w:t>
            </w:r>
          </w:p>
        </w:tc>
      </w:tr>
      <w:tr>
        <w:tblPrEx>
          <w:tblW w:w="8928" w:type="dxa"/>
          <w:tblInd w:w="0" w:type="dxa"/>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五楼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美食广场、小商品、文具、玩具、音响、通讯产品</w:t>
            </w:r>
          </w:p>
        </w:tc>
      </w:tr>
      <w:tr>
        <w:tblPrEx>
          <w:tblW w:w="8928" w:type="dxa"/>
          <w:tblInd w:w="0" w:type="dxa"/>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六楼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树时代、大丰和、巴西卡特兰等休闲餐饮</w:t>
            </w:r>
          </w:p>
        </w:tc>
      </w:tr>
    </w:tbl>
    <w:p>
      <w:pPr>
        <w:pStyle w:val="Normal0"/>
        <w:spacing w:line="360" w:lineRule="auto"/>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3．2．3分析：</w:t>
      </w:r>
    </w:p>
    <w:p>
      <w:pPr>
        <w:pStyle w:val="Normal0"/>
        <w:spacing w:line="360" w:lineRule="auto"/>
        <w:ind w:left="839" w:hanging="360" w:leftChars="228" w:hangingChars="150"/>
        <w:rPr>
          <w:rFonts w:ascii="宋体" w:eastAsia="宋体" w:hAnsi="宋体" w:hint="eastAsia"/>
        </w:rPr>
      </w:pPr>
      <w:r>
        <w:rPr>
          <w:rFonts w:ascii="宋体" w:eastAsia="宋体" w:hAnsi="宋体" w:hint="eastAsia"/>
        </w:rPr>
        <w:t>1、平和堂商业广场处在长沙市五一核心商圈中的绝佳口岸，是解放路与五一路的商业交通口岸。这个口岸把过去的黄兴路商圈真正延伸到五一路，扩充了五一路商圈的商业资源，即使在五府井进驻竞争后，仍有着强劲的竞争力。</w:t>
      </w:r>
    </w:p>
    <w:p>
      <w:pPr>
        <w:pStyle w:val="Normal0"/>
        <w:numPr>
          <w:ilvl w:val="0"/>
          <w:numId w:val="1"/>
        </w:numPr>
        <w:spacing w:line="360" w:lineRule="auto"/>
        <w:jc w:val="both"/>
        <w:rPr>
          <w:rFonts w:ascii="宋体" w:eastAsia="宋体" w:hAnsi="宋体" w:hint="eastAsia"/>
        </w:rPr>
      </w:pPr>
      <w:r>
        <w:rPr>
          <w:rFonts w:ascii="宋体" w:eastAsia="宋体" w:hAnsi="宋体" w:hint="eastAsia"/>
        </w:rPr>
        <w:t>作为长沙市最早的高档地标性商业物业，它是长沙购物中心的早期代表。无论从规模、包装还是引进的品牌商家都具有超前性，平和堂商厦都在五一路商圈具有无可替代的商业地位。</w:t>
      </w:r>
    </w:p>
    <w:p>
      <w:pPr>
        <w:pStyle w:val="Normal0"/>
        <w:numPr>
          <w:ilvl w:val="0"/>
          <w:numId w:val="1"/>
        </w:numPr>
        <w:spacing w:line="360" w:lineRule="auto"/>
        <w:jc w:val="both"/>
        <w:rPr>
          <w:rFonts w:ascii="宋体" w:eastAsia="宋体" w:hAnsi="宋体" w:hint="eastAsia"/>
        </w:rPr>
        <w:sectPr>
          <w:headerReference w:type="default" r:id="rId29"/>
          <w:footerReference w:type="default" r:id="rId30"/>
          <w:type w:val="nextPage"/>
          <w:pgSz w:w="11906" w:h="16838"/>
          <w:pgMar w:top="539" w:right="926" w:bottom="1440" w:left="1800" w:header="495" w:footer="992" w:gutter="0"/>
          <w:pgNumType w:start="13"/>
          <w:cols w:num="1" w:space="425"/>
          <w:titlePg w:val="0"/>
          <w:docGrid w:type="lines" w:linePitch="360" w:charSpace="0"/>
        </w:sectPr>
      </w:pPr>
    </w:p>
    <w:p>
      <w:pPr>
        <w:pStyle w:val="Normal0"/>
        <w:numPr>
          <w:ilvl w:val="0"/>
          <w:numId w:val="0"/>
        </w:numPr>
        <w:spacing w:line="360" w:lineRule="auto"/>
        <w:ind w:left="839"/>
        <w:jc w:val="both"/>
        <w:rPr>
          <w:rFonts w:ascii="宋体" w:eastAsia="宋体" w:hAnsi="宋体" w:hint="eastAsia"/>
        </w:rPr>
      </w:pPr>
      <w:r>
        <w:rPr>
          <w:rFonts w:ascii="宋体" w:eastAsia="宋体" w:hAnsi="宋体" w:hint="eastAsia"/>
        </w:rPr>
        <w:t>作为长沙高档商业的代表，平和堂商厦引进的品牌主要以二线品牌为主，一线品牌为辅。并且多为国产品牌，国际品牌少之及少。这与一级城市与作为省会的中心城市相比，还远远达不到同类消费市场的品牌需求。</w:t>
      </w:r>
    </w:p>
    <w:p>
      <w:pPr>
        <w:pStyle w:val="Normal0"/>
        <w:numPr>
          <w:ilvl w:val="0"/>
          <w:numId w:val="1"/>
        </w:numPr>
        <w:spacing w:line="360" w:lineRule="auto"/>
        <w:jc w:val="both"/>
        <w:rPr>
          <w:rFonts w:ascii="宋体" w:eastAsia="宋体" w:hAnsi="宋体" w:hint="eastAsia"/>
        </w:rPr>
      </w:pPr>
      <w:r>
        <w:rPr>
          <w:rFonts w:ascii="宋体" w:eastAsia="宋体" w:hAnsi="宋体" w:hint="eastAsia"/>
        </w:rPr>
        <w:t>在商业建筑设计上，平和堂商厦入口较小，无法体现现代高档商业的形象与气势，而内部购物环境也远远达不到高档消费需求。</w:t>
      </w:r>
    </w:p>
    <w:p>
      <w:pPr>
        <w:pStyle w:val="Normal0"/>
        <w:spacing w:line="360" w:lineRule="auto"/>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3．3万达商业广场</w:t>
      </w:r>
    </w:p>
    <w:p>
      <w:pPr>
        <w:pStyle w:val="Normal0"/>
        <w:spacing w:line="360" w:lineRule="auto"/>
        <w:ind w:firstLine="235" w:firstLineChars="98"/>
        <w:rPr>
          <w:rFonts w:ascii="宋体" w:eastAsia="宋体" w:hAnsi="宋体" w:hint="eastAsia"/>
          <w:b/>
        </w:rPr>
      </w:pPr>
      <w:r>
        <w:rPr>
          <w:rFonts w:ascii="宋体" w:eastAsia="宋体" w:hAnsi="宋体" w:hint="eastAsia"/>
          <w:b/>
        </w:rPr>
        <w:t>3.3．1各楼层业种分布</w:t>
      </w:r>
    </w:p>
    <w:tbl>
      <w:tblPr>
        <w:tblStyle w:val="TableNormal"/>
        <w:tblW w:w="84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40"/>
        <w:gridCol w:w="7435"/>
      </w:tblGrid>
      <w:tr>
        <w:tblPrEx>
          <w:tblW w:w="84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85"/>
        </w:trPr>
        <w:tc>
          <w:tcPr>
            <w:tcW w:w="1040" w:type="dxa"/>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1F</w:t>
            </w:r>
          </w:p>
        </w:tc>
        <w:tc>
          <w:tcPr>
            <w:tcW w:w="7435" w:type="dxa"/>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雅戈尔/罗蒙/圣宝奴/箭鱼鲨/莱克斯顿/劲霸/斯得雅/与狼共舞/楚阁/唐古拉/金博尔/中域/提香/伊乐闻/天皇星/柒牌/小牛顿/少爷古车/都喜美/索尼/九龙/香港老爷车/爱点/米奇</w:t>
            </w:r>
          </w:p>
        </w:tc>
      </w:tr>
      <w:tr>
        <w:tblPrEx>
          <w:tblW w:w="8475" w:type="dxa"/>
          <w:tblInd w:w="93" w:type="dxa"/>
          <w:tblCellMar>
            <w:top w:w="0" w:type="dxa"/>
            <w:left w:w="108" w:type="dxa"/>
            <w:bottom w:w="0" w:type="dxa"/>
            <w:right w:w="108" w:type="dxa"/>
          </w:tblCellMar>
        </w:tblPrEx>
        <w:trPr>
          <w:trHeight w:val="285"/>
        </w:trPr>
        <w:tc>
          <w:tcPr>
            <w:tcW w:w="1040" w:type="dxa"/>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2F</w:t>
            </w:r>
          </w:p>
        </w:tc>
        <w:tc>
          <w:tcPr>
            <w:tcW w:w="7435" w:type="dxa"/>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沃尔玛大卖场</w:t>
            </w:r>
          </w:p>
        </w:tc>
      </w:tr>
      <w:tr>
        <w:tblPrEx>
          <w:tblW w:w="8475" w:type="dxa"/>
          <w:tblInd w:w="93" w:type="dxa"/>
          <w:tblCellMar>
            <w:top w:w="0" w:type="dxa"/>
            <w:left w:w="108" w:type="dxa"/>
            <w:bottom w:w="0" w:type="dxa"/>
            <w:right w:w="108" w:type="dxa"/>
          </w:tblCellMar>
        </w:tblPrEx>
        <w:trPr>
          <w:trHeight w:val="285"/>
        </w:trPr>
        <w:tc>
          <w:tcPr>
            <w:tcW w:w="1040" w:type="dxa"/>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3F</w:t>
            </w:r>
          </w:p>
        </w:tc>
        <w:tc>
          <w:tcPr>
            <w:tcW w:w="7435" w:type="dxa"/>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沃尔玛大卖场</w:t>
            </w:r>
          </w:p>
        </w:tc>
      </w:tr>
    </w:tbl>
    <w:p>
      <w:pPr>
        <w:pStyle w:val="Normal0"/>
        <w:spacing w:line="360" w:lineRule="auto"/>
        <w:ind w:left="700" w:hanging="461" w:leftChars="114" w:hangingChars="192"/>
        <w:rPr>
          <w:rFonts w:ascii="宋体" w:eastAsia="宋体" w:hAnsi="宋体" w:hint="eastAsia"/>
          <w:b/>
        </w:rPr>
      </w:pPr>
    </w:p>
    <w:p>
      <w:pPr>
        <w:pStyle w:val="Normal0"/>
        <w:spacing w:line="360" w:lineRule="auto"/>
        <w:ind w:left="700" w:hanging="461" w:leftChars="114" w:hangingChars="192"/>
        <w:rPr>
          <w:rFonts w:ascii="宋体" w:eastAsia="宋体" w:hAnsi="宋体" w:hint="eastAsia"/>
          <w:b/>
        </w:rPr>
      </w:pPr>
      <w:r>
        <w:rPr>
          <w:rFonts w:ascii="宋体" w:eastAsia="宋体" w:hAnsi="宋体" w:hint="eastAsia"/>
          <w:b/>
        </w:rPr>
        <w:t>3.3．2分析</w:t>
      </w:r>
    </w:p>
    <w:p>
      <w:pPr>
        <w:pStyle w:val="Normal0"/>
        <w:spacing w:line="360" w:lineRule="auto"/>
        <w:ind w:left="699" w:leftChars="333"/>
        <w:rPr>
          <w:rFonts w:ascii="宋体" w:eastAsia="宋体" w:hAnsi="宋体" w:hint="eastAsia"/>
        </w:rPr>
      </w:pPr>
      <w:r>
        <w:rPr>
          <w:rFonts w:ascii="宋体" w:eastAsia="宋体" w:hAnsi="宋体" w:hint="eastAsia"/>
        </w:rPr>
        <w:t>万达二，三楼是由沃尔玛招商经营大卖场为主，一楼是开发商出售给小业主后不实行返租，由小业主自主招商，实行的是店中店形式，业态定位零乱，整体风格上不统一，没有统一的经营</w:t>
      </w:r>
      <w:r>
        <w:rPr>
          <w:rFonts w:ascii="宋体" w:eastAsia="宋体" w:hAnsi="宋体" w:hint="eastAsia"/>
          <w:lang w:eastAsia="zh-CN"/>
        </w:rPr>
        <w:t>管理管控</w:t>
      </w:r>
      <w:r>
        <w:rPr>
          <w:rFonts w:ascii="宋体" w:eastAsia="宋体" w:hAnsi="宋体" w:hint="eastAsia"/>
        </w:rPr>
        <w:t>，加上商场的布局不合理，没有明显的动线，经营者没有利用沃尔玛的品牌效应将二楼和三楼的人流会聚到一楼，在现行的经营状况下毫无人气。</w:t>
      </w:r>
    </w:p>
    <w:p>
      <w:pPr>
        <w:pStyle w:val="Normal0"/>
        <w:spacing w:line="360" w:lineRule="auto"/>
        <w:ind w:left="699" w:leftChars="333"/>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3.4巴黎春天</w:t>
      </w:r>
    </w:p>
    <w:p>
      <w:pPr>
        <w:pStyle w:val="Normal0"/>
        <w:spacing w:line="360" w:lineRule="auto"/>
        <w:ind w:firstLine="235" w:firstLineChars="98"/>
        <w:rPr>
          <w:rFonts w:ascii="宋体" w:eastAsia="宋体" w:hAnsi="宋体" w:hint="eastAsia"/>
          <w:b/>
        </w:rPr>
      </w:pPr>
      <w:r>
        <w:rPr>
          <w:rFonts w:ascii="宋体" w:eastAsia="宋体" w:hAnsi="宋体" w:hint="eastAsia"/>
          <w:b/>
        </w:rPr>
        <w:t>3.4．1各楼层业种分布</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28"/>
        <w:gridCol w:w="679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F1：时尚精品</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化妆品、女鞋女包、时尚手表、屈臣氏、珠宝首饰、饰品彩妆、烟酒、电讯</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F2：流行少女馆</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内衣、家居服、少女服饰</w:t>
            </w:r>
          </w:p>
        </w:tc>
      </w:tr>
    </w:tbl>
    <w:p>
      <w:pPr>
        <w:sectPr>
          <w:headerReference w:type="default" r:id="rId31"/>
          <w:footerReference w:type="default" r:id="rId32"/>
          <w:type w:val="nextPage"/>
          <w:pgSz w:w="11906" w:h="16838"/>
          <w:pgMar w:top="539" w:right="926" w:bottom="1440" w:left="1800" w:header="495" w:footer="992" w:gutter="0"/>
          <w:pgNumType w:start="14"/>
          <w:cols w:num="1" w:space="425"/>
          <w:titlePg w:val="0"/>
          <w:docGrid w:type="lines" w:linePitch="360"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28"/>
        <w:gridCol w:w="679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F3：时尚淑女馆</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羊毛羊绒、袜子保暖、淑女馆、针织内衣</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F4：绅士精品</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 xml:space="preserve">男鞋、品牌男装、运动服装 </w:t>
            </w:r>
          </w:p>
        </w:tc>
      </w:tr>
      <w:tr>
        <w:tblPrEx>
          <w:tblW w:w="0" w:type="auto"/>
          <w:tblInd w:w="0" w:type="dxa"/>
          <w:tblCellMar>
            <w:top w:w="0" w:type="dxa"/>
            <w:left w:w="108" w:type="dxa"/>
            <w:bottom w:w="0" w:type="dxa"/>
            <w:right w:w="108" w:type="dxa"/>
          </w:tblCellMar>
        </w:tblPrEx>
        <w:tc>
          <w:tcPr>
            <w:tcW w:w="1728" w:type="dxa"/>
          </w:tcPr>
          <w:p>
            <w:pPr>
              <w:pStyle w:val="Normal0"/>
              <w:spacing w:line="360" w:lineRule="auto"/>
              <w:ind w:firstLine="461"/>
              <w:rPr>
                <w:rFonts w:ascii="宋体" w:eastAsia="宋体" w:hAnsi="宋体" w:hint="eastAsia"/>
              </w:rPr>
            </w:pPr>
            <w:r>
              <w:rPr>
                <w:rFonts w:ascii="宋体" w:eastAsia="宋体" w:hAnsi="宋体" w:hint="eastAsia"/>
              </w:rPr>
              <w:t>F5：家居生活馆</w:t>
            </w:r>
          </w:p>
        </w:tc>
        <w:tc>
          <w:tcPr>
            <w:tcW w:w="6794" w:type="dxa"/>
          </w:tcPr>
          <w:p>
            <w:pPr>
              <w:pStyle w:val="Normal0"/>
              <w:spacing w:line="360" w:lineRule="auto"/>
              <w:ind w:firstLine="461"/>
              <w:rPr>
                <w:rFonts w:ascii="宋体" w:eastAsia="宋体" w:hAnsi="宋体" w:hint="eastAsia"/>
              </w:rPr>
            </w:pPr>
            <w:r>
              <w:rPr>
                <w:rFonts w:ascii="宋体" w:eastAsia="宋体" w:hAnsi="宋体" w:hint="eastAsia"/>
              </w:rPr>
              <w:t>床上用品、工艺品、不锈钢制品、湘绣、电视购物、洗车饰品、瓷器</w:t>
            </w:r>
          </w:p>
        </w:tc>
      </w:tr>
    </w:tbl>
    <w:p>
      <w:pPr>
        <w:pStyle w:val="Normal0"/>
        <w:spacing w:line="360" w:lineRule="auto"/>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3.4．2各楼层品牌</w:t>
      </w: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7"/>
        <w:gridCol w:w="8011"/>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一楼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名牌手表：卡西欧、天王表、依波表、飞亚达、思兔、艾迪尔、吉盟</w:t>
            </w:r>
          </w:p>
          <w:p>
            <w:pPr>
              <w:pStyle w:val="Normal0"/>
              <w:spacing w:line="360" w:lineRule="auto"/>
              <w:ind w:firstLine="461"/>
              <w:rPr>
                <w:rFonts w:ascii="宋体" w:eastAsia="宋体" w:hAnsi="宋体" w:hint="eastAsia"/>
              </w:rPr>
            </w:pPr>
            <w:r>
              <w:rPr>
                <w:rFonts w:ascii="宋体" w:eastAsia="宋体" w:hAnsi="宋体" w:hint="eastAsia"/>
              </w:rPr>
              <w:t>化妆品品牌：玉兰油、郑明明、资生堂、雅芳、美宝莲、欧珀莱、卡资兰</w:t>
            </w:r>
          </w:p>
          <w:p>
            <w:pPr>
              <w:pStyle w:val="Normal0"/>
              <w:spacing w:line="360" w:lineRule="auto"/>
              <w:ind w:firstLine="461"/>
              <w:rPr>
                <w:rFonts w:ascii="宋体" w:eastAsia="宋体" w:hAnsi="宋体" w:hint="eastAsia"/>
              </w:rPr>
            </w:pPr>
            <w:r>
              <w:rPr>
                <w:rFonts w:ascii="宋体" w:eastAsia="宋体" w:hAnsi="宋体" w:hint="eastAsia"/>
              </w:rPr>
              <w:t>珠宝：周大福、六福、惠通玉器、银河之星、周生生</w:t>
            </w:r>
          </w:p>
          <w:p>
            <w:pPr>
              <w:pStyle w:val="Normal0"/>
              <w:spacing w:line="360" w:lineRule="auto"/>
              <w:ind w:firstLine="461"/>
              <w:rPr>
                <w:rFonts w:ascii="宋体" w:eastAsia="宋体" w:hAnsi="宋体" w:hint="eastAsia"/>
              </w:rPr>
            </w:pPr>
            <w:r>
              <w:rPr>
                <w:rFonts w:ascii="宋体" w:eastAsia="宋体" w:hAnsi="宋体" w:hint="eastAsia"/>
              </w:rPr>
              <w:t>皮具箱包：鳄鱼恤、米奇、金利来、万里马</w:t>
            </w:r>
          </w:p>
          <w:p>
            <w:pPr>
              <w:pStyle w:val="Normal0"/>
              <w:spacing w:line="360" w:lineRule="auto"/>
              <w:ind w:firstLine="461"/>
              <w:rPr>
                <w:rFonts w:ascii="宋体" w:eastAsia="宋体" w:hAnsi="宋体" w:hint="eastAsia"/>
              </w:rPr>
            </w:pPr>
            <w:r>
              <w:rPr>
                <w:rFonts w:ascii="宋体" w:eastAsia="宋体" w:hAnsi="宋体" w:hint="eastAsia"/>
              </w:rPr>
              <w:t>鞋类：冰女人、欢欢步履、星期六、贵之步、百丽、天意美</w:t>
            </w:r>
          </w:p>
        </w:tc>
      </w:tr>
      <w:tr>
        <w:tblPrEx>
          <w:tblW w:w="8928" w:type="dxa"/>
          <w:tblInd w:w="0" w:type="dxa"/>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二楼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衣装品牌：似水年华、康妮雅、秋鹿家居、芬怡、俪思、欧迪芬、唐朝、伊丝芬、贝拉维拉、SOGO、丽蓓卡、花花公子、LUDS、犁人坊、ETAM、、EVCODE、ANNZO等</w:t>
            </w:r>
          </w:p>
        </w:tc>
      </w:tr>
      <w:tr>
        <w:tblPrEx>
          <w:tblW w:w="8928" w:type="dxa"/>
          <w:tblInd w:w="0" w:type="dxa"/>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三楼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羊毛羊绒、袜子保暖、淑女馆（国内传统品牌）、针织内衣</w:t>
            </w:r>
          </w:p>
        </w:tc>
      </w:tr>
      <w:tr>
        <w:tblPrEx>
          <w:tblW w:w="8928" w:type="dxa"/>
          <w:tblInd w:w="0" w:type="dxa"/>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四楼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男装：鳄鱼恤、BOSS、CANUDILO、圣得西、卡尔丹顿、KS、绅浪、法梦迪尔、保罗、华伦天奴、梦特娇、中国虎、森达、桦鹰、红蜻蜓、耐克、CONVERSE</w:t>
            </w:r>
          </w:p>
        </w:tc>
      </w:tr>
      <w:tr>
        <w:tblPrEx>
          <w:tblW w:w="8928" w:type="dxa"/>
          <w:tblInd w:w="0" w:type="dxa"/>
          <w:tblCellMar>
            <w:top w:w="0" w:type="dxa"/>
            <w:left w:w="108" w:type="dxa"/>
            <w:bottom w:w="0" w:type="dxa"/>
            <w:right w:w="108" w:type="dxa"/>
          </w:tblCellMar>
        </w:tblPrEx>
        <w:tc>
          <w:tcPr>
            <w:tcW w:w="828" w:type="dxa"/>
          </w:tcPr>
          <w:p>
            <w:pPr>
              <w:pStyle w:val="Normal0"/>
              <w:spacing w:line="360" w:lineRule="auto"/>
              <w:ind w:firstLine="461"/>
              <w:rPr>
                <w:rFonts w:ascii="宋体" w:eastAsia="宋体" w:hAnsi="宋体" w:hint="eastAsia"/>
              </w:rPr>
            </w:pPr>
            <w:r>
              <w:rPr>
                <w:rFonts w:ascii="宋体" w:eastAsia="宋体" w:hAnsi="宋体" w:hint="eastAsia"/>
              </w:rPr>
              <w:t>五楼</w:t>
            </w:r>
          </w:p>
        </w:tc>
        <w:tc>
          <w:tcPr>
            <w:tcW w:w="8100" w:type="dxa"/>
          </w:tcPr>
          <w:p>
            <w:pPr>
              <w:pStyle w:val="Normal0"/>
              <w:spacing w:line="360" w:lineRule="auto"/>
              <w:ind w:firstLine="461"/>
              <w:rPr>
                <w:rFonts w:ascii="宋体" w:eastAsia="宋体" w:hAnsi="宋体" w:hint="eastAsia"/>
              </w:rPr>
            </w:pPr>
            <w:r>
              <w:rPr>
                <w:rFonts w:ascii="宋体" w:eastAsia="宋体" w:hAnsi="宋体" w:hint="eastAsia"/>
              </w:rPr>
              <w:t>梦洁、多喜爱、晚安、名针家饰家纺</w:t>
            </w:r>
          </w:p>
        </w:tc>
      </w:tr>
    </w:tbl>
    <w:p>
      <w:pPr>
        <w:pStyle w:val="Normal0"/>
        <w:spacing w:line="360" w:lineRule="auto"/>
        <w:rPr>
          <w:rFonts w:ascii="宋体" w:eastAsia="宋体" w:hAnsi="宋体" w:hint="eastAsia"/>
          <w:b/>
        </w:rPr>
      </w:pPr>
      <w:r>
        <w:rPr>
          <w:rFonts w:ascii="宋体" w:eastAsia="宋体" w:hAnsi="宋体" w:hint="eastAsia"/>
          <w:b/>
        </w:rPr>
        <w:t>3.4．3分析：</w:t>
      </w:r>
    </w:p>
    <w:p>
      <w:pPr>
        <w:pStyle w:val="Normal0"/>
        <w:numPr>
          <w:ilvl w:val="0"/>
          <w:numId w:val="12"/>
        </w:numPr>
        <w:spacing w:line="360" w:lineRule="auto"/>
        <w:jc w:val="both"/>
        <w:rPr>
          <w:rFonts w:ascii="宋体" w:eastAsia="宋体" w:hAnsi="宋体" w:hint="eastAsia"/>
        </w:rPr>
        <w:sectPr>
          <w:headerReference w:type="default" r:id="rId33"/>
          <w:footerReference w:type="default" r:id="rId34"/>
          <w:type w:val="nextPage"/>
          <w:pgSz w:w="11906" w:h="16838"/>
          <w:pgMar w:top="539" w:right="926" w:bottom="1440" w:left="1800" w:header="495" w:footer="992" w:gutter="0"/>
          <w:pgNumType w:start="15"/>
          <w:cols w:num="1" w:space="425"/>
          <w:titlePg w:val="0"/>
          <w:docGrid w:type="lines" w:linePitch="360" w:charSpace="0"/>
        </w:sectPr>
      </w:pPr>
    </w:p>
    <w:p>
      <w:pPr>
        <w:pStyle w:val="Normal0"/>
        <w:numPr>
          <w:ilvl w:val="0"/>
          <w:numId w:val="0"/>
        </w:numPr>
        <w:spacing w:line="360" w:lineRule="auto"/>
        <w:ind w:left="839"/>
        <w:jc w:val="both"/>
        <w:rPr>
          <w:rFonts w:ascii="宋体" w:eastAsia="宋体" w:hAnsi="宋体" w:hint="eastAsia"/>
        </w:rPr>
      </w:pPr>
      <w:r>
        <w:rPr>
          <w:rFonts w:ascii="宋体" w:eastAsia="宋体" w:hAnsi="宋体" w:hint="eastAsia"/>
        </w:rPr>
        <w:t>春天百货占据着解放路的中心地段，与对面的平和堂、铜锣湾、王府井成四方呼应之势，并与平和堂一起构筑了早期的五一路商圈。</w:t>
      </w:r>
    </w:p>
    <w:p>
      <w:pPr>
        <w:pStyle w:val="Normal0"/>
        <w:numPr>
          <w:ilvl w:val="0"/>
          <w:numId w:val="2"/>
        </w:numPr>
        <w:spacing w:line="360" w:lineRule="auto"/>
        <w:jc w:val="both"/>
        <w:rPr>
          <w:rFonts w:ascii="宋体" w:eastAsia="宋体" w:hAnsi="宋体" w:hint="eastAsia"/>
        </w:rPr>
      </w:pPr>
      <w:r>
        <w:rPr>
          <w:rFonts w:ascii="宋体" w:eastAsia="宋体" w:hAnsi="宋体" w:hint="eastAsia"/>
        </w:rPr>
        <w:t>与平和堂商厦相似的是，作为老牌商厦的春天百货，无论是建筑形象还是内部人流的规划，都达不到目前百货商场的要求。</w:t>
      </w:r>
    </w:p>
    <w:p>
      <w:pPr>
        <w:pStyle w:val="Normal0"/>
        <w:numPr>
          <w:ilvl w:val="0"/>
          <w:numId w:val="2"/>
        </w:numPr>
        <w:spacing w:line="360" w:lineRule="auto"/>
        <w:jc w:val="both"/>
        <w:rPr>
          <w:rFonts w:ascii="宋体" w:eastAsia="宋体" w:hAnsi="宋体" w:hint="eastAsia"/>
        </w:rPr>
      </w:pPr>
      <w:r>
        <w:rPr>
          <w:rFonts w:ascii="宋体" w:eastAsia="宋体" w:hAnsi="宋体" w:hint="eastAsia"/>
        </w:rPr>
        <w:t>春天百货以传统百货为主，引进品牌多为二、三线品牌，已无法满足现代的长沙市民的消费需求。所以相比于其他几个商场，无论从人流量还是成交购买率，都无法与作为新兴商业的五府井百货相比；而相对于几年前它自身的商业消费境遇亦不可同日而语。</w:t>
      </w:r>
    </w:p>
    <w:p>
      <w:pPr>
        <w:pStyle w:val="Normal0"/>
        <w:numPr>
          <w:ilvl w:val="0"/>
          <w:numId w:val="2"/>
        </w:numPr>
        <w:spacing w:line="360" w:lineRule="auto"/>
        <w:jc w:val="both"/>
        <w:rPr>
          <w:rFonts w:ascii="宋体" w:eastAsia="宋体" w:hAnsi="宋体" w:hint="eastAsia"/>
        </w:rPr>
      </w:pPr>
      <w:r>
        <w:rPr>
          <w:rFonts w:ascii="宋体" w:eastAsia="宋体" w:hAnsi="宋体" w:hint="eastAsia"/>
        </w:rPr>
        <w:t>与平和堂、王府井百货等相比，春天百货的营业面积最小、硬件设施最差，在竞争中处于劣势。在这种情况下，春天百货进行市场细分实行错位经营，重新定位为“以女性用品经营为中心的主题百货店”，其服装经营多主打时尚、流行牌，弃如流行运动用品、男式休闲装等品类的经营，专门经营成熟女性服装、职业女装。以市场细分抢夺市场份额，并取得了初步成效。</w:t>
      </w:r>
    </w:p>
    <w:p>
      <w:pPr>
        <w:pStyle w:val="Normal0"/>
        <w:spacing w:line="360" w:lineRule="auto"/>
        <w:ind w:left="479"/>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3.5新大新</w:t>
      </w:r>
    </w:p>
    <w:p>
      <w:pPr>
        <w:pStyle w:val="Normal0"/>
        <w:spacing w:line="360" w:lineRule="auto"/>
        <w:ind w:firstLine="353" w:firstLineChars="147"/>
        <w:rPr>
          <w:rFonts w:ascii="宋体" w:eastAsia="宋体" w:hAnsi="宋体" w:hint="eastAsia"/>
          <w:b/>
        </w:rPr>
      </w:pPr>
      <w:r>
        <w:rPr>
          <w:rFonts w:ascii="宋体" w:eastAsia="宋体" w:hAnsi="宋体" w:hint="eastAsia"/>
          <w:b/>
        </w:rPr>
        <w:t>3.5．1各楼层业种分布</w:t>
      </w:r>
    </w:p>
    <w:tbl>
      <w:tblPr>
        <w:tblStyle w:val="TableNormal"/>
        <w:tblW w:w="8500" w:type="dxa"/>
        <w:tblInd w:w="0" w:type="dxa"/>
        <w:tblCellMar>
          <w:top w:w="0" w:type="dxa"/>
          <w:left w:w="108" w:type="dxa"/>
          <w:bottom w:w="0" w:type="dxa"/>
          <w:right w:w="108" w:type="dxa"/>
        </w:tblCellMar>
      </w:tblPr>
      <w:tblGrid>
        <w:gridCol w:w="1040"/>
        <w:gridCol w:w="7460"/>
      </w:tblGrid>
      <w:tr>
        <w:tblPrEx>
          <w:tblW w:w="8500" w:type="dxa"/>
          <w:tblInd w:w="0" w:type="dxa"/>
          <w:tblCellMar>
            <w:top w:w="0" w:type="dxa"/>
            <w:left w:w="108" w:type="dxa"/>
            <w:bottom w:w="0" w:type="dxa"/>
            <w:right w:w="108" w:type="dxa"/>
          </w:tblCellMar>
        </w:tblPrEx>
        <w:trPr>
          <w:trHeight w:val="285"/>
        </w:trPr>
        <w:tc>
          <w:tcPr>
            <w:tcW w:w="1040" w:type="dxa"/>
            <w:tcBorders>
              <w:top w:val="single" w:sz="4" w:space="0" w:color="auto"/>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1F</w:t>
            </w:r>
          </w:p>
        </w:tc>
        <w:tc>
          <w:tcPr>
            <w:tcW w:w="7460" w:type="dxa"/>
            <w:tcBorders>
              <w:top w:val="single" w:sz="4" w:space="0" w:color="auto"/>
              <w:left w:val="nil"/>
              <w:bottom w:val="nil"/>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运动休闲服饰</w:t>
            </w:r>
          </w:p>
        </w:tc>
      </w:tr>
      <w:tr>
        <w:tblPrEx>
          <w:tblW w:w="8500" w:type="dxa"/>
          <w:tblInd w:w="0"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2F</w:t>
            </w:r>
          </w:p>
        </w:tc>
        <w:tc>
          <w:tcPr>
            <w:tcW w:w="7460" w:type="dxa"/>
            <w:tcBorders>
              <w:top w:val="single" w:sz="4" w:space="0" w:color="auto"/>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权金城韩国料理/麦当劳/美体中心</w:t>
            </w:r>
          </w:p>
        </w:tc>
      </w:tr>
      <w:tr>
        <w:tblPrEx>
          <w:tblW w:w="8500" w:type="dxa"/>
          <w:tblInd w:w="0"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3F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kern w:val="0"/>
              </w:rPr>
            </w:pPr>
            <w:r>
              <w:rPr>
                <w:rFonts w:ascii="宋体" w:eastAsia="宋体" w:hAnsi="宋体" w:cs="宋体" w:hint="eastAsia"/>
                <w:kern w:val="0"/>
              </w:rPr>
              <w:t>运动器械/韩国餐厅</w:t>
            </w:r>
          </w:p>
        </w:tc>
      </w:tr>
      <w:tr>
        <w:tblPrEx>
          <w:tblW w:w="8500" w:type="dxa"/>
          <w:tblInd w:w="0" w:type="dxa"/>
          <w:tblCellMar>
            <w:top w:w="0" w:type="dxa"/>
            <w:left w:w="108" w:type="dxa"/>
            <w:bottom w:w="0" w:type="dxa"/>
            <w:right w:w="108" w:type="dxa"/>
          </w:tblCellMar>
        </w:tblPrEx>
        <w:trPr>
          <w:trHeight w:val="285"/>
        </w:trPr>
        <w:tc>
          <w:tcPr>
            <w:tcW w:w="1040" w:type="dxa"/>
            <w:tcBorders>
              <w:top w:val="nil"/>
              <w:left w:val="single" w:sz="4" w:space="0" w:color="auto"/>
              <w:bottom w:val="single" w:sz="4" w:space="0" w:color="auto"/>
              <w:right w:val="single" w:sz="4" w:space="0" w:color="auto"/>
            </w:tcBorders>
            <w:noWrap/>
            <w:vAlign w:val="center"/>
          </w:tcPr>
          <w:p>
            <w:pPr>
              <w:pStyle w:val="Normal0"/>
              <w:widowControl/>
              <w:spacing w:line="360" w:lineRule="auto"/>
              <w:jc w:val="center"/>
              <w:rPr>
                <w:rFonts w:ascii="宋体" w:eastAsia="宋体" w:hAnsi="宋体" w:cs="宋体" w:hint="eastAsia"/>
                <w:kern w:val="0"/>
              </w:rPr>
            </w:pPr>
            <w:r>
              <w:rPr>
                <w:rFonts w:ascii="宋体" w:eastAsia="宋体" w:hAnsi="宋体" w:cs="宋体" w:hint="eastAsia"/>
                <w:kern w:val="0"/>
              </w:rPr>
              <w:t>4F</w:t>
            </w:r>
          </w:p>
        </w:tc>
        <w:tc>
          <w:tcPr>
            <w:tcW w:w="7460" w:type="dxa"/>
            <w:tcBorders>
              <w:top w:val="nil"/>
              <w:left w:val="nil"/>
              <w:bottom w:val="single" w:sz="4" w:space="0" w:color="auto"/>
              <w:right w:val="single" w:sz="4" w:space="0" w:color="auto"/>
            </w:tcBorders>
            <w:noWrap/>
            <w:vAlign w:val="center"/>
          </w:tcPr>
          <w:p>
            <w:pPr>
              <w:pStyle w:val="Normal0"/>
              <w:widowControl/>
              <w:spacing w:line="360" w:lineRule="auto"/>
              <w:rPr>
                <w:rFonts w:ascii="宋体" w:eastAsia="宋体" w:hAnsi="宋体" w:cs="宋体" w:hint="eastAsia"/>
                <w:b/>
                <w:kern w:val="0"/>
              </w:rPr>
            </w:pPr>
            <w:r>
              <w:rPr>
                <w:rFonts w:ascii="宋体" w:eastAsia="宋体" w:hAnsi="宋体" w:cs="宋体" w:hint="eastAsia"/>
                <w:b/>
                <w:kern w:val="0"/>
              </w:rPr>
              <w:t>整层招商</w:t>
            </w:r>
          </w:p>
        </w:tc>
      </w:tr>
    </w:tbl>
    <w:p>
      <w:pPr>
        <w:pStyle w:val="Normal0"/>
        <w:spacing w:line="360" w:lineRule="auto"/>
        <w:ind w:left="941" w:hanging="941" w:hangingChars="392"/>
        <w:rPr>
          <w:rFonts w:ascii="宋体" w:eastAsia="宋体" w:hAnsi="宋体" w:hint="eastAsia"/>
          <w:b/>
        </w:rPr>
      </w:pPr>
    </w:p>
    <w:p>
      <w:pPr>
        <w:pStyle w:val="Normal0"/>
        <w:spacing w:line="360" w:lineRule="auto"/>
        <w:ind w:left="937" w:hanging="698" w:leftChars="114" w:hangingChars="291"/>
        <w:rPr>
          <w:rFonts w:ascii="宋体" w:eastAsia="宋体" w:hAnsi="宋体" w:hint="eastAsia"/>
          <w:b/>
        </w:rPr>
      </w:pPr>
      <w:r>
        <w:rPr>
          <w:rFonts w:ascii="宋体" w:eastAsia="宋体" w:hAnsi="宋体" w:hint="eastAsia"/>
          <w:b/>
        </w:rPr>
        <w:t>3.5．2分析</w:t>
      </w:r>
    </w:p>
    <w:p>
      <w:pPr>
        <w:pStyle w:val="Normal0"/>
        <w:spacing w:line="360" w:lineRule="auto"/>
        <w:ind w:left="861" w:hanging="216" w:leftChars="307" w:hangingChars="90"/>
        <w:rPr>
          <w:rFonts w:ascii="宋体" w:eastAsia="宋体" w:hAnsi="宋体" w:hint="eastAsia"/>
        </w:rPr>
      </w:pPr>
      <w:r>
        <w:rPr>
          <w:rFonts w:ascii="宋体" w:eastAsia="宋体" w:hAnsi="宋体" w:hint="eastAsia"/>
        </w:rPr>
        <w:t>1.新大新位于一级商圈的次商圈，距黄兴路商圈1.5公里。五一路/黄兴路口的环形立交桥阻碍了黄兴路商圈的人流量，商场前方开阔的五一广场将黄兴路上由北向南的人流量分散开了，无法将黄兴路商圈的人流量聚集到新大新来。</w:t>
      </w:r>
    </w:p>
    <w:p>
      <w:pPr>
        <w:pStyle w:val="Normal0"/>
        <w:spacing w:line="360" w:lineRule="auto"/>
        <w:ind w:left="941" w:hanging="941" w:hangingChars="392"/>
        <w:rPr>
          <w:rFonts w:ascii="宋体" w:eastAsia="宋体" w:hAnsi="宋体" w:hint="eastAsia"/>
        </w:rPr>
        <w:sectPr>
          <w:headerReference w:type="default" r:id="rId35"/>
          <w:footerReference w:type="default" r:id="rId36"/>
          <w:type w:val="nextPage"/>
          <w:pgSz w:w="11906" w:h="16838"/>
          <w:pgMar w:top="539" w:right="926" w:bottom="1440" w:left="1800" w:header="495" w:footer="992" w:gutter="0"/>
          <w:pgNumType w:start="16"/>
          <w:cols w:num="1" w:space="425"/>
          <w:titlePg w:val="0"/>
          <w:docGrid w:type="lines" w:linePitch="360" w:charSpace="0"/>
        </w:sectPr>
      </w:pPr>
      <w:r>
        <w:rPr>
          <w:rFonts w:ascii="宋体" w:eastAsia="宋体" w:hAnsi="宋体" w:hint="eastAsia"/>
          <w:b/>
        </w:rPr>
        <w:t>　　　</w:t>
      </w:r>
    </w:p>
    <w:p>
      <w:pPr>
        <w:pStyle w:val="Normal0"/>
        <w:spacing w:line="360" w:lineRule="auto"/>
        <w:ind w:left="941" w:hanging="941" w:hangingChars="392"/>
        <w:rPr>
          <w:rFonts w:ascii="宋体" w:eastAsia="宋体" w:hAnsi="宋体" w:hint="eastAsia"/>
        </w:rPr>
      </w:pPr>
      <w:r>
        <w:rPr>
          <w:rFonts w:ascii="宋体" w:eastAsia="宋体" w:hAnsi="宋体" w:hint="eastAsia"/>
        </w:rPr>
        <w:t>2.新大新隔壁的铜锣湾一期已销售完毕，二期11月中旬即将推出销售，但现在开发商通知将后期的经营</w:t>
      </w:r>
      <w:r>
        <w:rPr>
          <w:rFonts w:ascii="宋体" w:eastAsia="宋体" w:hAnsi="宋体" w:hint="eastAsia"/>
          <w:lang w:eastAsia="zh-CN"/>
        </w:rPr>
        <w:t>管理管控</w:t>
      </w:r>
      <w:r>
        <w:rPr>
          <w:rFonts w:ascii="宋体" w:eastAsia="宋体" w:hAnsi="宋体" w:hint="eastAsia"/>
        </w:rPr>
        <w:t>方由铜锣湾改成上海百联，其商业主题尚未确定，随着其将来的开业必将会对新大新带来新的市场空间。</w:t>
      </w:r>
    </w:p>
    <w:p>
      <w:pPr>
        <w:pStyle w:val="Normal0"/>
        <w:spacing w:line="360" w:lineRule="auto"/>
        <w:ind w:left="851" w:hanging="120" w:leftChars="348" w:hangingChars="50"/>
        <w:rPr>
          <w:rFonts w:ascii="宋体" w:eastAsia="宋体" w:hAnsi="宋体" w:hint="eastAsia"/>
        </w:rPr>
      </w:pPr>
      <w:r>
        <w:rPr>
          <w:rFonts w:ascii="宋体" w:eastAsia="宋体" w:hAnsi="宋体" w:hint="eastAsia"/>
        </w:rPr>
        <w:t>3.4F正在整层招商，整个商场只有一个主入口，商场内动线紊乱，光线昏暗，经营品牌定位零乱。鉴于目前的现状，本商场的兴旺有待时日。</w:t>
      </w:r>
    </w:p>
    <w:p>
      <w:pPr>
        <w:pStyle w:val="Normal0"/>
        <w:spacing w:line="360" w:lineRule="auto"/>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3.6我们的机会与对策</w:t>
      </w:r>
    </w:p>
    <w:p>
      <w:pPr>
        <w:pStyle w:val="Normal0"/>
        <w:spacing w:line="360" w:lineRule="auto"/>
        <w:ind w:left="958" w:hanging="360" w:leftChars="285" w:hangingChars="150"/>
        <w:rPr>
          <w:rFonts w:ascii="宋体" w:eastAsia="宋体" w:hAnsi="宋体" w:hint="eastAsia"/>
          <w:b/>
        </w:rPr>
      </w:pPr>
      <w:r>
        <w:rPr>
          <w:rFonts w:ascii="宋体" w:eastAsia="宋体" w:hAnsi="宋体" w:hint="eastAsia"/>
          <w:b/>
        </w:rPr>
        <w:t>1、目前长沙已进入品牌消费时代，而以平和堂商厦、春天百货甚至王府井百货等在内的商业物业，在引领品牌商业潮流的同时，对准的是大众品牌消费人群及少量的较高档消费市场，已无法满足日益增长的品牌消费者的强烈需求。无疑，这给了本</w:t>
      </w:r>
      <w:r>
        <w:rPr>
          <w:rFonts w:ascii="宋体" w:eastAsia="宋体" w:hAnsi="宋体" w:hint="eastAsia"/>
          <w:b/>
          <w:lang w:eastAsia="zh-CN"/>
        </w:rPr>
        <w:t>相关项目</w:t>
      </w:r>
      <w:r>
        <w:rPr>
          <w:rFonts w:ascii="宋体" w:eastAsia="宋体" w:hAnsi="宋体" w:hint="eastAsia"/>
          <w:b/>
        </w:rPr>
        <w:t>以市场空缺。</w:t>
      </w:r>
    </w:p>
    <w:p>
      <w:pPr>
        <w:pStyle w:val="Normal0"/>
        <w:spacing w:line="360" w:lineRule="auto"/>
        <w:ind w:left="958" w:hanging="360" w:leftChars="285" w:hangingChars="150"/>
        <w:rPr>
          <w:rFonts w:ascii="宋体" w:eastAsia="宋体" w:hAnsi="宋体" w:hint="eastAsia"/>
          <w:b/>
        </w:rPr>
      </w:pPr>
      <w:r>
        <w:rPr>
          <w:rFonts w:ascii="宋体" w:eastAsia="宋体" w:hAnsi="宋体" w:hint="eastAsia"/>
          <w:b/>
        </w:rPr>
        <w:t>2、五一路商圈作为长沙的传统商业与交通中心，是长沙的“商业权威”，经过数年发展，已积累了精稳的区域品牌认同，五一路从来就是长沙品牌的象征，但是，随着长沙消费能力的增强及对品牌更高层次的追求，五一路“品牌老大”的地位将受到冲击，五一路商圈急需一个“品牌地标”。</w:t>
      </w:r>
    </w:p>
    <w:p>
      <w:pPr>
        <w:pStyle w:val="Normal0"/>
        <w:spacing w:line="360" w:lineRule="auto"/>
        <w:ind w:left="958" w:hanging="360" w:leftChars="285" w:hangingChars="150"/>
        <w:rPr>
          <w:rFonts w:ascii="宋体" w:eastAsia="宋体" w:hAnsi="宋体" w:hint="eastAsia"/>
          <w:b/>
        </w:rPr>
      </w:pPr>
      <w:r>
        <w:rPr>
          <w:rFonts w:ascii="宋体" w:eastAsia="宋体" w:hAnsi="宋体" w:hint="eastAsia"/>
          <w:b/>
        </w:rPr>
        <w:t>3、综合对以上商场内品牌消费人群的观察，多为有国产老品牌情结的中老年消费者根据对这一商圈的综合统计分析，这一市场目前长沙已然饱和，很多对国际品牌有需求的消费者却全部被分流，由此可见，五一路商圈目前缺乏一个能满足品牌需求的集中场所。</w:t>
      </w:r>
    </w:p>
    <w:p>
      <w:pPr>
        <w:pStyle w:val="Normal0"/>
        <w:spacing w:line="360" w:lineRule="auto"/>
        <w:ind w:left="958" w:hanging="360" w:leftChars="285" w:hangingChars="150"/>
        <w:rPr>
          <w:rFonts w:ascii="宋体" w:eastAsia="宋体" w:hAnsi="宋体" w:hint="eastAsia"/>
          <w:b/>
        </w:rPr>
      </w:pPr>
      <w:r>
        <w:rPr>
          <w:rFonts w:ascii="宋体" w:eastAsia="宋体" w:hAnsi="宋体" w:hint="eastAsia"/>
          <w:b/>
        </w:rPr>
        <w:t>4、当竞争加剧，市场必然进入调整与细分，经过数年的百货业竞争，长沙的消费市场已步入“市场细分”时代，各种商业以“主题经营”打破同质竞争，实施错位经营。</w:t>
      </w:r>
    </w:p>
    <w:p>
      <w:pPr>
        <w:pStyle w:val="Normal0"/>
        <w:spacing w:line="360" w:lineRule="auto"/>
        <w:ind w:left="958" w:hanging="360" w:leftChars="285" w:hangingChars="150"/>
        <w:rPr>
          <w:rFonts w:ascii="宋体" w:eastAsia="宋体" w:hAnsi="宋体" w:hint="eastAsia"/>
          <w:b/>
        </w:rPr>
      </w:pPr>
      <w:r>
        <w:rPr>
          <w:rFonts w:ascii="宋体" w:eastAsia="宋体" w:hAnsi="宋体" w:hint="eastAsia"/>
          <w:b/>
        </w:rPr>
        <w:t>5、有空缺就有市场，有市场即有机遇，本案的竞争</w:t>
      </w:r>
      <w:r>
        <w:rPr>
          <w:rFonts w:ascii="宋体" w:eastAsia="宋体" w:hAnsi="宋体" w:hint="eastAsia"/>
          <w:b/>
          <w:lang w:eastAsia="zh-CN"/>
        </w:rPr>
        <w:t>相关项目</w:t>
      </w:r>
      <w:r>
        <w:rPr>
          <w:rFonts w:ascii="宋体" w:eastAsia="宋体" w:hAnsi="宋体" w:hint="eastAsia"/>
          <w:b/>
        </w:rPr>
        <w:t>现状及经营方向直接指导着本</w:t>
      </w:r>
      <w:r>
        <w:rPr>
          <w:rFonts w:ascii="宋体" w:eastAsia="宋体" w:hAnsi="宋体" w:hint="eastAsia"/>
          <w:b/>
          <w:lang w:eastAsia="zh-CN"/>
        </w:rPr>
        <w:t>相关项目</w:t>
      </w:r>
      <w:r>
        <w:rPr>
          <w:rFonts w:ascii="宋体" w:eastAsia="宋体" w:hAnsi="宋体" w:hint="eastAsia"/>
          <w:b/>
        </w:rPr>
        <w:t>的定位方向。</w:t>
      </w:r>
    </w:p>
    <w:p>
      <w:pPr>
        <w:pStyle w:val="Normal0"/>
        <w:spacing w:line="360" w:lineRule="auto"/>
        <w:rPr>
          <w:rFonts w:ascii="宋体" w:eastAsia="宋体" w:hAnsi="宋体" w:hint="eastAsia"/>
        </w:rPr>
      </w:pPr>
    </w:p>
    <w:p>
      <w:pPr>
        <w:pStyle w:val="Normal0"/>
        <w:spacing w:line="360" w:lineRule="auto"/>
        <w:rPr>
          <w:rFonts w:ascii="宋体" w:eastAsia="宋体" w:hAnsi="宋体" w:hint="eastAsia"/>
        </w:rPr>
        <w:sectPr>
          <w:headerReference w:type="default" r:id="rId37"/>
          <w:footerReference w:type="default" r:id="rId38"/>
          <w:type w:val="nextPage"/>
          <w:pgSz w:w="11906" w:h="16838"/>
          <w:pgMar w:top="539" w:right="926" w:bottom="1440" w:left="1800" w:header="495" w:footer="992" w:gutter="0"/>
          <w:pgNumType w:start="17"/>
          <w:cols w:num="1" w:space="425"/>
          <w:titlePg w:val="0"/>
          <w:docGrid w:type="lines" w:linePitch="360" w:charSpace="0"/>
        </w:sectPr>
      </w:pPr>
    </w:p>
    <w:p>
      <w:pPr>
        <w:pStyle w:val="Normal0"/>
        <w:spacing w:line="360" w:lineRule="auto"/>
        <w:rPr>
          <w:rFonts w:ascii="宋体" w:eastAsia="宋体" w:hAnsi="宋体" w:hint="eastAsia"/>
          <w:b/>
        </w:rPr>
      </w:pPr>
      <w:r>
        <w:rPr>
          <w:rFonts w:ascii="宋体" w:eastAsia="宋体" w:hAnsi="宋体" w:hint="eastAsia"/>
          <w:b/>
        </w:rPr>
        <w:t>四、主要商业</w:t>
      </w:r>
      <w:r>
        <w:rPr>
          <w:rFonts w:ascii="宋体" w:eastAsia="宋体" w:hAnsi="宋体" w:hint="eastAsia"/>
          <w:b/>
          <w:lang w:eastAsia="zh-CN"/>
        </w:rPr>
        <w:t>相关项目</w:t>
      </w:r>
      <w:r>
        <w:rPr>
          <w:rFonts w:ascii="宋体" w:eastAsia="宋体" w:hAnsi="宋体" w:hint="eastAsia"/>
          <w:b/>
        </w:rPr>
        <w:t>租金、售价情况分析</w:t>
      </w:r>
    </w:p>
    <w:p>
      <w:pPr>
        <w:pStyle w:val="Normal0"/>
        <w:spacing w:line="360" w:lineRule="auto"/>
        <w:ind w:firstLine="235" w:firstLineChars="98"/>
        <w:rPr>
          <w:rFonts w:ascii="宋体" w:eastAsia="宋体" w:hAnsi="宋体" w:hint="eastAsia"/>
          <w:b/>
        </w:rPr>
      </w:pPr>
      <w:r>
        <w:rPr>
          <w:rFonts w:ascii="宋体" w:eastAsia="宋体" w:hAnsi="宋体" w:hint="eastAsia"/>
          <w:b/>
        </w:rPr>
        <w:t>2.4.1市场租金情况</w:t>
      </w:r>
    </w:p>
    <w:tbl>
      <w:tblPr>
        <w:tblStyle w:val="TableNormal"/>
        <w:tblW w:w="8725"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316"/>
        <w:gridCol w:w="2404"/>
        <w:gridCol w:w="1868"/>
        <w:gridCol w:w="2137"/>
      </w:tblGrid>
      <w:tr>
        <w:tblPrEx>
          <w:tblW w:w="8725"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名称</w:t>
            </w:r>
          </w:p>
        </w:tc>
        <w:tc>
          <w:tcPr>
            <w:tcW w:w="2404"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租金</w:t>
            </w:r>
          </w:p>
          <w:p>
            <w:pPr>
              <w:pStyle w:val="Normal0"/>
              <w:spacing w:line="360" w:lineRule="auto"/>
              <w:ind w:firstLine="461"/>
              <w:jc w:val="center"/>
              <w:rPr>
                <w:rFonts w:ascii="宋体" w:eastAsia="宋体" w:hAnsi="宋体" w:hint="eastAsia"/>
                <w:b/>
              </w:rPr>
            </w:pPr>
            <w:r>
              <w:rPr>
                <w:rFonts w:ascii="宋体" w:eastAsia="宋体" w:hAnsi="宋体" w:hint="eastAsia"/>
                <w:b/>
              </w:rPr>
              <w:t>（元/平方米/天）</w:t>
            </w:r>
          </w:p>
        </w:tc>
        <w:tc>
          <w:tcPr>
            <w:tcW w:w="1868"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平均租金</w:t>
            </w:r>
          </w:p>
          <w:p>
            <w:pPr>
              <w:pStyle w:val="Normal0"/>
              <w:spacing w:line="360" w:lineRule="auto"/>
              <w:ind w:firstLine="461"/>
              <w:jc w:val="center"/>
              <w:rPr>
                <w:rFonts w:ascii="宋体" w:eastAsia="宋体" w:hAnsi="宋体" w:hint="eastAsia"/>
                <w:b/>
              </w:rPr>
            </w:pPr>
            <w:r>
              <w:rPr>
                <w:rFonts w:ascii="宋体" w:eastAsia="宋体" w:hAnsi="宋体" w:hint="eastAsia"/>
                <w:b/>
              </w:rPr>
              <w:t>（元/平方米/天）</w:t>
            </w:r>
          </w:p>
        </w:tc>
        <w:tc>
          <w:tcPr>
            <w:tcW w:w="2137"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备注</w:t>
            </w:r>
          </w:p>
        </w:tc>
      </w:tr>
      <w:tr>
        <w:tblPrEx>
          <w:tblW w:w="8725"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黄兴路商业步行街</w:t>
            </w:r>
          </w:p>
        </w:tc>
        <w:tc>
          <w:tcPr>
            <w:tcW w:w="2404"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1F：15</w:t>
            </w:r>
          </w:p>
          <w:p>
            <w:pPr>
              <w:pStyle w:val="Normal0"/>
              <w:spacing w:line="360" w:lineRule="auto"/>
              <w:ind w:firstLine="461"/>
              <w:jc w:val="center"/>
              <w:rPr>
                <w:rFonts w:ascii="宋体" w:eastAsia="宋体" w:hAnsi="宋体" w:hint="eastAsia"/>
              </w:rPr>
            </w:pPr>
            <w:r>
              <w:rPr>
                <w:rFonts w:ascii="宋体" w:eastAsia="宋体" w:hAnsi="宋体" w:hint="eastAsia"/>
              </w:rPr>
              <w:t>2F：9</w:t>
            </w:r>
          </w:p>
          <w:p>
            <w:pPr>
              <w:pStyle w:val="Normal0"/>
              <w:spacing w:line="360" w:lineRule="auto"/>
              <w:ind w:firstLine="461"/>
              <w:jc w:val="center"/>
              <w:rPr>
                <w:rFonts w:ascii="宋体" w:eastAsia="宋体" w:hAnsi="宋体" w:hint="eastAsia"/>
              </w:rPr>
            </w:pPr>
            <w:r>
              <w:rPr>
                <w:rFonts w:ascii="宋体" w:eastAsia="宋体" w:hAnsi="宋体" w:hint="eastAsia"/>
              </w:rPr>
              <w:t>3F：5</w:t>
            </w:r>
          </w:p>
        </w:tc>
        <w:tc>
          <w:tcPr>
            <w:tcW w:w="186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9.7</w:t>
            </w:r>
          </w:p>
        </w:tc>
        <w:tc>
          <w:tcPr>
            <w:tcW w:w="2137" w:type="dxa"/>
            <w:vAlign w:val="center"/>
          </w:tcPr>
          <w:p>
            <w:pPr>
              <w:pStyle w:val="Normal0"/>
              <w:spacing w:line="360" w:lineRule="auto"/>
              <w:ind w:firstLine="461"/>
              <w:jc w:val="center"/>
              <w:rPr>
                <w:rFonts w:ascii="宋体" w:eastAsia="宋体" w:hAnsi="宋体" w:hint="eastAsia"/>
              </w:rPr>
            </w:pPr>
          </w:p>
        </w:tc>
      </w:tr>
      <w:tr>
        <w:tblPrEx>
          <w:tblW w:w="8725"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王府井商业广场</w:t>
            </w:r>
          </w:p>
        </w:tc>
        <w:tc>
          <w:tcPr>
            <w:tcW w:w="2404"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1F：10</w:t>
            </w:r>
          </w:p>
          <w:p>
            <w:pPr>
              <w:pStyle w:val="Normal0"/>
              <w:spacing w:line="360" w:lineRule="auto"/>
              <w:ind w:firstLine="461"/>
              <w:jc w:val="center"/>
              <w:rPr>
                <w:rFonts w:ascii="宋体" w:eastAsia="宋体" w:hAnsi="宋体" w:hint="eastAsia"/>
              </w:rPr>
            </w:pPr>
            <w:r>
              <w:rPr>
                <w:rFonts w:ascii="宋体" w:eastAsia="宋体" w:hAnsi="宋体" w:hint="eastAsia"/>
              </w:rPr>
              <w:t>2F：6.6</w:t>
            </w:r>
          </w:p>
          <w:p>
            <w:pPr>
              <w:pStyle w:val="Normal0"/>
              <w:spacing w:line="360" w:lineRule="auto"/>
              <w:ind w:firstLine="461"/>
              <w:jc w:val="center"/>
              <w:rPr>
                <w:rFonts w:ascii="宋体" w:eastAsia="宋体" w:hAnsi="宋体" w:hint="eastAsia"/>
              </w:rPr>
            </w:pPr>
            <w:r>
              <w:rPr>
                <w:rFonts w:ascii="宋体" w:eastAsia="宋体" w:hAnsi="宋体" w:hint="eastAsia"/>
              </w:rPr>
              <w:t>3F：4</w:t>
            </w:r>
          </w:p>
          <w:p>
            <w:pPr>
              <w:pStyle w:val="Normal0"/>
              <w:spacing w:line="360" w:lineRule="auto"/>
              <w:ind w:firstLine="461"/>
              <w:jc w:val="center"/>
              <w:rPr>
                <w:rFonts w:ascii="宋体" w:eastAsia="宋体" w:hAnsi="宋体" w:hint="eastAsia"/>
              </w:rPr>
            </w:pPr>
            <w:r>
              <w:rPr>
                <w:rFonts w:ascii="宋体" w:eastAsia="宋体" w:hAnsi="宋体" w:hint="eastAsia"/>
              </w:rPr>
              <w:t>4F：2.5</w:t>
            </w:r>
          </w:p>
        </w:tc>
        <w:tc>
          <w:tcPr>
            <w:tcW w:w="186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5.7</w:t>
            </w:r>
          </w:p>
        </w:tc>
        <w:tc>
          <w:tcPr>
            <w:tcW w:w="2137"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沿解放路，正在改建</w:t>
            </w:r>
          </w:p>
        </w:tc>
      </w:tr>
      <w:tr>
        <w:tblPrEx>
          <w:tblW w:w="8725"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万达购物广场</w:t>
            </w:r>
          </w:p>
        </w:tc>
        <w:tc>
          <w:tcPr>
            <w:tcW w:w="2404" w:type="dxa"/>
            <w:vAlign w:val="center"/>
          </w:tcPr>
          <w:p>
            <w:pPr>
              <w:pStyle w:val="Normal0"/>
              <w:spacing w:line="360" w:lineRule="auto"/>
              <w:ind w:firstLine="461"/>
              <w:jc w:val="center"/>
              <w:rPr>
                <w:rFonts w:ascii="宋体" w:eastAsia="宋体" w:hAnsi="宋体" w:hint="eastAsia"/>
              </w:rPr>
            </w:pPr>
          </w:p>
        </w:tc>
        <w:tc>
          <w:tcPr>
            <w:tcW w:w="186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16.5</w:t>
            </w:r>
          </w:p>
        </w:tc>
        <w:tc>
          <w:tcPr>
            <w:tcW w:w="2137"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个人商铺，（底铺）出租，110平方米</w:t>
            </w:r>
          </w:p>
        </w:tc>
      </w:tr>
      <w:tr>
        <w:tblPrEx>
          <w:tblW w:w="8725"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五一新干线</w:t>
            </w:r>
          </w:p>
        </w:tc>
        <w:tc>
          <w:tcPr>
            <w:tcW w:w="2404"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1F：6.5</w:t>
            </w:r>
          </w:p>
          <w:p>
            <w:pPr>
              <w:pStyle w:val="Normal0"/>
              <w:spacing w:line="360" w:lineRule="auto"/>
              <w:ind w:firstLine="461"/>
              <w:jc w:val="center"/>
              <w:rPr>
                <w:rFonts w:ascii="宋体" w:eastAsia="宋体" w:hAnsi="宋体" w:hint="eastAsia"/>
              </w:rPr>
            </w:pPr>
            <w:r>
              <w:rPr>
                <w:rFonts w:ascii="宋体" w:eastAsia="宋体" w:hAnsi="宋体" w:hint="eastAsia"/>
              </w:rPr>
              <w:t>2F：3.2</w:t>
            </w:r>
          </w:p>
          <w:p>
            <w:pPr>
              <w:pStyle w:val="Normal0"/>
              <w:spacing w:line="360" w:lineRule="auto"/>
              <w:ind w:firstLine="461"/>
              <w:jc w:val="center"/>
              <w:rPr>
                <w:rFonts w:ascii="宋体" w:eastAsia="宋体" w:hAnsi="宋体" w:hint="eastAsia"/>
              </w:rPr>
            </w:pPr>
            <w:r>
              <w:rPr>
                <w:rFonts w:ascii="宋体" w:eastAsia="宋体" w:hAnsi="宋体" w:hint="eastAsia"/>
              </w:rPr>
              <w:t>3F：2.1</w:t>
            </w:r>
          </w:p>
        </w:tc>
        <w:tc>
          <w:tcPr>
            <w:tcW w:w="186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3.8</w:t>
            </w:r>
          </w:p>
        </w:tc>
        <w:tc>
          <w:tcPr>
            <w:tcW w:w="2137"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目前在整体招租</w:t>
            </w:r>
          </w:p>
        </w:tc>
      </w:tr>
      <w:tr>
        <w:tblPrEx>
          <w:tblW w:w="8725"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lang w:eastAsia="zh-CN"/>
              </w:rPr>
              <w:t>相关项目</w:t>
            </w:r>
            <w:r>
              <w:rPr>
                <w:rFonts w:ascii="宋体" w:eastAsia="宋体" w:hAnsi="宋体" w:hint="eastAsia"/>
              </w:rPr>
              <w:t>沿街商铺</w:t>
            </w:r>
          </w:p>
        </w:tc>
        <w:tc>
          <w:tcPr>
            <w:tcW w:w="2404" w:type="dxa"/>
            <w:vAlign w:val="center"/>
          </w:tcPr>
          <w:p>
            <w:pPr>
              <w:pStyle w:val="Normal0"/>
              <w:spacing w:line="360" w:lineRule="auto"/>
              <w:ind w:firstLine="461"/>
              <w:jc w:val="center"/>
              <w:rPr>
                <w:rFonts w:ascii="宋体" w:eastAsia="宋体" w:hAnsi="宋体" w:hint="eastAsia"/>
              </w:rPr>
            </w:pPr>
          </w:p>
        </w:tc>
        <w:tc>
          <w:tcPr>
            <w:tcW w:w="186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5</w:t>
            </w:r>
          </w:p>
        </w:tc>
        <w:tc>
          <w:tcPr>
            <w:tcW w:w="2137"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个人商铺出租，两层共300平方米</w:t>
            </w:r>
          </w:p>
        </w:tc>
      </w:tr>
    </w:tbl>
    <w:p>
      <w:pPr>
        <w:pStyle w:val="Normal0"/>
        <w:spacing w:line="360" w:lineRule="auto"/>
        <w:rPr>
          <w:rFonts w:ascii="宋体" w:eastAsia="宋体" w:hAnsi="宋体" w:hint="eastAsia"/>
        </w:rPr>
      </w:pPr>
    </w:p>
    <w:p>
      <w:pPr>
        <w:pStyle w:val="Normal0"/>
        <w:spacing w:line="360" w:lineRule="auto"/>
        <w:ind w:firstLine="235" w:firstLineChars="98"/>
        <w:rPr>
          <w:rFonts w:ascii="宋体" w:eastAsia="宋体" w:hAnsi="宋体" w:hint="eastAsia"/>
          <w:b/>
        </w:rPr>
      </w:pPr>
      <w:r>
        <w:rPr>
          <w:rFonts w:ascii="宋体" w:eastAsia="宋体" w:hAnsi="宋体" w:hint="eastAsia"/>
          <w:b/>
        </w:rPr>
        <w:t>2.4.2市场售价表</w:t>
      </w:r>
    </w:p>
    <w:tbl>
      <w:tblPr>
        <w:tblStyle w:val="TableNormal"/>
        <w:tblW w:w="8978"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316"/>
        <w:gridCol w:w="2400"/>
        <w:gridCol w:w="2052"/>
        <w:gridCol w:w="2210"/>
      </w:tblGrid>
      <w:tr>
        <w:tblPrEx>
          <w:tblW w:w="8978"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835"/>
        </w:trPr>
        <w:tc>
          <w:tcPr>
            <w:tcW w:w="2316"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名称</w:t>
            </w:r>
          </w:p>
        </w:tc>
        <w:tc>
          <w:tcPr>
            <w:tcW w:w="2400"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售价（元/平方米）</w:t>
            </w:r>
          </w:p>
        </w:tc>
        <w:tc>
          <w:tcPr>
            <w:tcW w:w="2052"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均价（元/平方米）</w:t>
            </w:r>
          </w:p>
        </w:tc>
        <w:tc>
          <w:tcPr>
            <w:tcW w:w="2210"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备注</w:t>
            </w:r>
          </w:p>
        </w:tc>
      </w:tr>
    </w:tbl>
    <w:p>
      <w:pPr>
        <w:sectPr>
          <w:headerReference w:type="default" r:id="rId39"/>
          <w:footerReference w:type="default" r:id="rId40"/>
          <w:type w:val="nextPage"/>
          <w:pgSz w:w="11906" w:h="16838"/>
          <w:pgMar w:top="539" w:right="926" w:bottom="1440" w:left="1800" w:header="495" w:footer="992" w:gutter="0"/>
          <w:pgNumType w:start="18"/>
          <w:cols w:num="1" w:space="425"/>
          <w:titlePg w:val="0"/>
          <w:docGrid w:type="lines" w:linePitch="360" w:charSpace="0"/>
        </w:sectPr>
      </w:pPr>
    </w:p>
    <w:tbl>
      <w:tblPr>
        <w:tblStyle w:val="TableNormal"/>
        <w:tblW w:w="8978"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316"/>
        <w:gridCol w:w="2400"/>
        <w:gridCol w:w="2052"/>
        <w:gridCol w:w="2210"/>
      </w:tblGrid>
      <w:tr>
        <w:tblPrEx>
          <w:tblW w:w="8978"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黄兴路商业步行街</w:t>
            </w:r>
          </w:p>
        </w:tc>
        <w:tc>
          <w:tcPr>
            <w:tcW w:w="240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1F：35000</w:t>
            </w:r>
          </w:p>
          <w:p>
            <w:pPr>
              <w:pStyle w:val="Normal0"/>
              <w:spacing w:line="360" w:lineRule="auto"/>
              <w:ind w:firstLine="461"/>
              <w:jc w:val="center"/>
              <w:rPr>
                <w:rFonts w:ascii="宋体" w:eastAsia="宋体" w:hAnsi="宋体" w:hint="eastAsia"/>
              </w:rPr>
            </w:pPr>
            <w:r>
              <w:rPr>
                <w:rFonts w:ascii="宋体" w:eastAsia="宋体" w:hAnsi="宋体" w:hint="eastAsia"/>
              </w:rPr>
              <w:t>2F：20000</w:t>
            </w:r>
          </w:p>
          <w:p>
            <w:pPr>
              <w:pStyle w:val="Normal0"/>
              <w:spacing w:line="360" w:lineRule="auto"/>
              <w:ind w:firstLine="461"/>
              <w:jc w:val="center"/>
              <w:rPr>
                <w:rFonts w:ascii="宋体" w:eastAsia="宋体" w:hAnsi="宋体" w:hint="eastAsia"/>
              </w:rPr>
            </w:pPr>
            <w:r>
              <w:rPr>
                <w:rFonts w:ascii="宋体" w:eastAsia="宋体" w:hAnsi="宋体" w:hint="eastAsia"/>
              </w:rPr>
              <w:t>3F：11000</w:t>
            </w:r>
          </w:p>
        </w:tc>
        <w:tc>
          <w:tcPr>
            <w:tcW w:w="2052"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22000</w:t>
            </w:r>
          </w:p>
        </w:tc>
        <w:tc>
          <w:tcPr>
            <w:tcW w:w="221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返租10年</w:t>
            </w:r>
          </w:p>
        </w:tc>
      </w:tr>
      <w:tr>
        <w:tblPrEx>
          <w:tblW w:w="8978"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王府井商业广场</w:t>
            </w:r>
          </w:p>
        </w:tc>
        <w:tc>
          <w:tcPr>
            <w:tcW w:w="240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1F：28000</w:t>
            </w:r>
          </w:p>
          <w:p>
            <w:pPr>
              <w:pStyle w:val="Normal0"/>
              <w:spacing w:line="360" w:lineRule="auto"/>
              <w:ind w:firstLine="461"/>
              <w:jc w:val="center"/>
              <w:rPr>
                <w:rFonts w:ascii="宋体" w:eastAsia="宋体" w:hAnsi="宋体" w:hint="eastAsia"/>
              </w:rPr>
            </w:pPr>
            <w:r>
              <w:rPr>
                <w:rFonts w:ascii="宋体" w:eastAsia="宋体" w:hAnsi="宋体" w:hint="eastAsia"/>
              </w:rPr>
              <w:t>2F：19000</w:t>
            </w:r>
          </w:p>
          <w:p>
            <w:pPr>
              <w:pStyle w:val="Normal0"/>
              <w:spacing w:line="360" w:lineRule="auto"/>
              <w:ind w:firstLine="461"/>
              <w:jc w:val="center"/>
              <w:rPr>
                <w:rFonts w:ascii="宋体" w:eastAsia="宋体" w:hAnsi="宋体" w:hint="eastAsia"/>
              </w:rPr>
            </w:pPr>
            <w:r>
              <w:rPr>
                <w:rFonts w:ascii="宋体" w:eastAsia="宋体" w:hAnsi="宋体" w:hint="eastAsia"/>
              </w:rPr>
              <w:t>3F：12500</w:t>
            </w:r>
          </w:p>
          <w:p>
            <w:pPr>
              <w:pStyle w:val="Normal0"/>
              <w:spacing w:line="360" w:lineRule="auto"/>
              <w:ind w:firstLine="461"/>
              <w:jc w:val="center"/>
              <w:rPr>
                <w:rFonts w:ascii="宋体" w:eastAsia="宋体" w:hAnsi="宋体" w:hint="eastAsia"/>
              </w:rPr>
            </w:pPr>
            <w:r>
              <w:rPr>
                <w:rFonts w:ascii="宋体" w:eastAsia="宋体" w:hAnsi="宋体" w:hint="eastAsia"/>
              </w:rPr>
              <w:t>4F：8000</w:t>
            </w:r>
          </w:p>
        </w:tc>
        <w:tc>
          <w:tcPr>
            <w:tcW w:w="2052"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17000</w:t>
            </w:r>
          </w:p>
        </w:tc>
        <w:tc>
          <w:tcPr>
            <w:tcW w:w="221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投资回报，税前9%，年限20年</w:t>
            </w:r>
          </w:p>
        </w:tc>
      </w:tr>
      <w:tr>
        <w:tblPrEx>
          <w:tblW w:w="8978"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万达购物广场</w:t>
            </w:r>
          </w:p>
        </w:tc>
        <w:tc>
          <w:tcPr>
            <w:tcW w:w="2400" w:type="dxa"/>
            <w:vAlign w:val="center"/>
          </w:tcPr>
          <w:p>
            <w:pPr>
              <w:pStyle w:val="Normal0"/>
              <w:spacing w:line="360" w:lineRule="auto"/>
              <w:ind w:firstLine="461"/>
              <w:jc w:val="center"/>
              <w:rPr>
                <w:rFonts w:ascii="宋体" w:eastAsia="宋体" w:hAnsi="宋体" w:hint="eastAsia"/>
              </w:rPr>
            </w:pPr>
          </w:p>
        </w:tc>
        <w:tc>
          <w:tcPr>
            <w:tcW w:w="2052"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60000</w:t>
            </w:r>
          </w:p>
        </w:tc>
        <w:tc>
          <w:tcPr>
            <w:tcW w:w="221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个人出售，沿街商铺</w:t>
            </w:r>
          </w:p>
        </w:tc>
      </w:tr>
      <w:tr>
        <w:tblPrEx>
          <w:tblW w:w="8978"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五一新干线</w:t>
            </w:r>
          </w:p>
        </w:tc>
        <w:tc>
          <w:tcPr>
            <w:tcW w:w="240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1F：38000</w:t>
            </w:r>
          </w:p>
          <w:p>
            <w:pPr>
              <w:pStyle w:val="Normal0"/>
              <w:spacing w:line="360" w:lineRule="auto"/>
              <w:ind w:firstLine="461"/>
              <w:jc w:val="center"/>
              <w:rPr>
                <w:rFonts w:ascii="宋体" w:eastAsia="宋体" w:hAnsi="宋体" w:hint="eastAsia"/>
              </w:rPr>
            </w:pPr>
            <w:r>
              <w:rPr>
                <w:rFonts w:ascii="宋体" w:eastAsia="宋体" w:hAnsi="宋体" w:hint="eastAsia"/>
              </w:rPr>
              <w:t>2F：9000</w:t>
            </w:r>
          </w:p>
        </w:tc>
        <w:tc>
          <w:tcPr>
            <w:tcW w:w="2052" w:type="dxa"/>
            <w:vAlign w:val="center"/>
          </w:tcPr>
          <w:p>
            <w:pPr>
              <w:pStyle w:val="Normal0"/>
              <w:spacing w:line="360" w:lineRule="auto"/>
              <w:ind w:firstLine="461"/>
              <w:jc w:val="center"/>
              <w:rPr>
                <w:rFonts w:ascii="宋体" w:eastAsia="宋体" w:hAnsi="宋体" w:hint="eastAsia"/>
              </w:rPr>
            </w:pPr>
          </w:p>
        </w:tc>
        <w:tc>
          <w:tcPr>
            <w:tcW w:w="221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2楼统一出售</w:t>
            </w:r>
          </w:p>
        </w:tc>
      </w:tr>
      <w:tr>
        <w:tblPrEx>
          <w:tblW w:w="8978"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铜锣湾</w:t>
            </w:r>
          </w:p>
        </w:tc>
        <w:tc>
          <w:tcPr>
            <w:tcW w:w="240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1F：40000</w:t>
            </w:r>
          </w:p>
          <w:p>
            <w:pPr>
              <w:pStyle w:val="Normal0"/>
              <w:spacing w:line="360" w:lineRule="auto"/>
              <w:ind w:firstLine="461"/>
              <w:jc w:val="center"/>
              <w:rPr>
                <w:rFonts w:ascii="宋体" w:eastAsia="宋体" w:hAnsi="宋体" w:hint="eastAsia"/>
              </w:rPr>
            </w:pPr>
            <w:r>
              <w:rPr>
                <w:rFonts w:ascii="宋体" w:eastAsia="宋体" w:hAnsi="宋体" w:hint="eastAsia"/>
              </w:rPr>
              <w:t>2F：18500</w:t>
            </w:r>
          </w:p>
        </w:tc>
        <w:tc>
          <w:tcPr>
            <w:tcW w:w="2052"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22000</w:t>
            </w:r>
          </w:p>
        </w:tc>
        <w:tc>
          <w:tcPr>
            <w:tcW w:w="221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2004年一期价格，二期尚未开盘，投资回报10%，年限5年</w:t>
            </w:r>
          </w:p>
        </w:tc>
      </w:tr>
      <w:tr>
        <w:tblPrEx>
          <w:tblW w:w="8978" w:type="dxa"/>
          <w:tblInd w:w="0" w:type="dxa"/>
          <w:tblCellMar>
            <w:top w:w="0" w:type="dxa"/>
            <w:left w:w="108" w:type="dxa"/>
            <w:bottom w:w="0" w:type="dxa"/>
            <w:right w:w="108" w:type="dxa"/>
          </w:tblCellMar>
        </w:tblPrEx>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新大新</w:t>
            </w:r>
          </w:p>
        </w:tc>
        <w:tc>
          <w:tcPr>
            <w:tcW w:w="2400" w:type="dxa"/>
            <w:vAlign w:val="center"/>
          </w:tcPr>
          <w:p>
            <w:pPr>
              <w:pStyle w:val="Normal0"/>
              <w:spacing w:line="360" w:lineRule="auto"/>
              <w:ind w:firstLine="461"/>
              <w:jc w:val="center"/>
              <w:rPr>
                <w:rFonts w:ascii="宋体" w:eastAsia="宋体" w:hAnsi="宋体" w:hint="eastAsia"/>
              </w:rPr>
            </w:pPr>
          </w:p>
        </w:tc>
        <w:tc>
          <w:tcPr>
            <w:tcW w:w="2052"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15000</w:t>
            </w:r>
          </w:p>
        </w:tc>
        <w:tc>
          <w:tcPr>
            <w:tcW w:w="221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沿街商铺出售，面积140平方米</w:t>
            </w:r>
          </w:p>
        </w:tc>
      </w:tr>
      <w:tr>
        <w:tblPrEx>
          <w:tblW w:w="8978" w:type="dxa"/>
          <w:tblInd w:w="0" w:type="dxa"/>
          <w:tblCellMar>
            <w:top w:w="0" w:type="dxa"/>
            <w:left w:w="108" w:type="dxa"/>
            <w:bottom w:w="0" w:type="dxa"/>
            <w:right w:w="108" w:type="dxa"/>
          </w:tblCellMar>
        </w:tblPrEx>
        <w:trPr>
          <w:trHeight w:val="557"/>
        </w:trPr>
        <w:tc>
          <w:tcPr>
            <w:tcW w:w="2316"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东方新城</w:t>
            </w:r>
          </w:p>
        </w:tc>
        <w:tc>
          <w:tcPr>
            <w:tcW w:w="240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沿街：10000</w:t>
            </w:r>
          </w:p>
        </w:tc>
        <w:tc>
          <w:tcPr>
            <w:tcW w:w="2052"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9000</w:t>
            </w:r>
          </w:p>
        </w:tc>
        <w:tc>
          <w:tcPr>
            <w:tcW w:w="2210"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芙蓉区政府旁</w:t>
            </w:r>
          </w:p>
        </w:tc>
      </w:tr>
    </w:tbl>
    <w:p>
      <w:pPr>
        <w:pStyle w:val="Normal0"/>
        <w:spacing w:line="360" w:lineRule="auto"/>
        <w:rPr>
          <w:rFonts w:ascii="宋体" w:eastAsia="宋体" w:hAnsi="宋体" w:hint="eastAsia"/>
        </w:rPr>
      </w:pPr>
    </w:p>
    <w:p>
      <w:pPr>
        <w:pStyle w:val="Normal0"/>
        <w:spacing w:line="360" w:lineRule="auto"/>
        <w:ind w:firstLine="235" w:firstLineChars="98"/>
        <w:rPr>
          <w:rFonts w:ascii="宋体" w:eastAsia="宋体" w:hAnsi="宋体" w:hint="eastAsia"/>
          <w:b/>
        </w:rPr>
      </w:pPr>
      <w:r>
        <w:rPr>
          <w:rFonts w:ascii="宋体" w:eastAsia="宋体" w:hAnsi="宋体" w:hint="eastAsia"/>
          <w:b/>
        </w:rPr>
        <w:t>2.4.3、住宅售价表</w:t>
      </w:r>
    </w:p>
    <w:tbl>
      <w:tblPr>
        <w:tblStyle w:val="TableNormal"/>
        <w:tblW w:w="8942"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88"/>
        <w:gridCol w:w="1788"/>
        <w:gridCol w:w="1788"/>
        <w:gridCol w:w="1789"/>
        <w:gridCol w:w="1789"/>
      </w:tblGrid>
      <w:tr>
        <w:tblPrEx>
          <w:tblW w:w="8942"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558"/>
        </w:trPr>
        <w:tc>
          <w:tcPr>
            <w:tcW w:w="1788"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区域</w:t>
            </w:r>
          </w:p>
        </w:tc>
        <w:tc>
          <w:tcPr>
            <w:tcW w:w="1788"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4月售价</w:t>
            </w:r>
          </w:p>
        </w:tc>
        <w:tc>
          <w:tcPr>
            <w:tcW w:w="1788"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5月售价</w:t>
            </w:r>
          </w:p>
        </w:tc>
        <w:tc>
          <w:tcPr>
            <w:tcW w:w="1789"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6月售价</w:t>
            </w:r>
          </w:p>
        </w:tc>
        <w:tc>
          <w:tcPr>
            <w:tcW w:w="1789" w:type="dxa"/>
            <w:vAlign w:val="center"/>
          </w:tcPr>
          <w:p>
            <w:pPr>
              <w:pStyle w:val="Normal0"/>
              <w:spacing w:line="360" w:lineRule="auto"/>
              <w:ind w:firstLine="461"/>
              <w:jc w:val="center"/>
              <w:rPr>
                <w:rFonts w:ascii="宋体" w:eastAsia="宋体" w:hAnsi="宋体" w:hint="eastAsia"/>
                <w:b/>
              </w:rPr>
            </w:pPr>
            <w:r>
              <w:rPr>
                <w:rFonts w:ascii="宋体" w:eastAsia="宋体" w:hAnsi="宋体" w:hint="eastAsia"/>
                <w:b/>
              </w:rPr>
              <w:t>目前</w:t>
            </w:r>
          </w:p>
        </w:tc>
      </w:tr>
      <w:tr>
        <w:tblPrEx>
          <w:tblW w:w="8942" w:type="dxa"/>
          <w:tblInd w:w="0" w:type="dxa"/>
          <w:tblCellMar>
            <w:top w:w="0" w:type="dxa"/>
            <w:left w:w="108" w:type="dxa"/>
            <w:bottom w:w="0" w:type="dxa"/>
            <w:right w:w="108" w:type="dxa"/>
          </w:tblCellMar>
        </w:tblPrEx>
        <w:trPr>
          <w:trHeight w:val="532"/>
        </w:trPr>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芙蓉区</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2959</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2676</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3087</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3123</w:t>
            </w:r>
          </w:p>
        </w:tc>
      </w:tr>
      <w:tr>
        <w:tblPrEx>
          <w:tblW w:w="8942" w:type="dxa"/>
          <w:tblInd w:w="0" w:type="dxa"/>
          <w:tblCellMar>
            <w:top w:w="0" w:type="dxa"/>
            <w:left w:w="108" w:type="dxa"/>
            <w:bottom w:w="0" w:type="dxa"/>
            <w:right w:w="108" w:type="dxa"/>
          </w:tblCellMar>
        </w:tblPrEx>
        <w:trPr>
          <w:trHeight w:val="558"/>
        </w:trPr>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天心区</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2489</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2683</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2705</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2912</w:t>
            </w:r>
          </w:p>
        </w:tc>
      </w:tr>
      <w:tr>
        <w:tblPrEx>
          <w:tblW w:w="8942" w:type="dxa"/>
          <w:tblInd w:w="0" w:type="dxa"/>
          <w:tblCellMar>
            <w:top w:w="0" w:type="dxa"/>
            <w:left w:w="108" w:type="dxa"/>
            <w:bottom w:w="0" w:type="dxa"/>
            <w:right w:w="108" w:type="dxa"/>
          </w:tblCellMar>
        </w:tblPrEx>
        <w:trPr>
          <w:trHeight w:val="532"/>
        </w:trPr>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岳麓区</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2021</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1928</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2442</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2556</w:t>
            </w:r>
          </w:p>
        </w:tc>
      </w:tr>
    </w:tbl>
    <w:p>
      <w:pPr>
        <w:sectPr>
          <w:headerReference w:type="default" r:id="rId41"/>
          <w:footerReference w:type="default" r:id="rId42"/>
          <w:type w:val="nextPage"/>
          <w:pgSz w:w="11906" w:h="16838"/>
          <w:pgMar w:top="539" w:right="926" w:bottom="1440" w:left="1800" w:header="495" w:footer="992" w:gutter="0"/>
          <w:pgNumType w:start="19"/>
          <w:cols w:num="1" w:space="425"/>
          <w:titlePg w:val="0"/>
          <w:docGrid w:type="lines" w:linePitch="360" w:charSpace="0"/>
        </w:sectPr>
      </w:pPr>
    </w:p>
    <w:tbl>
      <w:tblPr>
        <w:tblStyle w:val="TableNormal"/>
        <w:tblW w:w="8942"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788"/>
        <w:gridCol w:w="1788"/>
        <w:gridCol w:w="1788"/>
        <w:gridCol w:w="1789"/>
        <w:gridCol w:w="1789"/>
      </w:tblGrid>
      <w:tr>
        <w:tblPrEx>
          <w:tblW w:w="8942" w:type="dxa"/>
          <w:tblInd w:w="0" w:type="dxa"/>
          <w:tblBorders>
            <w:top w:val="thickThinSmallGap" w:sz="24" w:space="0" w:color="auto"/>
            <w:left w:val="none" w:sz="0" w:space="0" w:color="auto"/>
            <w:bottom w:val="thinThickSmallGap" w:sz="2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558"/>
        </w:trPr>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开福区</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2043</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1996</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2232</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2367</w:t>
            </w:r>
          </w:p>
        </w:tc>
      </w:tr>
      <w:tr>
        <w:tblPrEx>
          <w:tblW w:w="8942" w:type="dxa"/>
          <w:tblInd w:w="0" w:type="dxa"/>
          <w:tblCellMar>
            <w:top w:w="0" w:type="dxa"/>
            <w:left w:w="108" w:type="dxa"/>
            <w:bottom w:w="0" w:type="dxa"/>
            <w:right w:w="108" w:type="dxa"/>
          </w:tblCellMar>
        </w:tblPrEx>
        <w:trPr>
          <w:trHeight w:val="558"/>
        </w:trPr>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雨花区</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2282</w:t>
            </w:r>
          </w:p>
        </w:tc>
        <w:tc>
          <w:tcPr>
            <w:tcW w:w="1788"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2462</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color w:val="333333"/>
              </w:rPr>
              <w:t>1858</w:t>
            </w:r>
          </w:p>
        </w:tc>
        <w:tc>
          <w:tcPr>
            <w:tcW w:w="1789" w:type="dxa"/>
            <w:vAlign w:val="center"/>
          </w:tcPr>
          <w:p>
            <w:pPr>
              <w:pStyle w:val="Normal0"/>
              <w:spacing w:line="360" w:lineRule="auto"/>
              <w:ind w:firstLine="461"/>
              <w:jc w:val="center"/>
              <w:rPr>
                <w:rFonts w:ascii="宋体" w:eastAsia="宋体" w:hAnsi="宋体" w:hint="eastAsia"/>
              </w:rPr>
            </w:pPr>
            <w:r>
              <w:rPr>
                <w:rFonts w:ascii="宋体" w:eastAsia="宋体" w:hAnsi="宋体" w:hint="eastAsia"/>
              </w:rPr>
              <w:t>2312</w:t>
            </w:r>
          </w:p>
        </w:tc>
      </w:tr>
    </w:tbl>
    <w:p>
      <w:pPr>
        <w:pStyle w:val="Normal0"/>
        <w:spacing w:line="360" w:lineRule="auto"/>
        <w:rPr>
          <w:rFonts w:ascii="宋体" w:eastAsia="宋体" w:hAnsi="宋体" w:hint="eastAsia"/>
        </w:rPr>
      </w:pPr>
    </w:p>
    <w:p>
      <w:pPr>
        <w:pStyle w:val="Normal0"/>
        <w:spacing w:after="180" w:afterLines="50" w:line="360" w:lineRule="auto"/>
        <w:rPr>
          <w:rFonts w:ascii="宋体" w:eastAsia="宋体" w:hAnsi="宋体" w:hint="eastAsia"/>
          <w:b/>
        </w:rPr>
      </w:pPr>
      <w:r>
        <w:rPr>
          <w:rFonts w:ascii="宋体" w:eastAsia="宋体" w:hAnsi="宋体" w:hint="eastAsia"/>
          <w:b/>
        </w:rPr>
        <w:t>小结：</w:t>
      </w:r>
    </w:p>
    <w:p>
      <w:pPr>
        <w:pStyle w:val="Normal0"/>
        <w:spacing w:after="180" w:afterLines="50" w:line="360" w:lineRule="auto"/>
        <w:ind w:firstLine="480" w:firstLineChars="200"/>
        <w:rPr>
          <w:rFonts w:ascii="宋体" w:eastAsia="宋体" w:hAnsi="宋体" w:hint="eastAsia"/>
          <w:b/>
        </w:rPr>
      </w:pPr>
      <w:r>
        <w:rPr>
          <w:rFonts w:ascii="宋体" w:eastAsia="宋体" w:hAnsi="宋体" w:hint="eastAsia"/>
          <w:b/>
        </w:rPr>
        <w:t>从以上的表格中可以看出，目前黄兴路商业步行接的平均售价在22000元/平方米左右，平均租金在9元/平方米/天 。解放路上商业物业的平均售价在20000元/平方米左右，平均租金在8元/平方米/天。而从长沙市的商业物业的销售的市场中可以得出1、2楼的销售情况非常火暴，而二楼以上的销售不理想，许多物业将整层面积分割成10-40平方米的小面积物业并且以投资回报的形式出售，一般投资回报在税前10%左右，回报年限基本在10年左右。</w:t>
      </w:r>
    </w:p>
    <w:p>
      <w:pPr>
        <w:pStyle w:val="Normal0"/>
        <w:spacing w:after="180" w:afterLines="50" w:line="360" w:lineRule="auto"/>
        <w:ind w:firstLine="480" w:firstLineChars="200"/>
        <w:rPr>
          <w:rFonts w:ascii="宋体" w:eastAsia="宋体" w:hAnsi="宋体" w:hint="eastAsia"/>
          <w:b/>
        </w:rPr>
      </w:pPr>
      <w:r>
        <w:rPr>
          <w:rFonts w:ascii="宋体" w:eastAsia="宋体" w:hAnsi="宋体" w:hint="eastAsia"/>
          <w:b/>
        </w:rPr>
        <w:t>目前市中心的住宅的售价，芙蓉区最高售价4500元/平方米左右，最底售价为2000元/平方米左右。开福区最高售价3300元/平方米左右，最底售价为1500元/平方米左右。一般商铺的价格是住宅价格的3-4倍，以上海的徐家汇地区为例，住宅的价格在16000元/平方米左右，商铺的价格在60000元/平方米左右。而从长沙市最高的住宅价格来看，其价格也仅为商铺价格的五到六分之一，已经违背了市场发展的规律。另外开发商开发的物业，通过市场获取的租金是无法满足给小业主的投资回报的，这将会影响长沙市整个商业地产的健康发展，成为市场极大的隐患。</w:t>
      </w:r>
    </w:p>
    <w:p>
      <w:pPr>
        <w:pStyle w:val="Normal0"/>
        <w:spacing w:line="360" w:lineRule="auto"/>
        <w:rPr>
          <w:rFonts w:ascii="宋体" w:eastAsia="宋体" w:hAnsi="宋体" w:hint="eastAsia"/>
        </w:rPr>
      </w:pPr>
    </w:p>
    <w:p>
      <w:pPr>
        <w:pStyle w:val="Normal0"/>
        <w:spacing w:line="360" w:lineRule="auto"/>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五、市场消费特点分析</w:t>
      </w:r>
    </w:p>
    <w:p>
      <w:pPr>
        <w:pStyle w:val="Normal0"/>
        <w:spacing w:line="360" w:lineRule="auto"/>
        <w:ind w:firstLine="420"/>
        <w:rPr>
          <w:rFonts w:ascii="宋体" w:eastAsia="宋体" w:hAnsi="宋体" w:hint="eastAsia"/>
          <w:b/>
        </w:rPr>
      </w:pPr>
      <w:r>
        <w:rPr>
          <w:rFonts w:ascii="宋体" w:eastAsia="宋体" w:hAnsi="宋体" w:hint="eastAsia"/>
          <w:b/>
        </w:rPr>
        <w:t>5．1、城市消费力分析</w:t>
      </w:r>
    </w:p>
    <w:p>
      <w:pPr>
        <w:pStyle w:val="Normal0"/>
        <w:spacing w:line="360" w:lineRule="auto"/>
        <w:ind w:firstLine="480" w:firstLineChars="200"/>
        <w:rPr>
          <w:rFonts w:ascii="宋体" w:eastAsia="宋体" w:hAnsi="宋体" w:hint="eastAsia"/>
        </w:rPr>
        <w:sectPr>
          <w:headerReference w:type="default" r:id="rId43"/>
          <w:footerReference w:type="default" r:id="rId44"/>
          <w:type w:val="nextPage"/>
          <w:pgSz w:w="11906" w:h="16838"/>
          <w:pgMar w:top="539" w:right="926" w:bottom="1440" w:left="1800" w:header="495" w:footer="992" w:gutter="0"/>
          <w:pgNumType w:start="20"/>
          <w:cols w:num="1" w:space="425"/>
          <w:titlePg w:val="0"/>
          <w:docGrid w:type="lines" w:linePitch="360" w:charSpace="0"/>
        </w:sectPr>
      </w:pPr>
    </w:p>
    <w:p>
      <w:pPr>
        <w:pStyle w:val="Normal0"/>
        <w:spacing w:line="360" w:lineRule="auto"/>
        <w:ind w:firstLine="480" w:firstLineChars="200"/>
        <w:rPr>
          <w:rFonts w:ascii="宋体" w:eastAsia="宋体" w:hAnsi="宋体" w:hint="eastAsia"/>
        </w:rPr>
      </w:pPr>
      <w:r>
        <w:rPr>
          <w:rFonts w:ascii="宋体" w:eastAsia="宋体" w:hAnsi="宋体" w:hint="eastAsia"/>
        </w:rPr>
        <w:t>2005年上半年长沙市完成ＧＤＰ607.56亿元，同比增长14.3％，ＧＤＰ增速比全国（增长9.5％）高4.8个百分点，增速居全国之前。同时长沙城市居民收入、支出一直在全国处于较高水平，在中部优势尤其明显。2005年上半年城市居民人均可支配收入、消费性支出分别为6656元、4601元，增幅分别为16.4％、8.2％，消费性支出消费性支出增幅明显高于可支配收入，消费力极强。居民消费价格指数为100，在全国33个重点城市中第一个摆脱负增长。从某种角度上分析，长沙已部分进入超前消费阶段。</w:t>
      </w:r>
    </w:p>
    <w:p>
      <w:pPr>
        <w:pStyle w:val="Normal0"/>
        <w:spacing w:line="360" w:lineRule="auto"/>
        <w:ind w:firstLine="420"/>
        <w:rPr>
          <w:rFonts w:ascii="宋体" w:eastAsia="宋体" w:hAnsi="宋体" w:hint="eastAsia"/>
        </w:rPr>
      </w:pPr>
      <w:r>
        <w:rPr>
          <w:rFonts w:ascii="宋体" w:eastAsia="宋体" w:hAnsi="宋体" w:hint="eastAsia"/>
        </w:rPr>
        <w:t>长沙市区社会商品零售总额与市区人口之比在全国过百万人口的城市中，排第7位，超过天津、哈尔滨、沈阳、南京、武汉、郑州等大城市。全市商业网点、集贸市场和商业从业人数也均居全国省会城市前列。</w:t>
      </w:r>
    </w:p>
    <w:p>
      <w:pPr>
        <w:pStyle w:val="Normal0"/>
        <w:spacing w:line="360" w:lineRule="auto"/>
        <w:ind w:firstLine="420"/>
        <w:rPr>
          <w:rFonts w:ascii="宋体" w:eastAsia="宋体" w:hAnsi="宋体" w:hint="eastAsia"/>
        </w:rPr>
      </w:pPr>
    </w:p>
    <w:p>
      <w:pPr>
        <w:pStyle w:val="Normal0"/>
        <w:spacing w:line="360" w:lineRule="auto"/>
        <w:rPr>
          <w:rFonts w:ascii="宋体" w:eastAsia="宋体" w:hAnsi="宋体" w:hint="eastAsia"/>
          <w:b/>
        </w:rPr>
      </w:pPr>
      <w:r>
        <w:rPr>
          <w:rFonts w:ascii="宋体" w:eastAsia="宋体" w:hAnsi="宋体" w:hint="eastAsia"/>
          <w:b/>
        </w:rPr>
        <w:t>.　　5．2城市消费特征分析　</w:t>
      </w:r>
    </w:p>
    <w:p>
      <w:pPr>
        <w:pStyle w:val="Normal0"/>
        <w:spacing w:line="360" w:lineRule="auto"/>
        <w:ind w:firstLine="420"/>
        <w:rPr>
          <w:rFonts w:ascii="宋体" w:eastAsia="宋体" w:hAnsi="宋体" w:hint="eastAsia"/>
        </w:rPr>
      </w:pPr>
      <w:r>
        <w:rPr>
          <w:rFonts w:ascii="宋体" w:eastAsia="宋体" w:hAnsi="宋体" w:hint="eastAsia"/>
        </w:rPr>
        <w:t>　4．2．1“土洋兼具”</w:t>
      </w:r>
    </w:p>
    <w:p>
      <w:pPr>
        <w:pStyle w:val="Normal0"/>
        <w:spacing w:line="360" w:lineRule="auto"/>
        <w:ind w:firstLine="480" w:firstLineChars="200"/>
        <w:rPr>
          <w:rFonts w:ascii="宋体" w:eastAsia="宋体" w:hAnsi="宋体" w:hint="eastAsia"/>
        </w:rPr>
      </w:pPr>
      <w:r>
        <w:rPr>
          <w:rFonts w:ascii="宋体" w:eastAsia="宋体" w:hAnsi="宋体" w:hint="eastAsia"/>
        </w:rPr>
        <w:t xml:space="preserve">长沙是全国第一批对外开放的城市，经济发展水平位居全国中等以上城市前列。不断吸引外资投入并增强本土民营经济，这种“实内固外”的经济体系已成为长沙经济发展的特点。土洋兼具，是转型期社会的消费特征。这一点在长沙人身上表现得尤为突出。 </w:t>
      </w:r>
    </w:p>
    <w:p>
      <w:pPr>
        <w:pStyle w:val="Normal0"/>
        <w:spacing w:line="360" w:lineRule="auto"/>
        <w:ind w:firstLine="660" w:firstLineChars="275"/>
        <w:rPr>
          <w:rFonts w:ascii="宋体" w:eastAsia="宋体" w:hAnsi="宋体" w:hint="eastAsia"/>
        </w:rPr>
      </w:pPr>
      <w:r>
        <w:rPr>
          <w:rFonts w:ascii="宋体" w:eastAsia="宋体" w:hAnsi="宋体" w:hint="eastAsia"/>
        </w:rPr>
        <w:t>5．2．2现代化</w:t>
      </w:r>
    </w:p>
    <w:p>
      <w:pPr>
        <w:pStyle w:val="Normal0"/>
        <w:spacing w:line="360" w:lineRule="auto"/>
        <w:rPr>
          <w:rFonts w:ascii="宋体" w:eastAsia="宋体" w:hAnsi="宋体" w:hint="eastAsia"/>
        </w:rPr>
      </w:pPr>
      <w:r>
        <w:rPr>
          <w:rFonts w:ascii="宋体" w:eastAsia="宋体" w:hAnsi="宋体" w:hint="eastAsia"/>
        </w:rPr>
        <w:t>　　长沙人的消费洋溢着现代气息。市私人购车和购房大幅增长，成为一个新的消费热点。</w:t>
      </w:r>
    </w:p>
    <w:p>
      <w:pPr>
        <w:pStyle w:val="Normal0"/>
        <w:spacing w:line="360" w:lineRule="auto"/>
        <w:ind w:firstLine="420"/>
        <w:rPr>
          <w:rFonts w:ascii="宋体" w:eastAsia="宋体" w:hAnsi="宋体" w:hint="eastAsia"/>
        </w:rPr>
      </w:pPr>
      <w:r>
        <w:rPr>
          <w:rFonts w:ascii="宋体" w:eastAsia="宋体" w:hAnsi="宋体" w:hint="eastAsia"/>
        </w:rPr>
        <w:t>长沙人均手机持有量在各大城市中也是居前列的，市区常驻人口100多万，就有30多万门手机。而且手机更新换代快。</w:t>
      </w:r>
    </w:p>
    <w:p>
      <w:pPr>
        <w:pStyle w:val="Normal0"/>
        <w:spacing w:line="360" w:lineRule="auto"/>
        <w:ind w:firstLine="660" w:firstLineChars="275"/>
        <w:rPr>
          <w:rFonts w:ascii="宋体" w:eastAsia="宋体" w:hAnsi="宋体" w:hint="eastAsia"/>
        </w:rPr>
      </w:pPr>
      <w:r>
        <w:rPr>
          <w:rFonts w:ascii="宋体" w:eastAsia="宋体" w:hAnsi="宋体" w:hint="eastAsia"/>
        </w:rPr>
        <w:t>5．2．3休闲化</w:t>
      </w:r>
    </w:p>
    <w:p>
      <w:pPr>
        <w:pStyle w:val="Normal0"/>
        <w:spacing w:line="360" w:lineRule="auto"/>
        <w:rPr>
          <w:rFonts w:ascii="宋体" w:eastAsia="宋体" w:hAnsi="宋体" w:hint="eastAsia"/>
        </w:rPr>
      </w:pPr>
      <w:r>
        <w:rPr>
          <w:rFonts w:ascii="宋体" w:eastAsia="宋体" w:hAnsi="宋体" w:hint="eastAsia"/>
        </w:rPr>
        <w:t xml:space="preserve">　　打保龄球和高尔夫球是现代人休闲的一种方式。长沙有15家保龄球馆，球道总数近200道。不大的长沙城在湘江的月亮岛上也有一个高尔夫球场。而娱乐产业在长沙，更是如火如荼，各种娱乐场所遍布全城，消费异常火爆。 </w:t>
      </w:r>
    </w:p>
    <w:p>
      <w:pPr>
        <w:pStyle w:val="Normal0"/>
        <w:spacing w:line="360" w:lineRule="auto"/>
        <w:ind w:firstLine="660" w:firstLineChars="275"/>
        <w:rPr>
          <w:rFonts w:ascii="宋体" w:eastAsia="宋体" w:hAnsi="宋体" w:hint="eastAsia"/>
        </w:rPr>
      </w:pPr>
      <w:r>
        <w:rPr>
          <w:rFonts w:ascii="宋体" w:eastAsia="宋体" w:hAnsi="宋体" w:hint="eastAsia"/>
        </w:rPr>
        <w:t>5．2．4知识化</w:t>
      </w:r>
    </w:p>
    <w:p>
      <w:pPr>
        <w:pStyle w:val="Normal0"/>
        <w:spacing w:line="360" w:lineRule="auto"/>
        <w:ind w:firstLine="360" w:firstLineChars="150"/>
        <w:rPr>
          <w:rFonts w:ascii="宋体" w:eastAsia="宋体" w:hAnsi="宋体" w:hint="eastAsia"/>
        </w:rPr>
      </w:pPr>
      <w:r>
        <w:rPr>
          <w:rFonts w:ascii="宋体" w:eastAsia="宋体" w:hAnsi="宋体" w:hint="eastAsia"/>
        </w:rPr>
        <w:t xml:space="preserve">长沙人重视教育消费，基础教育和民办教育颇为发达。私立学校之多，在省会城市里也是少有的。据调查，55%的人把教育投资摆在首位。 </w:t>
      </w:r>
    </w:p>
    <w:p>
      <w:pPr>
        <w:pStyle w:val="Normal0"/>
        <w:spacing w:line="360" w:lineRule="auto"/>
        <w:ind w:firstLine="660" w:firstLineChars="275"/>
        <w:rPr>
          <w:rFonts w:ascii="宋体" w:eastAsia="宋体" w:hAnsi="宋体" w:hint="eastAsia"/>
        </w:rPr>
      </w:pPr>
      <w:r>
        <w:rPr>
          <w:rFonts w:ascii="宋体" w:eastAsia="宋体" w:hAnsi="宋体" w:hint="eastAsia"/>
        </w:rPr>
        <w:t>5．2．4崇土排外</w:t>
      </w:r>
      <w:r>
        <w:rPr>
          <w:rFonts w:ascii="宋体" w:eastAsia="宋体" w:hAnsi="宋体" w:hint="eastAsia"/>
        </w:rPr>
        <w:br/>
      </w:r>
      <w:r>
        <w:rPr>
          <w:rFonts w:ascii="宋体" w:eastAsia="宋体" w:hAnsi="宋体"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https://d.book118.com/408016122106006045</w:t>
        </w:r>
      </w:hyperlink>
    </w:p>
    <w:p>
      <w:pPr>
        <w:pStyle w:val="Normal0"/>
        <w:spacing w:line="360" w:lineRule="auto"/>
        <w:ind w:firstLine="660" w:firstLineChars="275"/>
        <w:rPr>
          <w:rFonts w:ascii="宋体" w:eastAsia="宋体" w:hAnsi="宋体" w:hint="eastAsia"/>
        </w:rPr>
      </w:pPr>
    </w:p>
    <w:sectPr>
      <w:headerReference w:type="default" r:id="rId46"/>
      <w:footerReference w:type="default" r:id="rId47"/>
      <w:type w:val="nextPage"/>
      <w:pgSz w:w="11906" w:h="16838"/>
      <w:pgMar w:top="539" w:right="926" w:bottom="1440" w:left="1800" w:header="495" w:footer="992" w:gutter="0"/>
      <w:pgNumType w:start="21"/>
      <w:cols w:num="1" w:space="425"/>
      <w:titlePg w:val="0"/>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300000000000000"/>
    <w:charset w:val="88"/>
    <w:family w:val="roman"/>
    <w:pitch w:val="default"/>
    <w:sig w:usb0="00000000" w:usb1="00000000" w:usb2="00000016" w:usb3="00000000" w:csb0="00100001"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5E3750"/>
    <w:multiLevelType w:val="multilevel"/>
    <w:tmpl w:val="0F5E3750"/>
    <w:lvl w:ilvl="0">
      <w:start w:val="3"/>
      <w:numFmt w:val="bullet"/>
      <w:lvlText w:val="●"/>
      <w:lvlJc w:val="left"/>
      <w:pPr>
        <w:tabs>
          <w:tab w:val="left" w:pos="480"/>
        </w:tabs>
        <w:ind w:left="480" w:hanging="480"/>
      </w:pPr>
      <w:rPr>
        <w:rFonts w:ascii="楷体_GB2312" w:eastAsia="楷体_GB2312" w:hAnsi="Times New Roman" w:cs="Times New Roman"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12642888"/>
    <w:multiLevelType w:val="multilevel"/>
    <w:tmpl w:val="12642888"/>
    <w:lvl w:ilvl="0">
      <w:start w:val="1"/>
      <w:numFmt w:val="decimal"/>
      <w:lvlText w:val="%1、"/>
      <w:lvlJc w:val="left"/>
      <w:pPr>
        <w:tabs>
          <w:tab w:val="left" w:pos="1260"/>
        </w:tabs>
        <w:ind w:left="1260" w:hanging="360"/>
      </w:pPr>
      <w:rPr>
        <w:rFonts w:hint="eastAsia"/>
      </w:rPr>
    </w:lvl>
    <w:lvl w:ilvl="1">
      <w:start w:val="1"/>
      <w:numFmt w:val="lowerLetter"/>
      <w:lvlText w:val="%2)"/>
      <w:lvlJc w:val="left"/>
      <w:pPr>
        <w:tabs>
          <w:tab w:val="left" w:pos="1740"/>
        </w:tabs>
        <w:ind w:left="1740" w:hanging="420"/>
      </w:pPr>
    </w:lvl>
    <w:lvl w:ilvl="2">
      <w:start w:val="1"/>
      <w:numFmt w:val="lowerRoman"/>
      <w:lvlText w:val="%3."/>
      <w:lvlJc w:val="right"/>
      <w:pPr>
        <w:tabs>
          <w:tab w:val="left" w:pos="2160"/>
        </w:tabs>
        <w:ind w:left="2160" w:hanging="420"/>
      </w:pPr>
    </w:lvl>
    <w:lvl w:ilvl="3">
      <w:start w:val="1"/>
      <w:numFmt w:val="decimal"/>
      <w:lvlText w:val="%4."/>
      <w:lvlJc w:val="left"/>
      <w:pPr>
        <w:tabs>
          <w:tab w:val="left" w:pos="2580"/>
        </w:tabs>
        <w:ind w:left="2580" w:hanging="420"/>
      </w:pPr>
    </w:lvl>
    <w:lvl w:ilvl="4">
      <w:start w:val="1"/>
      <w:numFmt w:val="lowerLetter"/>
      <w:lvlText w:val="%5)"/>
      <w:lvlJc w:val="left"/>
      <w:pPr>
        <w:tabs>
          <w:tab w:val="left" w:pos="3000"/>
        </w:tabs>
        <w:ind w:left="3000" w:hanging="420"/>
      </w:pPr>
    </w:lvl>
    <w:lvl w:ilvl="5">
      <w:start w:val="1"/>
      <w:numFmt w:val="lowerRoman"/>
      <w:lvlText w:val="%6."/>
      <w:lvlJc w:val="right"/>
      <w:pPr>
        <w:tabs>
          <w:tab w:val="left" w:pos="3420"/>
        </w:tabs>
        <w:ind w:left="3420" w:hanging="420"/>
      </w:pPr>
    </w:lvl>
    <w:lvl w:ilvl="6">
      <w:start w:val="1"/>
      <w:numFmt w:val="decimal"/>
      <w:lvlText w:val="%7."/>
      <w:lvlJc w:val="left"/>
      <w:pPr>
        <w:tabs>
          <w:tab w:val="left" w:pos="3840"/>
        </w:tabs>
        <w:ind w:left="3840" w:hanging="420"/>
      </w:pPr>
    </w:lvl>
    <w:lvl w:ilvl="7">
      <w:start w:val="1"/>
      <w:numFmt w:val="lowerLetter"/>
      <w:lvlText w:val="%8)"/>
      <w:lvlJc w:val="left"/>
      <w:pPr>
        <w:tabs>
          <w:tab w:val="left" w:pos="4260"/>
        </w:tabs>
        <w:ind w:left="4260" w:hanging="420"/>
      </w:pPr>
    </w:lvl>
    <w:lvl w:ilvl="8">
      <w:start w:val="1"/>
      <w:numFmt w:val="lowerRoman"/>
      <w:lvlText w:val="%9."/>
      <w:lvlJc w:val="right"/>
      <w:pPr>
        <w:tabs>
          <w:tab w:val="left" w:pos="4680"/>
        </w:tabs>
        <w:ind w:left="4680" w:hanging="420"/>
      </w:pPr>
    </w:lvl>
  </w:abstractNum>
  <w:abstractNum w:abstractNumId="2">
    <w:nsid w:val="279E0B99"/>
    <w:multiLevelType w:val="multilevel"/>
    <w:tmpl w:val="279E0B99"/>
    <w:lvl w:ilvl="0">
      <w:start w:val="1"/>
      <w:numFmt w:val="decimal"/>
      <w:lvlText w:val="%1、"/>
      <w:lvlJc w:val="left"/>
      <w:pPr>
        <w:tabs>
          <w:tab w:val="left" w:pos="839"/>
        </w:tabs>
        <w:ind w:left="839" w:hanging="360"/>
      </w:pPr>
      <w:rPr>
        <w:rFonts w:hint="eastAsia"/>
      </w:rPr>
    </w:lvl>
    <w:lvl w:ilvl="1">
      <w:start w:val="1"/>
      <w:numFmt w:val="lowerLetter"/>
      <w:lvlText w:val="%2)"/>
      <w:lvlJc w:val="left"/>
      <w:pPr>
        <w:tabs>
          <w:tab w:val="left" w:pos="1319"/>
        </w:tabs>
        <w:ind w:left="1319" w:hanging="420"/>
      </w:pPr>
    </w:lvl>
    <w:lvl w:ilvl="2">
      <w:start w:val="1"/>
      <w:numFmt w:val="lowerRoman"/>
      <w:lvlText w:val="%3."/>
      <w:lvlJc w:val="right"/>
      <w:pPr>
        <w:tabs>
          <w:tab w:val="left" w:pos="1739"/>
        </w:tabs>
        <w:ind w:left="1739" w:hanging="420"/>
      </w:pPr>
    </w:lvl>
    <w:lvl w:ilvl="3">
      <w:start w:val="1"/>
      <w:numFmt w:val="decimal"/>
      <w:lvlText w:val="%4."/>
      <w:lvlJc w:val="left"/>
      <w:pPr>
        <w:tabs>
          <w:tab w:val="left" w:pos="2159"/>
        </w:tabs>
        <w:ind w:left="2159" w:hanging="420"/>
      </w:pPr>
    </w:lvl>
    <w:lvl w:ilvl="4">
      <w:start w:val="1"/>
      <w:numFmt w:val="lowerLetter"/>
      <w:lvlText w:val="%5)"/>
      <w:lvlJc w:val="left"/>
      <w:pPr>
        <w:tabs>
          <w:tab w:val="left" w:pos="2579"/>
        </w:tabs>
        <w:ind w:left="2579" w:hanging="420"/>
      </w:pPr>
    </w:lvl>
    <w:lvl w:ilvl="5">
      <w:start w:val="1"/>
      <w:numFmt w:val="lowerRoman"/>
      <w:lvlText w:val="%6."/>
      <w:lvlJc w:val="right"/>
      <w:pPr>
        <w:tabs>
          <w:tab w:val="left" w:pos="2999"/>
        </w:tabs>
        <w:ind w:left="2999" w:hanging="420"/>
      </w:pPr>
    </w:lvl>
    <w:lvl w:ilvl="6">
      <w:start w:val="1"/>
      <w:numFmt w:val="decimal"/>
      <w:lvlText w:val="%7."/>
      <w:lvlJc w:val="left"/>
      <w:pPr>
        <w:tabs>
          <w:tab w:val="left" w:pos="3419"/>
        </w:tabs>
        <w:ind w:left="3419" w:hanging="420"/>
      </w:pPr>
    </w:lvl>
    <w:lvl w:ilvl="7">
      <w:start w:val="1"/>
      <w:numFmt w:val="lowerLetter"/>
      <w:lvlText w:val="%8)"/>
      <w:lvlJc w:val="left"/>
      <w:pPr>
        <w:tabs>
          <w:tab w:val="left" w:pos="3839"/>
        </w:tabs>
        <w:ind w:left="3839" w:hanging="420"/>
      </w:pPr>
    </w:lvl>
    <w:lvl w:ilvl="8">
      <w:start w:val="1"/>
      <w:numFmt w:val="lowerRoman"/>
      <w:lvlText w:val="%9."/>
      <w:lvlJc w:val="right"/>
      <w:pPr>
        <w:tabs>
          <w:tab w:val="left" w:pos="4259"/>
        </w:tabs>
        <w:ind w:left="4259" w:hanging="420"/>
      </w:pPr>
    </w:lvl>
  </w:abstractNum>
  <w:abstractNum w:abstractNumId="3">
    <w:nsid w:val="2D5563A4"/>
    <w:multiLevelType w:val="multilevel"/>
    <w:tmpl w:val="2D5563A4"/>
    <w:lvl w:ilvl="0">
      <w:start w:val="1"/>
      <w:numFmt w:val="decimal"/>
      <w:lvlText w:val="%1、"/>
      <w:lvlJc w:val="left"/>
      <w:pPr>
        <w:tabs>
          <w:tab w:val="left" w:pos="1437"/>
        </w:tabs>
        <w:ind w:left="1437" w:hanging="360"/>
      </w:pPr>
      <w:rPr>
        <w:rFonts w:hint="default"/>
      </w:rPr>
    </w:lvl>
    <w:lvl w:ilvl="1">
      <w:start w:val="1"/>
      <w:numFmt w:val="lowerLetter"/>
      <w:lvlText w:val="%2)"/>
      <w:lvlJc w:val="left"/>
      <w:pPr>
        <w:tabs>
          <w:tab w:val="left" w:pos="1917"/>
        </w:tabs>
        <w:ind w:left="1917" w:hanging="420"/>
      </w:pPr>
    </w:lvl>
    <w:lvl w:ilvl="2">
      <w:start w:val="1"/>
      <w:numFmt w:val="lowerRoman"/>
      <w:lvlText w:val="%3."/>
      <w:lvlJc w:val="right"/>
      <w:pPr>
        <w:tabs>
          <w:tab w:val="left" w:pos="2337"/>
        </w:tabs>
        <w:ind w:left="2337" w:hanging="420"/>
      </w:pPr>
    </w:lvl>
    <w:lvl w:ilvl="3">
      <w:start w:val="1"/>
      <w:numFmt w:val="decimal"/>
      <w:lvlText w:val="%4."/>
      <w:lvlJc w:val="left"/>
      <w:pPr>
        <w:tabs>
          <w:tab w:val="left" w:pos="2757"/>
        </w:tabs>
        <w:ind w:left="2757" w:hanging="420"/>
      </w:pPr>
    </w:lvl>
    <w:lvl w:ilvl="4">
      <w:start w:val="1"/>
      <w:numFmt w:val="lowerLetter"/>
      <w:lvlText w:val="%5)"/>
      <w:lvlJc w:val="left"/>
      <w:pPr>
        <w:tabs>
          <w:tab w:val="left" w:pos="3177"/>
        </w:tabs>
        <w:ind w:left="3177" w:hanging="420"/>
      </w:pPr>
    </w:lvl>
    <w:lvl w:ilvl="5">
      <w:start w:val="1"/>
      <w:numFmt w:val="lowerRoman"/>
      <w:lvlText w:val="%6."/>
      <w:lvlJc w:val="right"/>
      <w:pPr>
        <w:tabs>
          <w:tab w:val="left" w:pos="3597"/>
        </w:tabs>
        <w:ind w:left="3597" w:hanging="420"/>
      </w:pPr>
    </w:lvl>
    <w:lvl w:ilvl="6">
      <w:start w:val="1"/>
      <w:numFmt w:val="decimal"/>
      <w:lvlText w:val="%7."/>
      <w:lvlJc w:val="left"/>
      <w:pPr>
        <w:tabs>
          <w:tab w:val="left" w:pos="4017"/>
        </w:tabs>
        <w:ind w:left="4017" w:hanging="420"/>
      </w:pPr>
    </w:lvl>
    <w:lvl w:ilvl="7">
      <w:start w:val="1"/>
      <w:numFmt w:val="lowerLetter"/>
      <w:lvlText w:val="%8)"/>
      <w:lvlJc w:val="left"/>
      <w:pPr>
        <w:tabs>
          <w:tab w:val="left" w:pos="4437"/>
        </w:tabs>
        <w:ind w:left="4437" w:hanging="420"/>
      </w:pPr>
    </w:lvl>
    <w:lvl w:ilvl="8">
      <w:start w:val="1"/>
      <w:numFmt w:val="lowerRoman"/>
      <w:lvlText w:val="%9."/>
      <w:lvlJc w:val="right"/>
      <w:pPr>
        <w:tabs>
          <w:tab w:val="left" w:pos="4857"/>
        </w:tabs>
        <w:ind w:left="4857" w:hanging="420"/>
      </w:pPr>
    </w:lvl>
  </w:abstractNum>
  <w:abstractNum w:abstractNumId="4">
    <w:nsid w:val="3A99374E"/>
    <w:multiLevelType w:val="multilevel"/>
    <w:tmpl w:val="3A99374E"/>
    <w:lvl w:ilvl="0">
      <w:start w:val="1"/>
      <w:numFmt w:val="japaneseCounting"/>
      <w:lvlText w:val="%1、"/>
      <w:lvlJc w:val="left"/>
      <w:pPr>
        <w:tabs>
          <w:tab w:val="left" w:pos="1080"/>
        </w:tabs>
        <w:ind w:left="1080" w:hanging="60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5">
    <w:nsid w:val="3D687F99"/>
    <w:multiLevelType w:val="multilevel"/>
    <w:tmpl w:val="3D687F99"/>
    <w:lvl w:ilvl="0">
      <w:start w:val="2"/>
      <w:numFmt w:val="decimal"/>
      <w:lvlText w:val="%1、"/>
      <w:lvlJc w:val="left"/>
      <w:pPr>
        <w:tabs>
          <w:tab w:val="left" w:pos="839"/>
        </w:tabs>
        <w:ind w:left="839" w:hanging="360"/>
      </w:pPr>
      <w:rPr>
        <w:rFonts w:hint="eastAsia"/>
      </w:rPr>
    </w:lvl>
    <w:lvl w:ilvl="1">
      <w:start w:val="1"/>
      <w:numFmt w:val="lowerLetter"/>
      <w:lvlText w:val="%2)"/>
      <w:lvlJc w:val="left"/>
      <w:pPr>
        <w:tabs>
          <w:tab w:val="left" w:pos="1319"/>
        </w:tabs>
        <w:ind w:left="1319" w:hanging="420"/>
      </w:pPr>
    </w:lvl>
    <w:lvl w:ilvl="2">
      <w:start w:val="1"/>
      <w:numFmt w:val="lowerRoman"/>
      <w:lvlText w:val="%3."/>
      <w:lvlJc w:val="right"/>
      <w:pPr>
        <w:tabs>
          <w:tab w:val="left" w:pos="1739"/>
        </w:tabs>
        <w:ind w:left="1739" w:hanging="420"/>
      </w:pPr>
    </w:lvl>
    <w:lvl w:ilvl="3">
      <w:start w:val="1"/>
      <w:numFmt w:val="decimal"/>
      <w:lvlText w:val="%4."/>
      <w:lvlJc w:val="left"/>
      <w:pPr>
        <w:tabs>
          <w:tab w:val="left" w:pos="2159"/>
        </w:tabs>
        <w:ind w:left="2159" w:hanging="420"/>
      </w:pPr>
    </w:lvl>
    <w:lvl w:ilvl="4">
      <w:start w:val="1"/>
      <w:numFmt w:val="lowerLetter"/>
      <w:lvlText w:val="%5)"/>
      <w:lvlJc w:val="left"/>
      <w:pPr>
        <w:tabs>
          <w:tab w:val="left" w:pos="2579"/>
        </w:tabs>
        <w:ind w:left="2579" w:hanging="420"/>
      </w:pPr>
    </w:lvl>
    <w:lvl w:ilvl="5">
      <w:start w:val="1"/>
      <w:numFmt w:val="lowerRoman"/>
      <w:lvlText w:val="%6."/>
      <w:lvlJc w:val="right"/>
      <w:pPr>
        <w:tabs>
          <w:tab w:val="left" w:pos="2999"/>
        </w:tabs>
        <w:ind w:left="2999" w:hanging="420"/>
      </w:pPr>
    </w:lvl>
    <w:lvl w:ilvl="6">
      <w:start w:val="1"/>
      <w:numFmt w:val="decimal"/>
      <w:lvlText w:val="%7."/>
      <w:lvlJc w:val="left"/>
      <w:pPr>
        <w:tabs>
          <w:tab w:val="left" w:pos="3419"/>
        </w:tabs>
        <w:ind w:left="3419" w:hanging="420"/>
      </w:pPr>
    </w:lvl>
    <w:lvl w:ilvl="7">
      <w:start w:val="1"/>
      <w:numFmt w:val="lowerLetter"/>
      <w:lvlText w:val="%8)"/>
      <w:lvlJc w:val="left"/>
      <w:pPr>
        <w:tabs>
          <w:tab w:val="left" w:pos="3839"/>
        </w:tabs>
        <w:ind w:left="3839" w:hanging="420"/>
      </w:pPr>
    </w:lvl>
    <w:lvl w:ilvl="8">
      <w:start w:val="1"/>
      <w:numFmt w:val="lowerRoman"/>
      <w:lvlText w:val="%9."/>
      <w:lvlJc w:val="right"/>
      <w:pPr>
        <w:tabs>
          <w:tab w:val="left" w:pos="4259"/>
        </w:tabs>
        <w:ind w:left="4259" w:hanging="420"/>
      </w:pPr>
    </w:lvl>
  </w:abstractNum>
  <w:abstractNum w:abstractNumId="6">
    <w:nsid w:val="3D825353"/>
    <w:multiLevelType w:val="multilevel"/>
    <w:tmpl w:val="3D825353"/>
    <w:lvl w:ilvl="0">
      <w:start w:val="1"/>
      <w:numFmt w:val="decimal"/>
      <w:lvlText w:val="%1、"/>
      <w:lvlJc w:val="left"/>
      <w:pPr>
        <w:tabs>
          <w:tab w:val="left" w:pos="360"/>
        </w:tabs>
        <w:ind w:left="360" w:hanging="360"/>
      </w:pPr>
      <w:rPr>
        <w:rFonts w:ascii="黑体" w:eastAsia="黑体" w:hAnsi="Times New Roman" w:cs="Times New Roman"/>
      </w:rPr>
    </w:lvl>
    <w:lvl w:ilvl="1">
      <w:start w:val="1"/>
      <w:numFmt w:val="bullet"/>
      <w:lvlText w:val="◆"/>
      <w:lvlJc w:val="left"/>
      <w:pPr>
        <w:tabs>
          <w:tab w:val="left" w:pos="780"/>
        </w:tabs>
        <w:ind w:left="780" w:hanging="360"/>
      </w:pPr>
      <w:rPr>
        <w:rFonts w:ascii="楷体_GB2312" w:eastAsia="楷体_GB2312" w:hAnsi="Times New Roman" w:cs="Times New Roman" w:hint="eastAsia"/>
      </w:rPr>
    </w:lvl>
    <w:lvl w:ilvl="2">
      <w:start w:val="7"/>
      <w:numFmt w:val="decimal"/>
      <w:lvlText w:val="%3．"/>
      <w:lvlJc w:val="left"/>
      <w:pPr>
        <w:tabs>
          <w:tab w:val="left" w:pos="1560"/>
        </w:tabs>
        <w:ind w:left="1560" w:hanging="720"/>
      </w:pPr>
      <w:rPr>
        <w:rFonts w:hint="default"/>
      </w:rPr>
    </w:lvl>
    <w:lvl w:ilvl="3">
      <w:start w:val="1"/>
      <w:numFmt w:val="upperLetter"/>
      <w:lvlText w:val="%4、"/>
      <w:lvlJc w:val="left"/>
      <w:pPr>
        <w:tabs>
          <w:tab w:val="left" w:pos="1440"/>
        </w:tabs>
        <w:ind w:left="1440" w:hanging="360"/>
      </w:pPr>
      <w:rPr>
        <w:rFont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47147B1A"/>
    <w:multiLevelType w:val="multilevel"/>
    <w:tmpl w:val="47147B1A"/>
    <w:lvl w:ilvl="0">
      <w:start w:val="1"/>
      <w:numFmt w:val="bullet"/>
      <w:lvlText w:val=""/>
      <w:lvlJc w:val="left"/>
      <w:pPr>
        <w:tabs>
          <w:tab w:val="left" w:pos="1020"/>
        </w:tabs>
        <w:ind w:left="1020" w:hanging="420"/>
      </w:pPr>
      <w:rPr>
        <w:rFonts w:ascii="Wingdings" w:hAnsi="Wingdings" w:hint="default"/>
      </w:rPr>
    </w:lvl>
    <w:lvl w:ilvl="1">
      <w:start w:val="1"/>
      <w:numFmt w:val="bullet"/>
      <w:lvlText w:val=""/>
      <w:lvlJc w:val="left"/>
      <w:pPr>
        <w:tabs>
          <w:tab w:val="left" w:pos="1440"/>
        </w:tabs>
        <w:ind w:left="1440" w:hanging="420"/>
      </w:pPr>
      <w:rPr>
        <w:rFonts w:ascii="Wingdings" w:hAnsi="Wingdings" w:hint="default"/>
      </w:rPr>
    </w:lvl>
    <w:lvl w:ilvl="2">
      <w:start w:val="1"/>
      <w:numFmt w:val="bullet"/>
      <w:lvlText w:val=""/>
      <w:lvlJc w:val="left"/>
      <w:pPr>
        <w:tabs>
          <w:tab w:val="left" w:pos="1860"/>
        </w:tabs>
        <w:ind w:left="1860" w:hanging="420"/>
      </w:pPr>
      <w:rPr>
        <w:rFonts w:ascii="Wingdings" w:hAnsi="Wingdings" w:hint="default"/>
      </w:rPr>
    </w:lvl>
    <w:lvl w:ilvl="3">
      <w:start w:val="1"/>
      <w:numFmt w:val="bullet"/>
      <w:lvlText w:val=""/>
      <w:lvlJc w:val="left"/>
      <w:pPr>
        <w:tabs>
          <w:tab w:val="left" w:pos="2280"/>
        </w:tabs>
        <w:ind w:left="2280" w:hanging="420"/>
      </w:pPr>
      <w:rPr>
        <w:rFonts w:ascii="Wingdings" w:hAnsi="Wingdings" w:hint="default"/>
      </w:rPr>
    </w:lvl>
    <w:lvl w:ilvl="4">
      <w:start w:val="1"/>
      <w:numFmt w:val="bullet"/>
      <w:lvlText w:val=""/>
      <w:lvlJc w:val="left"/>
      <w:pPr>
        <w:tabs>
          <w:tab w:val="left" w:pos="2700"/>
        </w:tabs>
        <w:ind w:left="2700" w:hanging="420"/>
      </w:pPr>
      <w:rPr>
        <w:rFonts w:ascii="Wingdings" w:hAnsi="Wingdings" w:hint="default"/>
      </w:rPr>
    </w:lvl>
    <w:lvl w:ilvl="5">
      <w:start w:val="1"/>
      <w:numFmt w:val="bullet"/>
      <w:lvlText w:val=""/>
      <w:lvlJc w:val="left"/>
      <w:pPr>
        <w:tabs>
          <w:tab w:val="left" w:pos="3120"/>
        </w:tabs>
        <w:ind w:left="3120" w:hanging="420"/>
      </w:pPr>
      <w:rPr>
        <w:rFonts w:ascii="Wingdings" w:hAnsi="Wingdings" w:hint="default"/>
      </w:rPr>
    </w:lvl>
    <w:lvl w:ilvl="6">
      <w:start w:val="1"/>
      <w:numFmt w:val="bullet"/>
      <w:lvlText w:val=""/>
      <w:lvlJc w:val="left"/>
      <w:pPr>
        <w:tabs>
          <w:tab w:val="left" w:pos="3540"/>
        </w:tabs>
        <w:ind w:left="3540" w:hanging="420"/>
      </w:pPr>
      <w:rPr>
        <w:rFonts w:ascii="Wingdings" w:hAnsi="Wingdings" w:hint="default"/>
      </w:rPr>
    </w:lvl>
    <w:lvl w:ilvl="7">
      <w:start w:val="1"/>
      <w:numFmt w:val="bullet"/>
      <w:lvlText w:val=""/>
      <w:lvlJc w:val="left"/>
      <w:pPr>
        <w:tabs>
          <w:tab w:val="left" w:pos="3960"/>
        </w:tabs>
        <w:ind w:left="3960" w:hanging="420"/>
      </w:pPr>
      <w:rPr>
        <w:rFonts w:ascii="Wingdings" w:hAnsi="Wingdings" w:hint="default"/>
      </w:rPr>
    </w:lvl>
    <w:lvl w:ilvl="8">
      <w:start w:val="1"/>
      <w:numFmt w:val="bullet"/>
      <w:lvlText w:val=""/>
      <w:lvlJc w:val="left"/>
      <w:pPr>
        <w:tabs>
          <w:tab w:val="left" w:pos="4380"/>
        </w:tabs>
        <w:ind w:left="4380" w:hanging="420"/>
      </w:pPr>
      <w:rPr>
        <w:rFonts w:ascii="Wingdings" w:hAnsi="Wingdings" w:hint="default"/>
      </w:rPr>
    </w:lvl>
  </w:abstractNum>
  <w:abstractNum w:abstractNumId="8">
    <w:nsid w:val="4EF30999"/>
    <w:multiLevelType w:val="multilevel"/>
    <w:tmpl w:val="4EF30999"/>
    <w:lvl w:ilvl="0">
      <w:start w:val="6"/>
      <w:numFmt w:val="decimal"/>
      <w:lvlText w:val="%1"/>
      <w:lvlJc w:val="left"/>
      <w:pPr>
        <w:tabs>
          <w:tab w:val="left" w:pos="360"/>
        </w:tabs>
        <w:ind w:left="360" w:hanging="360"/>
      </w:pPr>
      <w:rPr>
        <w:rFonts w:hint="default"/>
        <w:b/>
        <w:sz w:val="28"/>
      </w:rPr>
    </w:lvl>
    <w:lvl w:ilvl="1">
      <w:start w:val="3"/>
      <w:numFmt w:val="decimal"/>
      <w:lvlText w:val="%1.%2"/>
      <w:lvlJc w:val="left"/>
      <w:pPr>
        <w:tabs>
          <w:tab w:val="left" w:pos="360"/>
        </w:tabs>
        <w:ind w:left="360" w:hanging="360"/>
      </w:pPr>
      <w:rPr>
        <w:rFonts w:hint="default"/>
        <w:b/>
        <w:sz w:val="28"/>
      </w:rPr>
    </w:lvl>
    <w:lvl w:ilvl="2">
      <w:start w:val="1"/>
      <w:numFmt w:val="decimal"/>
      <w:lvlText w:val="%1.%2.%3"/>
      <w:lvlJc w:val="left"/>
      <w:pPr>
        <w:tabs>
          <w:tab w:val="left" w:pos="720"/>
        </w:tabs>
        <w:ind w:left="720" w:hanging="720"/>
      </w:pPr>
      <w:rPr>
        <w:rFonts w:hint="default"/>
        <w:b/>
        <w:sz w:val="28"/>
      </w:rPr>
    </w:lvl>
    <w:lvl w:ilvl="3">
      <w:start w:val="1"/>
      <w:numFmt w:val="decimal"/>
      <w:lvlText w:val="%1.%2.%3.%4"/>
      <w:lvlJc w:val="left"/>
      <w:pPr>
        <w:tabs>
          <w:tab w:val="left" w:pos="1080"/>
        </w:tabs>
        <w:ind w:left="1080" w:hanging="1080"/>
      </w:pPr>
      <w:rPr>
        <w:rFonts w:hint="default"/>
        <w:b/>
        <w:sz w:val="28"/>
      </w:rPr>
    </w:lvl>
    <w:lvl w:ilvl="4">
      <w:start w:val="1"/>
      <w:numFmt w:val="decimal"/>
      <w:lvlText w:val="%1.%2.%3.%4.%5"/>
      <w:lvlJc w:val="left"/>
      <w:pPr>
        <w:tabs>
          <w:tab w:val="left" w:pos="1080"/>
        </w:tabs>
        <w:ind w:left="1080" w:hanging="1080"/>
      </w:pPr>
      <w:rPr>
        <w:rFonts w:hint="default"/>
        <w:b/>
        <w:sz w:val="28"/>
      </w:rPr>
    </w:lvl>
    <w:lvl w:ilvl="5">
      <w:start w:val="1"/>
      <w:numFmt w:val="decimal"/>
      <w:lvlText w:val="%1.%2.%3.%4.%5.%6"/>
      <w:lvlJc w:val="left"/>
      <w:pPr>
        <w:tabs>
          <w:tab w:val="left" w:pos="1440"/>
        </w:tabs>
        <w:ind w:left="1440" w:hanging="1440"/>
      </w:pPr>
      <w:rPr>
        <w:rFonts w:hint="default"/>
        <w:b/>
        <w:sz w:val="28"/>
      </w:rPr>
    </w:lvl>
    <w:lvl w:ilvl="6">
      <w:start w:val="1"/>
      <w:numFmt w:val="decimal"/>
      <w:lvlText w:val="%1.%2.%3.%4.%5.%6.%7"/>
      <w:lvlJc w:val="left"/>
      <w:pPr>
        <w:tabs>
          <w:tab w:val="left" w:pos="1800"/>
        </w:tabs>
        <w:ind w:left="1800" w:hanging="1800"/>
      </w:pPr>
      <w:rPr>
        <w:rFonts w:hint="default"/>
        <w:b/>
        <w:sz w:val="28"/>
      </w:rPr>
    </w:lvl>
    <w:lvl w:ilvl="7">
      <w:start w:val="1"/>
      <w:numFmt w:val="decimal"/>
      <w:lvlText w:val="%1.%2.%3.%4.%5.%6.%7.%8"/>
      <w:lvlJc w:val="left"/>
      <w:pPr>
        <w:tabs>
          <w:tab w:val="left" w:pos="1800"/>
        </w:tabs>
        <w:ind w:left="1800" w:hanging="1800"/>
      </w:pPr>
      <w:rPr>
        <w:rFonts w:hint="default"/>
        <w:b/>
        <w:sz w:val="28"/>
      </w:rPr>
    </w:lvl>
    <w:lvl w:ilvl="8">
      <w:start w:val="1"/>
      <w:numFmt w:val="decimal"/>
      <w:lvlText w:val="%1.%2.%3.%4.%5.%6.%7.%8.%9"/>
      <w:lvlJc w:val="left"/>
      <w:pPr>
        <w:tabs>
          <w:tab w:val="left" w:pos="2160"/>
        </w:tabs>
        <w:ind w:left="2160" w:hanging="2160"/>
      </w:pPr>
      <w:rPr>
        <w:rFonts w:hint="default"/>
        <w:b/>
        <w:sz w:val="28"/>
      </w:rPr>
    </w:lvl>
  </w:abstractNum>
  <w:abstractNum w:abstractNumId="9">
    <w:nsid w:val="5837AC54"/>
    <w:multiLevelType w:val="multilevel"/>
    <w:tmpl w:val="279E0B99"/>
    <w:lvl w:ilvl="0">
      <w:start w:val="1"/>
      <w:numFmt w:val="decimal"/>
      <w:lvlText w:val="%1、"/>
      <w:lvlJc w:val="left"/>
      <w:pPr>
        <w:tabs>
          <w:tab w:val="left" w:pos="839"/>
        </w:tabs>
        <w:ind w:left="839" w:hanging="360"/>
      </w:pPr>
      <w:rPr>
        <w:rFonts w:hint="eastAsia"/>
      </w:rPr>
    </w:lvl>
    <w:lvl w:ilvl="1">
      <w:start w:val="1"/>
      <w:numFmt w:val="lowerLetter"/>
      <w:lvlText w:val="%2)"/>
      <w:lvlJc w:val="left"/>
      <w:pPr>
        <w:tabs>
          <w:tab w:val="left" w:pos="1319"/>
        </w:tabs>
        <w:ind w:left="1319" w:hanging="420"/>
      </w:pPr>
    </w:lvl>
    <w:lvl w:ilvl="2">
      <w:start w:val="1"/>
      <w:numFmt w:val="lowerRoman"/>
      <w:lvlText w:val="%3."/>
      <w:lvlJc w:val="right"/>
      <w:pPr>
        <w:tabs>
          <w:tab w:val="left" w:pos="1739"/>
        </w:tabs>
        <w:ind w:left="1739" w:hanging="420"/>
      </w:pPr>
    </w:lvl>
    <w:lvl w:ilvl="3">
      <w:start w:val="1"/>
      <w:numFmt w:val="decimal"/>
      <w:lvlText w:val="%4."/>
      <w:lvlJc w:val="left"/>
      <w:pPr>
        <w:tabs>
          <w:tab w:val="left" w:pos="2159"/>
        </w:tabs>
        <w:ind w:left="2159" w:hanging="420"/>
      </w:pPr>
    </w:lvl>
    <w:lvl w:ilvl="4">
      <w:start w:val="1"/>
      <w:numFmt w:val="lowerLetter"/>
      <w:lvlText w:val="%5)"/>
      <w:lvlJc w:val="left"/>
      <w:pPr>
        <w:tabs>
          <w:tab w:val="left" w:pos="2579"/>
        </w:tabs>
        <w:ind w:left="2579" w:hanging="420"/>
      </w:pPr>
    </w:lvl>
    <w:lvl w:ilvl="5">
      <w:start w:val="1"/>
      <w:numFmt w:val="lowerRoman"/>
      <w:lvlText w:val="%6."/>
      <w:lvlJc w:val="right"/>
      <w:pPr>
        <w:tabs>
          <w:tab w:val="left" w:pos="2999"/>
        </w:tabs>
        <w:ind w:left="2999" w:hanging="420"/>
      </w:pPr>
    </w:lvl>
    <w:lvl w:ilvl="6">
      <w:start w:val="1"/>
      <w:numFmt w:val="decimal"/>
      <w:lvlText w:val="%7."/>
      <w:lvlJc w:val="left"/>
      <w:pPr>
        <w:tabs>
          <w:tab w:val="left" w:pos="3419"/>
        </w:tabs>
        <w:ind w:left="3419" w:hanging="420"/>
      </w:pPr>
    </w:lvl>
    <w:lvl w:ilvl="7">
      <w:start w:val="1"/>
      <w:numFmt w:val="lowerLetter"/>
      <w:lvlText w:val="%8)"/>
      <w:lvlJc w:val="left"/>
      <w:pPr>
        <w:tabs>
          <w:tab w:val="left" w:pos="3839"/>
        </w:tabs>
        <w:ind w:left="3839" w:hanging="420"/>
      </w:pPr>
    </w:lvl>
    <w:lvl w:ilvl="8">
      <w:start w:val="1"/>
      <w:numFmt w:val="lowerRoman"/>
      <w:lvlText w:val="%9."/>
      <w:lvlJc w:val="right"/>
      <w:pPr>
        <w:tabs>
          <w:tab w:val="left" w:pos="4259"/>
        </w:tabs>
        <w:ind w:left="4259" w:hanging="420"/>
      </w:pPr>
    </w:lvl>
  </w:abstractNum>
  <w:abstractNum w:abstractNumId="10">
    <w:nsid w:val="6C98495D"/>
    <w:multiLevelType w:val="multilevel"/>
    <w:tmpl w:val="6C98495D"/>
    <w:lvl w:ilvl="0">
      <w:start w:val="1"/>
      <w:numFmt w:val="decimal"/>
      <w:lvlText w:val="%1、"/>
      <w:lvlJc w:val="left"/>
      <w:pPr>
        <w:tabs>
          <w:tab w:val="left" w:pos="1500"/>
        </w:tabs>
        <w:ind w:left="1500" w:hanging="360"/>
      </w:pPr>
      <w:rPr>
        <w:rFonts w:hint="eastAsia"/>
      </w:rPr>
    </w:lvl>
    <w:lvl w:ilvl="1">
      <w:start w:val="1"/>
      <w:numFmt w:val="lowerLetter"/>
      <w:lvlText w:val="%2)"/>
      <w:lvlJc w:val="left"/>
      <w:pPr>
        <w:tabs>
          <w:tab w:val="left" w:pos="1980"/>
        </w:tabs>
        <w:ind w:left="1980" w:hanging="420"/>
      </w:pPr>
    </w:lvl>
    <w:lvl w:ilvl="2">
      <w:start w:val="1"/>
      <w:numFmt w:val="lowerRoman"/>
      <w:lvlText w:val="%3."/>
      <w:lvlJc w:val="right"/>
      <w:pPr>
        <w:tabs>
          <w:tab w:val="left" w:pos="2400"/>
        </w:tabs>
        <w:ind w:left="2400" w:hanging="420"/>
      </w:pPr>
    </w:lvl>
    <w:lvl w:ilvl="3">
      <w:start w:val="1"/>
      <w:numFmt w:val="decimal"/>
      <w:lvlText w:val="%4."/>
      <w:lvlJc w:val="left"/>
      <w:pPr>
        <w:tabs>
          <w:tab w:val="left" w:pos="2820"/>
        </w:tabs>
        <w:ind w:left="2820" w:hanging="420"/>
      </w:pPr>
    </w:lvl>
    <w:lvl w:ilvl="4">
      <w:start w:val="1"/>
      <w:numFmt w:val="lowerLetter"/>
      <w:lvlText w:val="%5)"/>
      <w:lvlJc w:val="left"/>
      <w:pPr>
        <w:tabs>
          <w:tab w:val="left" w:pos="3240"/>
        </w:tabs>
        <w:ind w:left="3240" w:hanging="420"/>
      </w:pPr>
    </w:lvl>
    <w:lvl w:ilvl="5">
      <w:start w:val="1"/>
      <w:numFmt w:val="lowerRoman"/>
      <w:lvlText w:val="%6."/>
      <w:lvlJc w:val="right"/>
      <w:pPr>
        <w:tabs>
          <w:tab w:val="left" w:pos="3660"/>
        </w:tabs>
        <w:ind w:left="3660" w:hanging="420"/>
      </w:pPr>
    </w:lvl>
    <w:lvl w:ilvl="6">
      <w:start w:val="1"/>
      <w:numFmt w:val="decimal"/>
      <w:lvlText w:val="%7."/>
      <w:lvlJc w:val="left"/>
      <w:pPr>
        <w:tabs>
          <w:tab w:val="left" w:pos="4080"/>
        </w:tabs>
        <w:ind w:left="4080" w:hanging="420"/>
      </w:pPr>
    </w:lvl>
    <w:lvl w:ilvl="7">
      <w:start w:val="1"/>
      <w:numFmt w:val="lowerLetter"/>
      <w:lvlText w:val="%8)"/>
      <w:lvlJc w:val="left"/>
      <w:pPr>
        <w:tabs>
          <w:tab w:val="left" w:pos="4500"/>
        </w:tabs>
        <w:ind w:left="4500" w:hanging="420"/>
      </w:pPr>
    </w:lvl>
    <w:lvl w:ilvl="8">
      <w:start w:val="1"/>
      <w:numFmt w:val="lowerRoman"/>
      <w:lvlText w:val="%9."/>
      <w:lvlJc w:val="right"/>
      <w:pPr>
        <w:tabs>
          <w:tab w:val="left" w:pos="4920"/>
        </w:tabs>
        <w:ind w:left="4920" w:hanging="420"/>
      </w:pPr>
    </w:lvl>
  </w:abstractNum>
  <w:abstractNum w:abstractNumId="11">
    <w:nsid w:val="7D4A63C7"/>
    <w:multiLevelType w:val="multilevel"/>
    <w:tmpl w:val="7D4A63C7"/>
    <w:lvl w:ilvl="0">
      <w:start w:val="1"/>
      <w:numFmt w:val="decimal"/>
      <w:lvlText w:val="%1、"/>
      <w:lvlJc w:val="left"/>
      <w:pPr>
        <w:tabs>
          <w:tab w:val="left" w:pos="900"/>
        </w:tabs>
        <w:ind w:left="900" w:hanging="360"/>
      </w:pPr>
      <w:rPr>
        <w:rFonts w:hint="default"/>
      </w:rPr>
    </w:lvl>
    <w:lvl w:ilvl="1">
      <w:start w:val="1"/>
      <w:numFmt w:val="lowerLetter"/>
      <w:lvlText w:val="%2)"/>
      <w:lvlJc w:val="left"/>
      <w:pPr>
        <w:tabs>
          <w:tab w:val="left" w:pos="1380"/>
        </w:tabs>
        <w:ind w:left="1380" w:hanging="420"/>
      </w:pPr>
    </w:lvl>
    <w:lvl w:ilvl="2">
      <w:start w:val="1"/>
      <w:numFmt w:val="lowerRoman"/>
      <w:lvlText w:val="%3."/>
      <w:lvlJc w:val="right"/>
      <w:pPr>
        <w:tabs>
          <w:tab w:val="left" w:pos="1800"/>
        </w:tabs>
        <w:ind w:left="1800" w:hanging="420"/>
      </w:pPr>
    </w:lvl>
    <w:lvl w:ilvl="3">
      <w:start w:val="1"/>
      <w:numFmt w:val="decimal"/>
      <w:lvlText w:val="%4."/>
      <w:lvlJc w:val="left"/>
      <w:pPr>
        <w:tabs>
          <w:tab w:val="left" w:pos="2220"/>
        </w:tabs>
        <w:ind w:left="2220" w:hanging="420"/>
      </w:pPr>
    </w:lvl>
    <w:lvl w:ilvl="4">
      <w:start w:val="1"/>
      <w:numFmt w:val="lowerLetter"/>
      <w:lvlText w:val="%5)"/>
      <w:lvlJc w:val="left"/>
      <w:pPr>
        <w:tabs>
          <w:tab w:val="left" w:pos="2640"/>
        </w:tabs>
        <w:ind w:left="2640" w:hanging="420"/>
      </w:pPr>
    </w:lvl>
    <w:lvl w:ilvl="5">
      <w:start w:val="1"/>
      <w:numFmt w:val="lowerRoman"/>
      <w:lvlText w:val="%6."/>
      <w:lvlJc w:val="right"/>
      <w:pPr>
        <w:tabs>
          <w:tab w:val="left" w:pos="3060"/>
        </w:tabs>
        <w:ind w:left="3060" w:hanging="420"/>
      </w:pPr>
    </w:lvl>
    <w:lvl w:ilvl="6">
      <w:start w:val="1"/>
      <w:numFmt w:val="decimal"/>
      <w:lvlText w:val="%7."/>
      <w:lvlJc w:val="left"/>
      <w:pPr>
        <w:tabs>
          <w:tab w:val="left" w:pos="3480"/>
        </w:tabs>
        <w:ind w:left="3480" w:hanging="420"/>
      </w:pPr>
    </w:lvl>
    <w:lvl w:ilvl="7">
      <w:start w:val="1"/>
      <w:numFmt w:val="lowerLetter"/>
      <w:lvlText w:val="%8)"/>
      <w:lvlJc w:val="left"/>
      <w:pPr>
        <w:tabs>
          <w:tab w:val="left" w:pos="3900"/>
        </w:tabs>
        <w:ind w:left="3900" w:hanging="420"/>
      </w:pPr>
    </w:lvl>
    <w:lvl w:ilvl="8">
      <w:start w:val="1"/>
      <w:numFmt w:val="lowerRoman"/>
      <w:lvlText w:val="%9."/>
      <w:lvlJc w:val="right"/>
      <w:pPr>
        <w:tabs>
          <w:tab w:val="left" w:pos="4320"/>
        </w:tabs>
        <w:ind w:left="4320" w:hanging="420"/>
      </w:pPr>
    </w:lvl>
  </w:abstractNum>
  <w:num w:numId="1">
    <w:abstractNumId w:val="5"/>
  </w:num>
  <w:num w:numId="2">
    <w:abstractNumId w:val="2"/>
  </w:num>
  <w:num w:numId="3">
    <w:abstractNumId w:val="8"/>
  </w:num>
  <w:num w:numId="4">
    <w:abstractNumId w:val="6"/>
  </w:num>
  <w:num w:numId="5">
    <w:abstractNumId w:val="3"/>
  </w:num>
  <w:num w:numId="6">
    <w:abstractNumId w:val="7"/>
  </w:num>
  <w:num w:numId="7">
    <w:abstractNumId w:val="4"/>
  </w:num>
  <w:num w:numId="8">
    <w:abstractNumId w:val="11"/>
  </w:num>
  <w:num w:numId="9">
    <w:abstractNumId w:val="0"/>
  </w:num>
  <w:num w:numId="10">
    <w:abstractNumId w:val="1"/>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7D1BB9"/>
    <w:rsid w:val="00C1729B"/>
    <w:rsid w:val="00C3480A"/>
    <w:rsid w:val="00D16826"/>
    <w:rsid w:val="00E73211"/>
    <w:rsid w:val="00EF34AA"/>
    <w:rsid w:val="00FC25C7"/>
    <w:rsid w:val="1B775F20"/>
    <w:rsid w:val="49B755B6"/>
    <w:rsid w:val="53D629E8"/>
    <w:rsid w:val="5E280D51"/>
    <w:rsid w:val="66CE4B0C"/>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uiPriority w:val="9"/>
    <w:qFormat/>
    <w:pPr>
      <w:keepNext/>
      <w:keepLines/>
      <w:spacing w:before="340" w:after="330" w:line="578" w:lineRule="auto"/>
      <w:outlineLvl w:val="0"/>
    </w:pPr>
    <w:rPr>
      <w:rFonts w:ascii="Times New Roman" w:hAnsi="Times New Roman"/>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pPr>
    <w:rPr>
      <w:rFonts w:ascii="Times New Roman" w:eastAsia="PMingLiU" w:hAnsi="Times New Roman" w:cstheme="minorBidi"/>
      <w:kern w:val="2"/>
      <w:sz w:val="24"/>
      <w:szCs w:val="24"/>
      <w:lang w:val="en-US" w:eastAsia="zh-TW" w:bidi="ar-SA"/>
    </w:rPr>
  </w:style>
  <w:style w:type="paragraph" w:styleId="BodyTextIndent">
    <w:name w:val="Body Text Indent"/>
    <w:basedOn w:val="Normal"/>
    <w:pPr>
      <w:ind w:firstLine="359" w:firstLineChars="171"/>
    </w:pPr>
    <w:rPr>
      <w:rFonts w:ascii="Times New Roman" w:hAnsi="Times New Roman"/>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paragraph" w:customStyle="1" w:styleId="Web1">
    <w:name w:val="普通(Web)1"/>
    <w:basedOn w:val="Normal"/>
    <w:pPr>
      <w:widowControl/>
      <w:spacing w:before="75"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yperlink" Target="https://d.book118.com/408016122106006045" TargetMode="Externa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header" Target="header1.xml" /><Relationship Id="rId50"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6"/>
    <customShpInfo spid="_x0000_s1027"/>
    <customShpInfo spid="_x0000_s1028"/>
    <customShpInfo spid="_x0000_s1029"/>
    <customShpInfo spid="_x0000_s1030"/>
    <customShpInfo spid="_x0000_s1032"/>
    <customShpInfo spid="_x0000_s1033"/>
    <customShpInfo spid="_x0000_s1031"/>
    <customShpInfo spid="_x0000_s1034"/>
    <customShpInfo spid="_x0000_s1035"/>
    <customShpInfo spid="_x0000_s1036"/>
    <customShpInfo spid="_x0000_s1037"/>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28</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2024-02-28T22:19:21Z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93D1DC43D7FB4AAE9C4541A57F3E592D_12</vt:lpwstr>
  </property>
  <property fmtid="{D5CDD505-2E9C-101B-9397-08002B2CF9AE}" pid="3" name="KSOProductBuildVer">
    <vt:lpwstr>2052-12.1.0.16388</vt:lpwstr>
  </property>
</Properties>
</file>