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2018-2023年武汉城市职业学院高职单招（数学／语文／英语）历年常考试题库含答案解析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苏轼的《水调歌头》（明月几时有）是一首（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A.清明词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B.重阳词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C.端午词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D.中秋词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屠格涅夫的成名作是（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A.《罗亭》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B.《猎人笔记》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C.《木木》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D.《阿霞》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下列作品属于郭沫若所创作的一组是（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A.《北方》《红烛》《屈原》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B.《女神》《死水》《屈原》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C.《女神》《云游集》《猛虎集》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D.《屈原》《王昭君》《蔡文姬》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《红楼梦》的体裁是（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A.长篇章回白话小说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B.长篇文言文小说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C.诗体韵文小说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D.现实主义小说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下列关于《礼记·大同》的表述，不正确的一项是（）。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A.论述了“大同”与“小康”的不同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B.为增强说理气势，多处使用夸张、比喻等修辞手法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C.间接反映了对现实的不满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D.表达了孔子对原始共产主义社会的向往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下列关于《庄子·秋水》的表述，不正确的一项是（）。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A.“东面而视，不见水端”描写了北海的辽阔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B.“两涘渚崖之间，不辩牛马”描写了黄河水上涨的景色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C.“吾长见笑于大方之家”说明河伯认识到了自己的局限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D.“天下之水，莫大于海”写出了北海若骄傲自得的心态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“赋”作为一种文体，成熟于（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A.战国时代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B.汉代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C.唐代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D.宋代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《蜀相》是一首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A.山水诗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B.田园诗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C.边塞诗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D.怀古诗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“忽如一夜春风来，千树万树梨花开”这两句诗所采用的修辞方法是（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D.借代、夸张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下列诗歌中，体裁不属于乐府诗的一项是（）。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A.《陌上桑》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D.《杜陵叟》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提出新格律诗“三美”主张的诗人是（）。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A.郭沫若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B.徐志摩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C.闻一多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D.艾青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李煜《虞美人》的主题是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A.羁旅行役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B.亡国之恨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C.伤春悲秋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D.怀古伤今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“山不厌高，水不厌深”的作者是（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C.曹操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D.司马迁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中国诗歌史上诗歌流传下来最多的诗人是（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A.陆游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https://d.book118.com/408064070132006040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408064070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