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2024年异丙苯行业分析报告及未来五到十年行业发展趋势报告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4412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_Toc4412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5069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_Toc25069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72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_Toc27725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86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_Toc12867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044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_Toc25044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928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_Toc31928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971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_Toc25971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7289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_Toc7289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32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_Toc2932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92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_Toc2892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102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_Toc19102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332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_Toc8332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742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_Toc12742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95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_Toc6395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241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_Toc22241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838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_Toc13838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213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_Toc13213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876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_Toc30876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72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_Toc972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072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_Toc23072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211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_Toc7211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617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_Toc16617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28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_Toc9281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82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_Toc3824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428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_Toc13428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6662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_Toc26662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8579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_Toc8579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823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_Toc29823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690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_Toc18690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156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_Toc17156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728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_Toc3728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23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_Toc24232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682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_Toc30682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332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_Toc27332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457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_Toc1457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66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_Toc3166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832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_Toc6832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127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_Toc20127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0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_Toc1103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5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_Toc25653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535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_Toc8535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798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_Toc29798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600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_Toc14600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3075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_Toc23075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795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_Toc28795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366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_Toc11366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722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_Toc30722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224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_Toc25224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290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_Toc6290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502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_Toc15502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815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_Toc18815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741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_Toc5741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992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_Toc30992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132" w:history="1">
        <w:r>
          <w:rPr>
            <w:rFonts w:eastAsia="微软雅黑" w:hint="eastAsia"/>
            <w:snapToGrid/>
            <w:lang w:val="en-US" w:eastAsia="en-US"/>
          </w:rPr>
          <w:t>九、关于未来5-10年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_Toc18132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098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_Toc18098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13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_Toc27913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178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_Toc9178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372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_Toc28372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4546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行业突破瓶颈的挑战分析</w:t>
        </w:r>
        <w:r>
          <w:tab/>
        </w:r>
        <w:r>
          <w:fldChar w:fldCharType="begin"/>
        </w:r>
        <w:r>
          <w:instrText xml:space="preserve"> PAGEREF _Toc14546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1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行业发展特点分析</w:t>
        </w:r>
        <w:r>
          <w:tab/>
        </w:r>
        <w:r>
          <w:fldChar w:fldCharType="begin"/>
        </w:r>
        <w:r>
          <w:instrText xml:space="preserve"> PAGEREF _Toc11914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37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行业的市场渠道挑战</w:t>
        </w:r>
        <w:r>
          <w:tab/>
        </w:r>
        <w:r>
          <w:fldChar w:fldCharType="begin"/>
        </w:r>
        <w:r>
          <w:instrText xml:space="preserve"> PAGEREF _Toc5374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98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行业5-10年创新发展的挑战点</w:t>
        </w:r>
        <w:r>
          <w:tab/>
        </w:r>
        <w:r>
          <w:fldChar w:fldCharType="begin"/>
        </w:r>
        <w:r>
          <w:instrText xml:space="preserve"> PAGEREF _Toc698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1884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_Toc11884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42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_Toc1042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769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_Toc4769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107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_Toc11107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8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_Toc31485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68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异丙苯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_Toc18687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745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_Toc18745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559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异丙苯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_Toc26559 \h </w:instrText>
        </w:r>
        <w:r>
          <w:fldChar w:fldCharType="separate"/>
        </w:r>
        <w:r>
          <w:t>30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https://d.book118.com/415033114212011040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415033114212011040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