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77B3E" w:rsidRPr="00ED68D6" w:rsidP="00ED68D6" w14:paraId="2561A437" w14:textId="77777777">
      <w:pPr>
        <w:spacing w:before="48" w:beforeLines="20" w:after="360" w:afterLines="150" w:line="360" w:lineRule="auto"/>
        <w:jc w:val="center"/>
        <w:rPr>
          <w:rFonts w:ascii="华文中宋" w:eastAsia="华文中宋" w:hAnsi="华文中宋"/>
          <w:b/>
          <w:sz w:val="30"/>
        </w:rPr>
      </w:pPr>
      <w:r w:rsidRPr="00ED68D6">
        <w:rPr>
          <w:rFonts w:ascii="华文中宋" w:eastAsia="华文中宋" w:hAnsi="华文中宋"/>
          <w:b/>
          <w:sz w:val="30"/>
        </w:rPr>
        <w:t>2024</w:t>
      </w:r>
      <w:r w:rsidRPr="00ED68D6">
        <w:rPr>
          <w:rFonts w:ascii="华文中宋" w:eastAsia="华文中宋" w:hAnsi="华文中宋"/>
          <w:b/>
          <w:sz w:val="30"/>
        </w:rPr>
        <w:t>年无锡市国联发展集团有限公司人员招聘考试题库及答案解析</w:t>
      </w:r>
    </w:p>
    <w:p w:rsidR="00A77B3E" w14:paraId="2DE59378" w14:textId="77777777">
      <w:pPr>
        <w:spacing w:after="260" w:line="360" w:lineRule="auto"/>
        <w:jc w:val="center"/>
        <w:rPr>
          <w:sz w:val="21"/>
        </w:rPr>
      </w:pPr>
      <w:r>
        <w:rPr>
          <w:rFonts w:eastAsia="微软雅黑"/>
        </w:rPr>
        <w:t>毕业院校：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姓名：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考场：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考号：</w:t>
      </w:r>
      <w:r>
        <w:rPr>
          <w:rFonts w:eastAsia="微软雅黑"/>
        </w:rPr>
        <w:t>__________</w:t>
      </w:r>
    </w:p>
    <w:p w:rsidR="00A77B3E" w14:paraId="5B5732FE" w14:textId="77777777">
      <w:pPr>
        <w:spacing w:after="260" w:line="360" w:lineRule="auto"/>
      </w:pPr>
      <w:r>
        <w:rPr>
          <w:rFonts w:eastAsia="微软雅黑" w:cs="宋体"/>
          <w:b/>
        </w:rPr>
        <w:t>一、言语理解与表达</w:t>
      </w:r>
    </w:p>
    <w:p w:rsidR="00E0697D" w14:paraId="3B4C104B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color w:val="0000FF"/>
          <w:szCs w:val="18"/>
        </w:rPr>
        <w:t>1</w:t>
      </w:r>
      <w:r w:rsidRPr="00E0697D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E0697D">
        <w:rPr>
          <w:rFonts w:ascii="Times New Roman" w:eastAsia="微软雅黑" w:hAnsi="微软雅黑" w:cs="宋体" w:hint="eastAsia"/>
          <w:szCs w:val="18"/>
        </w:rPr>
        <w:t>多年以来，医生和家属对待癌症患者大多采用这样的态度，即向患者隐瞒已得癌症的实情，这种做法医学上叫做“保护性医疗”，其目的在于减少患者的心理负担。但是北京肿瘤医院新设立的康复科主任张宗卫大夫却主张实行“公开性治疗”。</w:t>
      </w:r>
    </w:p>
    <w:p w:rsidR="00E0697D" w14:paraId="7019D4CD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我们可推知下文要论述的是</w:t>
      </w:r>
      <w:r w:rsidRPr="00E0697D">
        <w:rPr>
          <w:rFonts w:ascii="Times New Roman" w:eastAsia="微软雅黑" w:hAnsi="微软雅黑" w:cs="宋体" w:hint="eastAsia"/>
          <w:szCs w:val="18"/>
        </w:rPr>
        <w:t>()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2A05A839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、医生和家属如何采用“保护性医疗”</w:t>
      </w:r>
    </w:p>
    <w:p w:rsidR="00E0697D" w14:paraId="36134DFA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、“</w:t>
      </w:r>
      <w:r w:rsidRPr="00E0697D">
        <w:rPr>
          <w:rFonts w:ascii="Times New Roman" w:eastAsia="微软雅黑" w:hAnsi="微软雅黑" w:cs="宋体" w:hint="eastAsia"/>
          <w:szCs w:val="18"/>
        </w:rPr>
        <w:t>保护性医疗”的好处的具体表现</w:t>
      </w:r>
    </w:p>
    <w:p w:rsidR="00E0697D" w14:paraId="1DA33D4C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、张宗卫大夫之所以主张实行“公开性治疗”的原因</w:t>
      </w:r>
    </w:p>
    <w:p w:rsidR="00E0697D" w14:paraId="1A735F68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、“保护性医疗”的弊端</w:t>
      </w:r>
    </w:p>
    <w:p w:rsidR="00E0697D" w14:paraId="571FE79B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E0697D">
        <w:rPr>
          <w:rFonts w:ascii="Times New Roman" w:eastAsia="微软雅黑" w:hAnsi="微软雅黑" w:cs="宋体" w:hint="eastAsia"/>
          <w:szCs w:val="18"/>
        </w:rPr>
        <w:t>C</w:t>
      </w:r>
    </w:p>
    <w:p w:rsidR="00E0697D" w14:paraId="7E050271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E0697D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E0697D">
        <w:rPr>
          <w:rFonts w:ascii="Times New Roman" w:eastAsia="微软雅黑" w:hAnsi="微软雅黑" w:cs="宋体" w:hint="eastAsia"/>
          <w:szCs w:val="18"/>
        </w:rPr>
        <w:t>片段的前半部分主要讲述的是保护性医疗，然后话锋突转“但是北京肿瘤医院新设立的康复科主任张宗卫大夫却主张实行‘公开性治疗’”，可见前面只是在做铺垫，换句话说就是在造势，真正要进行论述的是“公开性治疗”。故选项</w:t>
      </w: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正确。</w:t>
      </w:r>
    </w:p>
    <w:p w:rsidR="00E0697D" w14:paraId="213BA0CA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134" w:right="1474" w:bottom="1134" w:left="1474" w:header="708" w:footer="708" w:gutter="0"/>
          <w:cols w:sep="1" w:space="708"/>
          <w:docGrid w:linePitch="360"/>
        </w:sectPr>
      </w:pPr>
      <w:r w:rsidRPr="00E0697D">
        <w:rPr>
          <w:rFonts w:ascii="Times New Roman" w:eastAsia="微软雅黑" w:hAnsi="微软雅黑" w:cs="宋体" w:hint="eastAsia"/>
          <w:color w:val="0000FF"/>
          <w:szCs w:val="18"/>
        </w:rPr>
        <w:t>2</w:t>
      </w:r>
      <w:r w:rsidRPr="00E0697D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E0697D">
        <w:rPr>
          <w:rFonts w:ascii="Times New Roman" w:eastAsia="微软雅黑" w:hAnsi="微软雅黑" w:cs="宋体" w:hint="eastAsia"/>
          <w:szCs w:val="18"/>
        </w:rPr>
        <w:t>何谓魔幻现实主义</w:t>
      </w:r>
      <w:r w:rsidRPr="00E0697D">
        <w:rPr>
          <w:rFonts w:ascii="Times New Roman" w:eastAsia="微软雅黑" w:hAnsi="微软雅黑" w:cs="宋体" w:hint="eastAsia"/>
          <w:szCs w:val="18"/>
        </w:rPr>
        <w:t>?</w:t>
      </w:r>
      <w:r w:rsidRPr="00E0697D">
        <w:rPr>
          <w:rFonts w:ascii="Times New Roman" w:eastAsia="微软雅黑" w:hAnsi="微软雅黑" w:cs="宋体" w:hint="eastAsia"/>
          <w:szCs w:val="18"/>
        </w:rPr>
        <w:t>简单地说就是给现实披上一层光怪陆离的魔幻外衣，但又不损害现实的本相。这是</w:t>
      </w:r>
      <w:r w:rsidRPr="00E0697D">
        <w:rPr>
          <w:rFonts w:ascii="Times New Roman" w:eastAsia="微软雅黑" w:hAnsi="微软雅黑" w:cs="宋体" w:hint="eastAsia"/>
          <w:szCs w:val="18"/>
        </w:rPr>
        <w:t>20</w:t>
      </w:r>
      <w:r w:rsidRPr="00E0697D">
        <w:rPr>
          <w:rFonts w:ascii="Times New Roman" w:eastAsia="微软雅黑" w:hAnsi="微软雅黑" w:cs="宋体" w:hint="eastAsia"/>
          <w:szCs w:val="18"/>
        </w:rPr>
        <w:t>世纪拉美最重要的小说流派，发轫于</w:t>
      </w:r>
      <w:r w:rsidRPr="00E0697D">
        <w:rPr>
          <w:rFonts w:ascii="Times New Roman" w:eastAsia="微软雅黑" w:hAnsi="微软雅黑" w:cs="宋体" w:hint="eastAsia"/>
          <w:szCs w:val="18"/>
        </w:rPr>
        <w:t>30</w:t>
      </w:r>
      <w:r w:rsidRPr="00E0697D">
        <w:rPr>
          <w:rFonts w:ascii="Times New Roman" w:eastAsia="微软雅黑" w:hAnsi="微软雅黑" w:cs="宋体" w:hint="eastAsia"/>
          <w:szCs w:val="18"/>
        </w:rPr>
        <w:t>年代，早期主要表现为对美洲印第安人和黑人神话传说的发掘，</w:t>
      </w:r>
      <w:r w:rsidRPr="00E0697D">
        <w:rPr>
          <w:rFonts w:ascii="Times New Roman" w:eastAsia="微软雅黑" w:hAnsi="微软雅黑" w:cs="宋体" w:hint="eastAsia"/>
          <w:szCs w:val="18"/>
        </w:rPr>
        <w:t>40</w:t>
      </w:r>
      <w:r w:rsidRPr="00E0697D">
        <w:rPr>
          <w:rFonts w:ascii="Times New Roman" w:eastAsia="微软雅黑" w:hAnsi="微软雅黑" w:cs="宋体" w:hint="eastAsia"/>
          <w:szCs w:val="18"/>
        </w:rPr>
        <w:t>年代后演化为对拉美社会现实的深刻反</w:t>
      </w:r>
    </w:p>
    <w:p w:rsidR="00E0697D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思。通过各种神话原型的显现以展示拉美文化的混杂和社会的畸形。而魔幻现实主义之所以能在拉美生根开花，与这块大陆独特的文明和社会现实密不可分。</w:t>
      </w:r>
    </w:p>
    <w:p w:rsidR="00E0697D" w14:paraId="0794230D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接下来极可能介绍的是</w:t>
      </w:r>
      <w:r w:rsidRPr="00E0697D">
        <w:rPr>
          <w:rFonts w:ascii="Times New Roman" w:eastAsia="微软雅黑" w:hAnsi="微软雅黑" w:cs="宋体" w:hint="eastAsia"/>
          <w:szCs w:val="18"/>
        </w:rPr>
        <w:t>()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59117001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、拉美作家如何在作品中体现对民族命运和现实生活的向往</w:t>
      </w:r>
    </w:p>
    <w:p w:rsidR="00E0697D" w14:paraId="0D02BEBE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、反映拉美社会现实的魔幻现实主义代表作家和作品</w:t>
      </w:r>
    </w:p>
    <w:p w:rsidR="00E0697D" w14:paraId="3D5C3379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、拉美文学随着魔幻现实主义的兴盛而呈繁荣局面</w:t>
      </w:r>
    </w:p>
    <w:p w:rsidR="00E0697D" w14:paraId="152F887E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、拉美文明和社会特点对魔幻现实主义的影响</w:t>
      </w:r>
    </w:p>
    <w:p w:rsidR="00E0697D" w14:paraId="5B9413F3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E0697D">
        <w:rPr>
          <w:rFonts w:ascii="Times New Roman" w:eastAsia="微软雅黑" w:hAnsi="微软雅黑" w:cs="宋体" w:hint="eastAsia"/>
          <w:szCs w:val="18"/>
        </w:rPr>
        <w:t>D</w:t>
      </w:r>
    </w:p>
    <w:p w:rsidR="00E0697D" w14:paraId="5ACE4ABC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E0697D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E0697D">
        <w:rPr>
          <w:rFonts w:ascii="Times New Roman" w:eastAsia="微软雅黑" w:hAnsi="微软雅黑" w:cs="宋体" w:hint="eastAsia"/>
          <w:szCs w:val="18"/>
        </w:rPr>
        <w:t>下文推断题，整个文段围绕“魔幻现实主义”</w:t>
      </w:r>
      <w:r w:rsidRPr="00E0697D">
        <w:rPr>
          <w:rFonts w:ascii="Times New Roman" w:eastAsia="微软雅黑" w:hAnsi="微软雅黑" w:cs="宋体" w:hint="eastAsia"/>
          <w:szCs w:val="18"/>
        </w:rPr>
        <w:t>在谈，文段结尾提及魔幻现实主义跟拉美的文明和社会有关，下文就围绕这种关系谈。故选</w:t>
      </w: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3715F8FF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color w:val="0000FF"/>
          <w:szCs w:val="18"/>
        </w:rPr>
        <w:t>3</w:t>
      </w:r>
      <w:r w:rsidRPr="00E0697D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E0697D">
        <w:rPr>
          <w:rFonts w:ascii="Times New Roman" w:eastAsia="微软雅黑" w:hAnsi="微软雅黑" w:cs="宋体" w:hint="eastAsia"/>
          <w:szCs w:val="18"/>
        </w:rPr>
        <w:t>做一件事，往往有利也有弊，只有利而无弊的事情几乎没有的。《淮南子·人间训》云：“众人皆知利利而病病，唯圣人知病之为利，利之为病也。”看来古人已经注意到利弊的辩证关系。</w:t>
      </w:r>
    </w:p>
    <w:p w:rsidR="00E0697D" w14:paraId="60FE1B49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这段文字中的引文，意在说明</w:t>
      </w:r>
      <w:r w:rsidRPr="00E0697D">
        <w:rPr>
          <w:rFonts w:ascii="Times New Roman" w:eastAsia="微软雅黑" w:hAnsi="微软雅黑" w:cs="宋体" w:hint="eastAsia"/>
          <w:szCs w:val="18"/>
        </w:rPr>
        <w:t>()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0F69B8C2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、任何事情既有利也有弊</w:t>
      </w:r>
    </w:p>
    <w:p w:rsidR="00E0697D" w14:paraId="65E199E7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、众人趋利而避病</w:t>
      </w:r>
    </w:p>
    <w:p w:rsidR="00E0697D" w14:paraId="1ADA324C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、圣人驱病而避利</w:t>
      </w:r>
    </w:p>
    <w:p w:rsidR="00E0697D" w14:paraId="3FC85F5B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134" w:right="1474" w:bottom="1134" w:left="1474" w:header="708" w:footer="708" w:gutter="0"/>
          <w:pgNumType w:start="2"/>
          <w:cols w:sep="1" w:space="708"/>
          <w:titlePg w:val="0"/>
          <w:docGrid w:linePitch="360"/>
        </w:sectPr>
      </w:pP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、利与病辩证统一</w:t>
      </w:r>
    </w:p>
    <w:p w:rsidR="00E0697D" w14:paraId="04FF066C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E0697D">
        <w:rPr>
          <w:rFonts w:ascii="Times New Roman" w:eastAsia="微软雅黑" w:hAnsi="微软雅黑" w:cs="宋体" w:hint="eastAsia"/>
          <w:szCs w:val="18"/>
        </w:rPr>
        <w:t>D</w:t>
      </w:r>
    </w:p>
    <w:p w:rsidR="00E0697D" w14:paraId="46A600FA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E0697D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E0697D">
        <w:rPr>
          <w:rFonts w:ascii="Times New Roman" w:eastAsia="微软雅黑" w:hAnsi="微软雅黑" w:cs="宋体" w:hint="eastAsia"/>
          <w:szCs w:val="18"/>
        </w:rPr>
        <w:t>文段首先引出“做一件事，往往有利也有弊”。随后，引用“</w:t>
      </w:r>
      <w:r w:rsidRPr="00E0697D">
        <w:rPr>
          <w:rFonts w:ascii="Times New Roman" w:eastAsia="微软雅黑" w:hAnsi="微软雅黑" w:cs="宋体" w:hint="eastAsia"/>
          <w:szCs w:val="18"/>
        </w:rPr>
        <w:t>众人皆知利利而病病，唯圣人知病之为利，利之为病也”，来说明利弊的辩证关系。可知，文中引文，意在说明利弊的辩证关系。故选</w:t>
      </w: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698042F2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color w:val="0000FF"/>
          <w:szCs w:val="18"/>
        </w:rPr>
        <w:t>4</w:t>
      </w:r>
      <w:r w:rsidRPr="00E0697D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E0697D">
        <w:rPr>
          <w:rFonts w:ascii="Times New Roman" w:eastAsia="微软雅黑" w:hAnsi="微软雅黑" w:cs="宋体" w:hint="eastAsia"/>
          <w:szCs w:val="18"/>
        </w:rPr>
        <w:t>附石式盆景把树木和山石有机地融合为一个整体，提高了景物的观赏价值，体现了盆景艺术源于自然又高于自然、源于生活又高于生活的艺术魅力。</w:t>
      </w:r>
    </w:p>
    <w:p w:rsidR="00E0697D" w14:paraId="78952CBB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这表明艺术创作必须</w:t>
      </w:r>
      <w:r w:rsidRPr="00E0697D">
        <w:rPr>
          <w:rFonts w:ascii="Times New Roman" w:eastAsia="微软雅黑" w:hAnsi="微软雅黑" w:cs="宋体" w:hint="eastAsia"/>
          <w:szCs w:val="18"/>
        </w:rPr>
        <w:t>()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0DE1F494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、注重量的积累</w:t>
      </w:r>
    </w:p>
    <w:p w:rsidR="00E0697D" w14:paraId="307081F2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、运用合理想象</w:t>
      </w:r>
    </w:p>
    <w:p w:rsidR="00E0697D" w14:paraId="6735F2E2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、提升感性认识</w:t>
      </w:r>
    </w:p>
    <w:p w:rsidR="00E0697D" w14:paraId="1BB3BD5E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、重视实践作用</w:t>
      </w:r>
    </w:p>
    <w:p w:rsidR="00E0697D" w14:paraId="59747CE3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E0697D">
        <w:rPr>
          <w:rFonts w:ascii="Times New Roman" w:eastAsia="微软雅黑" w:hAnsi="微软雅黑" w:cs="宋体" w:hint="eastAsia"/>
          <w:szCs w:val="18"/>
        </w:rPr>
        <w:t>B</w:t>
      </w:r>
    </w:p>
    <w:p w:rsidR="00E0697D" w14:paraId="64E80414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E0697D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E0697D">
        <w:rPr>
          <w:rFonts w:ascii="Times New Roman" w:eastAsia="微软雅黑" w:hAnsi="微软雅黑" w:cs="宋体" w:hint="eastAsia"/>
          <w:szCs w:val="18"/>
        </w:rPr>
        <w:t>材料前两句为“附石式盆景”的简单描述，引出论题，后两句为总结，强调“源于自然又高于自然、源于生活又高于生活”，两个“源于”指出艺术要有一定的根据，两个“高于”说明要运用想象力，两者结合起来即“运用合理想象”。故答案为</w:t>
      </w: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。量的积累”指的是同一事物或实践的叠加，与文段核心含义“源于……高于……”不同，文段中并没有体现“量的积累”，排除</w:t>
      </w: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项</w:t>
      </w:r>
      <w:r w:rsidRPr="00E0697D">
        <w:rPr>
          <w:rFonts w:ascii="Times New Roman" w:eastAsia="微软雅黑" w:hAnsi="微软雅黑" w:cs="宋体" w:hint="eastAsia"/>
          <w:szCs w:val="18"/>
        </w:rPr>
        <w:t>;C</w:t>
      </w:r>
      <w:r w:rsidRPr="00E0697D">
        <w:rPr>
          <w:rFonts w:ascii="Times New Roman" w:eastAsia="微软雅黑" w:hAnsi="微软雅黑" w:cs="宋体" w:hint="eastAsia"/>
          <w:szCs w:val="18"/>
        </w:rPr>
        <w:t>项有较强干扰，看到原文中的“源于……高于……”可能会联想到“提升”，再看文段举例的“附石式盆景”，比较</w:t>
      </w: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、</w:t>
      </w:r>
      <w:r w:rsidRPr="00E0697D">
        <w:rPr>
          <w:rFonts w:ascii="Times New Roman" w:eastAsia="微软雅黑" w:hAnsi="微软雅黑" w:cs="宋体" w:hint="eastAsia"/>
          <w:szCs w:val="18"/>
        </w:rPr>
        <w:t>C</w:t>
      </w:r>
      <w:r>
        <w:rPr>
          <w:rFonts w:ascii="微软雅黑" w:eastAsia="微软雅黑" w:hAnsi="微软雅黑" w:cs="微软雅黑"/>
          <w:b/>
          <w:color w:val="4066F4"/>
          <w:szCs w:val="18"/>
        </w:rPr>
        <w:br/>
      </w:r>
      <w:r>
        <w:rPr>
          <w:rFonts w:ascii="微软雅黑" w:eastAsia="微软雅黑" w:hAnsi="微软雅黑" w:cs="微软雅黑"/>
          <w:b/>
          <w:color w:val="4066F4"/>
          <w:szCs w:val="18"/>
        </w:rP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https://d.book118.com/415142023333011041</w:t>
        </w:r>
      </w:hyperlink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</w:p>
    <w:sectPr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type w:val="nextPage"/>
      <w:pgSz w:w="11906" w:h="16838"/>
      <w:pgMar w:top="1134" w:right="1474" w:bottom="1134" w:left="1474" w:header="708" w:footer="708" w:gutter="0"/>
      <w:pgNumType w:start="3"/>
      <w:cols w:sep="1" w:space="708"/>
      <w:titlePg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68D6" w:rsidP="00D07274" w14:paraId="57F1D80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D68D6" w14:paraId="154213D4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68D6" w:rsidP="00D07274" w14:paraId="73F97EE6" w14:textId="0DD0E8D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ED68D6" w14:paraId="3E2C8656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68D6" w14:paraId="68251DEC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68D6" w:rsidP="00D0727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D68D6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68D6" w:rsidP="00D07274" w14:textId="0DD0E8D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ED68D6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68D6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68D6" w:rsidP="00D0727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D68D6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68D6" w:rsidP="00D07274" w14:textId="0DD0E8D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ED68D6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68D6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68D6" w14:paraId="1FDBF6F4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68D6" w14:paraId="41CB0341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68D6" w14:paraId="6F83147D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68D6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68D6" w14:textId="77777777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68D6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68D6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68D6" w14:textId="77777777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68D6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3F588C"/>
    <w:rsid w:val="007675BD"/>
    <w:rsid w:val="009C641C"/>
    <w:rsid w:val="00A77B3E"/>
    <w:rsid w:val="00A95C3D"/>
    <w:rsid w:val="00CA2A55"/>
    <w:rsid w:val="00D07274"/>
    <w:rsid w:val="00E0697D"/>
    <w:rsid w:val="00ED68D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62ACB8A0"/>
  <w15:docId w15:val="{50C4C1B8-102E-4C23-A24B-716F760DC4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Theme="minorEastAsia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">
    <w:name w:val="正文1"/>
    <w:qFormat/>
    <w:pPr>
      <w:widowControl w:val="0"/>
      <w:jc w:val="both"/>
    </w:pPr>
    <w:rPr>
      <w:rFonts w:ascii="等线" w:eastAsia="等线" w:hAnsi="等线"/>
      <w:kern w:val="2"/>
      <w:sz w:val="21"/>
      <w:szCs w:val="22"/>
      <w:lang w:eastAsia="zh-CN"/>
    </w:rPr>
  </w:style>
  <w:style w:type="paragraph" w:styleId="NormalWeb">
    <w:name w:val="Normal (Web)"/>
    <w:basedOn w:val="1"/>
    <w:rsid w:val="00E0697D"/>
    <w:pPr>
      <w:spacing w:beforeAutospacing="1" w:afterAutospacing="1"/>
      <w:jc w:val="left"/>
    </w:pPr>
    <w:rPr>
      <w:kern w:val="0"/>
      <w:sz w:val="24"/>
      <w:szCs w:val="24"/>
    </w:rPr>
  </w:style>
  <w:style w:type="paragraph" w:styleId="Header">
    <w:name w:val="header"/>
    <w:basedOn w:val="Normal"/>
    <w:link w:val="a"/>
    <w:rsid w:val="00ED68D6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rsid w:val="00ED68D6"/>
    <w:rPr>
      <w:sz w:val="18"/>
      <w:szCs w:val="18"/>
    </w:rPr>
  </w:style>
  <w:style w:type="paragraph" w:styleId="Footer">
    <w:name w:val="footer"/>
    <w:basedOn w:val="Normal"/>
    <w:link w:val="a0"/>
    <w:rsid w:val="00ED68D6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rsid w:val="00ED68D6"/>
    <w:rPr>
      <w:sz w:val="18"/>
      <w:szCs w:val="18"/>
    </w:rPr>
  </w:style>
  <w:style w:type="character" w:styleId="PageNumber">
    <w:name w:val="page number"/>
    <w:basedOn w:val="DefaultParagraphFont"/>
    <w:rsid w:val="00ED68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yperlink" Target="https://d.book118.com/415142023333011041" TargetMode="External" /><Relationship Id="rId17" Type="http://schemas.openxmlformats.org/officeDocument/2006/relationships/header" Target="header7.xml" /><Relationship Id="rId18" Type="http://schemas.openxmlformats.org/officeDocument/2006/relationships/header" Target="header8.xml" /><Relationship Id="rId19" Type="http://schemas.openxmlformats.org/officeDocument/2006/relationships/footer" Target="footer7.xml" /><Relationship Id="rId2" Type="http://schemas.openxmlformats.org/officeDocument/2006/relationships/webSettings" Target="webSettings.xml" /><Relationship Id="rId20" Type="http://schemas.openxmlformats.org/officeDocument/2006/relationships/footer" Target="footer8.xml" /><Relationship Id="rId21" Type="http://schemas.openxmlformats.org/officeDocument/2006/relationships/header" Target="header9.xml" /><Relationship Id="rId22" Type="http://schemas.openxmlformats.org/officeDocument/2006/relationships/footer" Target="footer9.xml" /><Relationship Id="rId23" Type="http://schemas.openxmlformats.org/officeDocument/2006/relationships/theme" Target="theme/theme1.xml" /><Relationship Id="rId24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3827</Words>
  <Characters>21814</Characters>
  <Application>Microsoft Office Word</Application>
  <DocSecurity>0</DocSecurity>
  <Lines>181</Lines>
  <Paragraphs>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铭基 席</cp:lastModifiedBy>
  <cp:revision>2</cp:revision>
  <dcterms:created xsi:type="dcterms:W3CDTF">2024-01-12T15:18:00Z</dcterms:created>
  <dcterms:modified xsi:type="dcterms:W3CDTF">2024-01-12T15:18:00Z</dcterms:modified>
</cp:coreProperties>
</file>