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大直径硅单晶及新型半导体材料项目规划设计蓝图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6" w:history="1">
        <w:r>
          <w:rPr>
            <w:rFonts w:ascii="仿宋" w:eastAsia="仿宋" w:hAnsi="仿宋" w:cs="仿宋" w:hint="eastAsia"/>
            <w:lang w:eastAsia="zh-CN"/>
          </w:rPr>
          <w:t>序言</w:t>
        </w:r>
        <w:r>
          <w:tab/>
        </w:r>
        <w:r>
          <w:fldChar w:fldCharType="begin"/>
        </w:r>
        <w:r>
          <w:instrText xml:space="preserve"> PAGEREF _Toc6166 \h </w:instrText>
        </w:r>
        <w:r>
          <w:fldChar w:fldCharType="separate"/>
        </w:r>
        <w:r>
          <w:t>3</w:t>
        </w:r>
        <w:r>
          <w:fldChar w:fldCharType="end"/>
        </w:r>
      </w:hyperlink>
    </w:p>
    <w:p>
      <w:pPr>
        <w:pStyle w:val="TOC1"/>
        <w:tabs>
          <w:tab w:val="right" w:leader="dot" w:pos="8306"/>
        </w:tabs>
      </w:pPr>
      <w:hyperlink w:anchor="_Toc18515" w:history="1">
        <w:r>
          <w:rPr>
            <w:rFonts w:ascii="仿宋" w:eastAsia="仿宋" w:hAnsi="仿宋" w:cs="仿宋" w:hint="eastAsia"/>
            <w:lang w:eastAsia="zh-CN"/>
          </w:rPr>
          <w:t>一、大直径硅单晶及新型半导体材料项目危机管理</w:t>
        </w:r>
        <w:r>
          <w:tab/>
        </w:r>
        <w:r>
          <w:fldChar w:fldCharType="begin"/>
        </w:r>
        <w:r>
          <w:instrText xml:space="preserve"> PAGEREF _Toc18515 \h </w:instrText>
        </w:r>
        <w:r>
          <w:fldChar w:fldCharType="separate"/>
        </w:r>
        <w:r>
          <w:t>3</w:t>
        </w:r>
        <w:r>
          <w:fldChar w:fldCharType="end"/>
        </w:r>
      </w:hyperlink>
    </w:p>
    <w:p>
      <w:pPr>
        <w:pStyle w:val="TOC2"/>
        <w:tabs>
          <w:tab w:val="right" w:leader="dot" w:pos="8306"/>
        </w:tabs>
      </w:pPr>
      <w:hyperlink w:anchor="_Toc6208" w:history="1">
        <w:r>
          <w:rPr>
            <w:rFonts w:ascii="仿宋" w:eastAsia="仿宋" w:hAnsi="仿宋" w:cs="仿宋" w:hint="eastAsia"/>
            <w:lang w:eastAsia="zh-CN"/>
          </w:rPr>
          <w:t>(一)、危机预警与识别</w:t>
        </w:r>
        <w:r>
          <w:tab/>
        </w:r>
        <w:r>
          <w:fldChar w:fldCharType="begin"/>
        </w:r>
        <w:r>
          <w:instrText xml:space="preserve"> PAGEREF _Toc6208 \h </w:instrText>
        </w:r>
        <w:r>
          <w:fldChar w:fldCharType="separate"/>
        </w:r>
        <w:r>
          <w:t>3</w:t>
        </w:r>
        <w:r>
          <w:fldChar w:fldCharType="end"/>
        </w:r>
      </w:hyperlink>
    </w:p>
    <w:p>
      <w:pPr>
        <w:pStyle w:val="TOC2"/>
        <w:tabs>
          <w:tab w:val="right" w:leader="dot" w:pos="8306"/>
        </w:tabs>
      </w:pPr>
      <w:hyperlink w:anchor="_Toc8444" w:history="1">
        <w:r>
          <w:rPr>
            <w:rFonts w:ascii="仿宋" w:eastAsia="仿宋" w:hAnsi="仿宋" w:cs="仿宋" w:hint="eastAsia"/>
            <w:lang w:eastAsia="zh-CN"/>
          </w:rPr>
          <w:t>(二)、危机应对与恢复</w:t>
        </w:r>
        <w:r>
          <w:tab/>
        </w:r>
        <w:r>
          <w:fldChar w:fldCharType="begin"/>
        </w:r>
        <w:r>
          <w:instrText xml:space="preserve"> PAGEREF _Toc8444 \h </w:instrText>
        </w:r>
        <w:r>
          <w:fldChar w:fldCharType="separate"/>
        </w:r>
        <w:r>
          <w:t>4</w:t>
        </w:r>
        <w:r>
          <w:fldChar w:fldCharType="end"/>
        </w:r>
      </w:hyperlink>
    </w:p>
    <w:p>
      <w:pPr>
        <w:pStyle w:val="TOC1"/>
        <w:tabs>
          <w:tab w:val="right" w:leader="dot" w:pos="8306"/>
        </w:tabs>
      </w:pPr>
      <w:hyperlink w:anchor="_Toc3564" w:history="1">
        <w:r>
          <w:rPr>
            <w:rFonts w:ascii="仿宋" w:eastAsia="仿宋" w:hAnsi="仿宋" w:cs="仿宋" w:hint="eastAsia"/>
            <w:lang w:eastAsia="zh-CN"/>
          </w:rPr>
          <w:t>二、大直径硅单晶及新型半导体材料项目选址可行性分析</w:t>
        </w:r>
        <w:r>
          <w:tab/>
        </w:r>
        <w:r>
          <w:fldChar w:fldCharType="begin"/>
        </w:r>
        <w:r>
          <w:instrText xml:space="preserve"> PAGEREF _Toc3564 \h </w:instrText>
        </w:r>
        <w:r>
          <w:fldChar w:fldCharType="separate"/>
        </w:r>
        <w:r>
          <w:t>6</w:t>
        </w:r>
        <w:r>
          <w:fldChar w:fldCharType="end"/>
        </w:r>
      </w:hyperlink>
    </w:p>
    <w:p>
      <w:pPr>
        <w:pStyle w:val="TOC2"/>
        <w:tabs>
          <w:tab w:val="right" w:leader="dot" w:pos="8306"/>
        </w:tabs>
      </w:pPr>
      <w:hyperlink w:anchor="_Toc8100" w:history="1">
        <w:r>
          <w:rPr>
            <w:rFonts w:ascii="仿宋" w:eastAsia="仿宋" w:hAnsi="仿宋" w:cs="仿宋" w:hint="eastAsia"/>
            <w:lang w:eastAsia="zh-CN"/>
          </w:rPr>
          <w:t>(一)、大直径硅单晶及新型半导体材料项目选址</w:t>
        </w:r>
        <w:r>
          <w:tab/>
        </w:r>
        <w:r>
          <w:fldChar w:fldCharType="begin"/>
        </w:r>
        <w:r>
          <w:instrText xml:space="preserve"> PAGEREF _Toc8100 \h </w:instrText>
        </w:r>
        <w:r>
          <w:fldChar w:fldCharType="separate"/>
        </w:r>
        <w:r>
          <w:t>6</w:t>
        </w:r>
        <w:r>
          <w:fldChar w:fldCharType="end"/>
        </w:r>
      </w:hyperlink>
    </w:p>
    <w:p>
      <w:pPr>
        <w:pStyle w:val="TOC2"/>
        <w:tabs>
          <w:tab w:val="right" w:leader="dot" w:pos="8306"/>
        </w:tabs>
      </w:pPr>
      <w:hyperlink w:anchor="_Toc22293" w:history="1">
        <w:r>
          <w:rPr>
            <w:rFonts w:ascii="仿宋" w:eastAsia="仿宋" w:hAnsi="仿宋" w:cs="仿宋" w:hint="eastAsia"/>
            <w:lang w:eastAsia="zh-CN"/>
          </w:rPr>
          <w:t>(二)、用地控制指标</w:t>
        </w:r>
        <w:r>
          <w:tab/>
        </w:r>
        <w:r>
          <w:fldChar w:fldCharType="begin"/>
        </w:r>
        <w:r>
          <w:instrText xml:space="preserve"> PAGEREF _Toc22293 \h </w:instrText>
        </w:r>
        <w:r>
          <w:fldChar w:fldCharType="separate"/>
        </w:r>
        <w:r>
          <w:t>6</w:t>
        </w:r>
        <w:r>
          <w:fldChar w:fldCharType="end"/>
        </w:r>
      </w:hyperlink>
    </w:p>
    <w:p>
      <w:pPr>
        <w:pStyle w:val="TOC2"/>
        <w:tabs>
          <w:tab w:val="right" w:leader="dot" w:pos="8306"/>
        </w:tabs>
      </w:pPr>
      <w:hyperlink w:anchor="_Toc18535" w:history="1">
        <w:r>
          <w:rPr>
            <w:rFonts w:ascii="仿宋" w:eastAsia="仿宋" w:hAnsi="仿宋" w:cs="仿宋" w:hint="eastAsia"/>
            <w:lang w:eastAsia="zh-CN"/>
          </w:rPr>
          <w:t>(三)、节约用地措施</w:t>
        </w:r>
        <w:r>
          <w:tab/>
        </w:r>
        <w:r>
          <w:fldChar w:fldCharType="begin"/>
        </w:r>
        <w:r>
          <w:instrText xml:space="preserve"> PAGEREF _Toc18535 \h </w:instrText>
        </w:r>
        <w:r>
          <w:fldChar w:fldCharType="separate"/>
        </w:r>
        <w:r>
          <w:t>8</w:t>
        </w:r>
        <w:r>
          <w:fldChar w:fldCharType="end"/>
        </w:r>
      </w:hyperlink>
    </w:p>
    <w:p>
      <w:pPr>
        <w:pStyle w:val="TOC2"/>
        <w:tabs>
          <w:tab w:val="right" w:leader="dot" w:pos="8306"/>
        </w:tabs>
      </w:pPr>
      <w:hyperlink w:anchor="_Toc21807" w:history="1">
        <w:r>
          <w:rPr>
            <w:rFonts w:ascii="仿宋" w:eastAsia="仿宋" w:hAnsi="仿宋" w:cs="仿宋" w:hint="eastAsia"/>
            <w:lang w:eastAsia="zh-CN"/>
          </w:rPr>
          <w:t>(四)、总图布置方案</w:t>
        </w:r>
        <w:r>
          <w:tab/>
        </w:r>
        <w:r>
          <w:fldChar w:fldCharType="begin"/>
        </w:r>
        <w:r>
          <w:instrText xml:space="preserve"> PAGEREF _Toc21807 \h </w:instrText>
        </w:r>
        <w:r>
          <w:fldChar w:fldCharType="separate"/>
        </w:r>
        <w:r>
          <w:t>9</w:t>
        </w:r>
        <w:r>
          <w:fldChar w:fldCharType="end"/>
        </w:r>
      </w:hyperlink>
    </w:p>
    <w:p>
      <w:pPr>
        <w:pStyle w:val="TOC2"/>
        <w:tabs>
          <w:tab w:val="right" w:leader="dot" w:pos="8306"/>
        </w:tabs>
      </w:pPr>
      <w:hyperlink w:anchor="_Toc21902" w:history="1">
        <w:r>
          <w:rPr>
            <w:rFonts w:ascii="仿宋" w:eastAsia="仿宋" w:hAnsi="仿宋" w:cs="仿宋" w:hint="eastAsia"/>
            <w:lang w:eastAsia="zh-CN"/>
          </w:rPr>
          <w:t>(五)、选址综合评价</w:t>
        </w:r>
        <w:r>
          <w:tab/>
        </w:r>
        <w:r>
          <w:fldChar w:fldCharType="begin"/>
        </w:r>
        <w:r>
          <w:instrText xml:space="preserve"> PAGEREF _Toc21902 \h </w:instrText>
        </w:r>
        <w:r>
          <w:fldChar w:fldCharType="separate"/>
        </w:r>
        <w:r>
          <w:t>10</w:t>
        </w:r>
        <w:r>
          <w:fldChar w:fldCharType="end"/>
        </w:r>
      </w:hyperlink>
    </w:p>
    <w:p>
      <w:pPr>
        <w:pStyle w:val="TOC1"/>
        <w:tabs>
          <w:tab w:val="right" w:leader="dot" w:pos="8306"/>
        </w:tabs>
      </w:pPr>
      <w:hyperlink w:anchor="_Toc17787" w:history="1">
        <w:r>
          <w:rPr>
            <w:rFonts w:ascii="仿宋" w:eastAsia="仿宋" w:hAnsi="仿宋" w:cs="仿宋" w:hint="eastAsia"/>
            <w:lang w:eastAsia="zh-CN"/>
          </w:rPr>
          <w:t>三、产品规划分析</w:t>
        </w:r>
        <w:r>
          <w:tab/>
        </w:r>
        <w:r>
          <w:fldChar w:fldCharType="begin"/>
        </w:r>
        <w:r>
          <w:instrText xml:space="preserve"> PAGEREF _Toc17787 \h </w:instrText>
        </w:r>
        <w:r>
          <w:fldChar w:fldCharType="separate"/>
        </w:r>
        <w:r>
          <w:t>12</w:t>
        </w:r>
        <w:r>
          <w:fldChar w:fldCharType="end"/>
        </w:r>
      </w:hyperlink>
    </w:p>
    <w:p>
      <w:pPr>
        <w:pStyle w:val="TOC2"/>
        <w:tabs>
          <w:tab w:val="right" w:leader="dot" w:pos="8306"/>
        </w:tabs>
      </w:pPr>
      <w:hyperlink w:anchor="_Toc13063" w:history="1">
        <w:r>
          <w:rPr>
            <w:rFonts w:ascii="仿宋" w:eastAsia="仿宋" w:hAnsi="仿宋" w:cs="仿宋" w:hint="eastAsia"/>
            <w:lang w:eastAsia="zh-CN"/>
          </w:rPr>
          <w:t>(一)、产品规划</w:t>
        </w:r>
        <w:r>
          <w:tab/>
        </w:r>
        <w:r>
          <w:fldChar w:fldCharType="begin"/>
        </w:r>
        <w:r>
          <w:instrText xml:space="preserve"> PAGEREF _Toc13063 \h </w:instrText>
        </w:r>
        <w:r>
          <w:fldChar w:fldCharType="separate"/>
        </w:r>
        <w:r>
          <w:t>12</w:t>
        </w:r>
        <w:r>
          <w:fldChar w:fldCharType="end"/>
        </w:r>
      </w:hyperlink>
    </w:p>
    <w:p>
      <w:pPr>
        <w:pStyle w:val="TOC2"/>
        <w:tabs>
          <w:tab w:val="right" w:leader="dot" w:pos="8306"/>
        </w:tabs>
      </w:pPr>
      <w:hyperlink w:anchor="_Toc16665" w:history="1">
        <w:r>
          <w:rPr>
            <w:rFonts w:ascii="仿宋" w:eastAsia="仿宋" w:hAnsi="仿宋" w:cs="仿宋" w:hint="eastAsia"/>
            <w:lang w:eastAsia="zh-CN"/>
          </w:rPr>
          <w:t>(二)、建设规模</w:t>
        </w:r>
        <w:r>
          <w:tab/>
        </w:r>
        <w:r>
          <w:fldChar w:fldCharType="begin"/>
        </w:r>
        <w:r>
          <w:instrText xml:space="preserve"> PAGEREF _Toc16665 \h </w:instrText>
        </w:r>
        <w:r>
          <w:fldChar w:fldCharType="separate"/>
        </w:r>
        <w:r>
          <w:t>13</w:t>
        </w:r>
        <w:r>
          <w:fldChar w:fldCharType="end"/>
        </w:r>
      </w:hyperlink>
    </w:p>
    <w:p>
      <w:pPr>
        <w:pStyle w:val="TOC1"/>
        <w:tabs>
          <w:tab w:val="right" w:leader="dot" w:pos="8306"/>
        </w:tabs>
      </w:pPr>
      <w:hyperlink w:anchor="_Toc9909" w:history="1">
        <w:r>
          <w:rPr>
            <w:rFonts w:ascii="仿宋" w:eastAsia="仿宋" w:hAnsi="仿宋" w:cs="仿宋" w:hint="eastAsia"/>
            <w:lang w:eastAsia="zh-CN"/>
          </w:rPr>
          <w:t>四、大直径硅单晶及新型半导体材料项目土建工程</w:t>
        </w:r>
        <w:r>
          <w:tab/>
        </w:r>
        <w:r>
          <w:fldChar w:fldCharType="begin"/>
        </w:r>
        <w:r>
          <w:instrText xml:space="preserve"> PAGEREF _Toc9909 \h </w:instrText>
        </w:r>
        <w:r>
          <w:fldChar w:fldCharType="separate"/>
        </w:r>
        <w:r>
          <w:t>14</w:t>
        </w:r>
        <w:r>
          <w:fldChar w:fldCharType="end"/>
        </w:r>
      </w:hyperlink>
    </w:p>
    <w:p>
      <w:pPr>
        <w:pStyle w:val="TOC2"/>
        <w:tabs>
          <w:tab w:val="right" w:leader="dot" w:pos="8306"/>
        </w:tabs>
      </w:pPr>
      <w:hyperlink w:anchor="_Toc19095" w:history="1">
        <w:r>
          <w:rPr>
            <w:rFonts w:ascii="仿宋" w:eastAsia="仿宋" w:hAnsi="仿宋" w:cs="仿宋" w:hint="eastAsia"/>
            <w:lang w:eastAsia="zh-CN"/>
          </w:rPr>
          <w:t>(一)、建筑工程设计原则</w:t>
        </w:r>
        <w:r>
          <w:tab/>
        </w:r>
        <w:r>
          <w:fldChar w:fldCharType="begin"/>
        </w:r>
        <w:r>
          <w:instrText xml:space="preserve"> PAGEREF _Toc19095 \h </w:instrText>
        </w:r>
        <w:r>
          <w:fldChar w:fldCharType="separate"/>
        </w:r>
        <w:r>
          <w:t>14</w:t>
        </w:r>
        <w:r>
          <w:fldChar w:fldCharType="end"/>
        </w:r>
      </w:hyperlink>
    </w:p>
    <w:p>
      <w:pPr>
        <w:pStyle w:val="TOC2"/>
        <w:tabs>
          <w:tab w:val="right" w:leader="dot" w:pos="8306"/>
        </w:tabs>
      </w:pPr>
      <w:hyperlink w:anchor="_Toc5183" w:history="1">
        <w:r>
          <w:rPr>
            <w:rFonts w:ascii="仿宋" w:eastAsia="仿宋" w:hAnsi="仿宋" w:cs="仿宋" w:hint="eastAsia"/>
            <w:lang w:eastAsia="zh-CN"/>
          </w:rPr>
          <w:t>(二)、土建工程设计年限及安全等级</w:t>
        </w:r>
        <w:r>
          <w:tab/>
        </w:r>
        <w:r>
          <w:fldChar w:fldCharType="begin"/>
        </w:r>
        <w:r>
          <w:instrText xml:space="preserve"> PAGEREF _Toc5183 \h </w:instrText>
        </w:r>
        <w:r>
          <w:fldChar w:fldCharType="separate"/>
        </w:r>
        <w:r>
          <w:t>15</w:t>
        </w:r>
        <w:r>
          <w:fldChar w:fldCharType="end"/>
        </w:r>
      </w:hyperlink>
    </w:p>
    <w:p>
      <w:pPr>
        <w:pStyle w:val="TOC2"/>
        <w:tabs>
          <w:tab w:val="right" w:leader="dot" w:pos="8306"/>
        </w:tabs>
      </w:pPr>
      <w:hyperlink w:anchor="_Toc15629" w:history="1">
        <w:r>
          <w:rPr>
            <w:rFonts w:ascii="仿宋" w:eastAsia="仿宋" w:hAnsi="仿宋" w:cs="仿宋" w:hint="eastAsia"/>
            <w:lang w:eastAsia="zh-CN"/>
          </w:rPr>
          <w:t>(三)、建筑工程设计总体要求</w:t>
        </w:r>
        <w:r>
          <w:tab/>
        </w:r>
        <w:r>
          <w:fldChar w:fldCharType="begin"/>
        </w:r>
        <w:r>
          <w:instrText xml:space="preserve"> PAGEREF _Toc15629 \h </w:instrText>
        </w:r>
        <w:r>
          <w:fldChar w:fldCharType="separate"/>
        </w:r>
        <w:r>
          <w:t>16</w:t>
        </w:r>
        <w:r>
          <w:fldChar w:fldCharType="end"/>
        </w:r>
      </w:hyperlink>
    </w:p>
    <w:p>
      <w:pPr>
        <w:pStyle w:val="TOC2"/>
        <w:tabs>
          <w:tab w:val="right" w:leader="dot" w:pos="8306"/>
        </w:tabs>
      </w:pPr>
      <w:hyperlink w:anchor="_Toc63" w:history="1">
        <w:r>
          <w:rPr>
            <w:rFonts w:ascii="仿宋" w:eastAsia="仿宋" w:hAnsi="仿宋" w:cs="仿宋" w:hint="eastAsia"/>
            <w:lang w:eastAsia="zh-CN"/>
          </w:rPr>
          <w:t>(四)、土建工程建设指标</w:t>
        </w:r>
        <w:r>
          <w:tab/>
        </w:r>
        <w:r>
          <w:fldChar w:fldCharType="begin"/>
        </w:r>
        <w:r>
          <w:instrText xml:space="preserve"> PAGEREF _Toc63 \h </w:instrText>
        </w:r>
        <w:r>
          <w:fldChar w:fldCharType="separate"/>
        </w:r>
        <w:r>
          <w:t>17</w:t>
        </w:r>
        <w:r>
          <w:fldChar w:fldCharType="end"/>
        </w:r>
      </w:hyperlink>
    </w:p>
    <w:p>
      <w:pPr>
        <w:pStyle w:val="TOC1"/>
        <w:tabs>
          <w:tab w:val="right" w:leader="dot" w:pos="8306"/>
        </w:tabs>
      </w:pPr>
      <w:hyperlink w:anchor="_Toc20744" w:history="1">
        <w:r>
          <w:rPr>
            <w:rFonts w:ascii="仿宋" w:eastAsia="仿宋" w:hAnsi="仿宋" w:cs="仿宋" w:hint="eastAsia"/>
            <w:lang w:eastAsia="zh-CN"/>
          </w:rPr>
          <w:t>五、大直径硅单晶及新型半导体材料项目建设背景及必要性分析</w:t>
        </w:r>
        <w:r>
          <w:tab/>
        </w:r>
        <w:r>
          <w:fldChar w:fldCharType="begin"/>
        </w:r>
        <w:r>
          <w:instrText xml:space="preserve"> PAGEREF _Toc20744 \h </w:instrText>
        </w:r>
        <w:r>
          <w:fldChar w:fldCharType="separate"/>
        </w:r>
        <w:r>
          <w:t>17</w:t>
        </w:r>
        <w:r>
          <w:fldChar w:fldCharType="end"/>
        </w:r>
      </w:hyperlink>
    </w:p>
    <w:p>
      <w:pPr>
        <w:pStyle w:val="TOC2"/>
        <w:tabs>
          <w:tab w:val="right" w:leader="dot" w:pos="8306"/>
        </w:tabs>
      </w:pPr>
      <w:hyperlink w:anchor="_Toc22016" w:history="1">
        <w:r>
          <w:rPr>
            <w:rFonts w:ascii="仿宋" w:eastAsia="仿宋" w:hAnsi="仿宋" w:cs="仿宋" w:hint="eastAsia"/>
            <w:lang w:eastAsia="zh-CN"/>
          </w:rPr>
          <w:t>(一)、大直径硅单晶及新型半导体材料项目背景分析</w:t>
        </w:r>
        <w:r>
          <w:tab/>
        </w:r>
        <w:r>
          <w:fldChar w:fldCharType="begin"/>
        </w:r>
        <w:r>
          <w:instrText xml:space="preserve"> PAGEREF _Toc22016 \h </w:instrText>
        </w:r>
        <w:r>
          <w:fldChar w:fldCharType="separate"/>
        </w:r>
        <w:r>
          <w:t>17</w:t>
        </w:r>
        <w:r>
          <w:fldChar w:fldCharType="end"/>
        </w:r>
      </w:hyperlink>
    </w:p>
    <w:p>
      <w:pPr>
        <w:pStyle w:val="TOC2"/>
        <w:tabs>
          <w:tab w:val="right" w:leader="dot" w:pos="8306"/>
        </w:tabs>
      </w:pPr>
      <w:hyperlink w:anchor="_Toc19917" w:history="1">
        <w:r>
          <w:rPr>
            <w:rFonts w:ascii="仿宋" w:eastAsia="仿宋" w:hAnsi="仿宋" w:cs="仿宋" w:hint="eastAsia"/>
            <w:lang w:eastAsia="zh-CN"/>
          </w:rPr>
          <w:t>(二)、大直径硅单晶及新型半导体材料项目建设必要性分析</w:t>
        </w:r>
        <w:r>
          <w:tab/>
        </w:r>
        <w:r>
          <w:fldChar w:fldCharType="begin"/>
        </w:r>
        <w:r>
          <w:instrText xml:space="preserve"> PAGEREF _Toc19917 \h </w:instrText>
        </w:r>
        <w:r>
          <w:fldChar w:fldCharType="separate"/>
        </w:r>
        <w:r>
          <w:t>19</w:t>
        </w:r>
        <w:r>
          <w:fldChar w:fldCharType="end"/>
        </w:r>
      </w:hyperlink>
    </w:p>
    <w:p>
      <w:pPr>
        <w:pStyle w:val="TOC1"/>
        <w:tabs>
          <w:tab w:val="right" w:leader="dot" w:pos="8306"/>
        </w:tabs>
      </w:pPr>
      <w:hyperlink w:anchor="_Toc19510" w:history="1">
        <w:r>
          <w:rPr>
            <w:rFonts w:ascii="仿宋" w:eastAsia="仿宋" w:hAnsi="仿宋" w:cs="仿宋" w:hint="eastAsia"/>
            <w:lang w:eastAsia="zh-CN"/>
          </w:rPr>
          <w:t>六、大直径硅单晶及新型半导体材料项目文档管理</w:t>
        </w:r>
        <w:r>
          <w:tab/>
        </w:r>
        <w:r>
          <w:fldChar w:fldCharType="begin"/>
        </w:r>
        <w:r>
          <w:instrText xml:space="preserve"> PAGEREF _Toc19510 \h </w:instrText>
        </w:r>
        <w:r>
          <w:fldChar w:fldCharType="separate"/>
        </w:r>
        <w:r>
          <w:t>21</w:t>
        </w:r>
        <w:r>
          <w:fldChar w:fldCharType="end"/>
        </w:r>
      </w:hyperlink>
    </w:p>
    <w:p>
      <w:pPr>
        <w:pStyle w:val="TOC2"/>
        <w:tabs>
          <w:tab w:val="right" w:leader="dot" w:pos="8306"/>
        </w:tabs>
      </w:pPr>
      <w:hyperlink w:anchor="_Toc29119" w:history="1">
        <w:r>
          <w:rPr>
            <w:rFonts w:ascii="仿宋" w:eastAsia="仿宋" w:hAnsi="仿宋" w:cs="仿宋" w:hint="eastAsia"/>
            <w:lang w:eastAsia="zh-CN"/>
          </w:rPr>
          <w:t>(一)、文档编制与审查</w:t>
        </w:r>
        <w:r>
          <w:tab/>
        </w:r>
        <w:r>
          <w:fldChar w:fldCharType="begin"/>
        </w:r>
        <w:r>
          <w:instrText xml:space="preserve"> PAGEREF _Toc29119 \h </w:instrText>
        </w:r>
        <w:r>
          <w:fldChar w:fldCharType="separate"/>
        </w:r>
        <w:r>
          <w:t>21</w:t>
        </w:r>
        <w:r>
          <w:fldChar w:fldCharType="end"/>
        </w:r>
      </w:hyperlink>
    </w:p>
    <w:p>
      <w:pPr>
        <w:pStyle w:val="TOC2"/>
        <w:tabs>
          <w:tab w:val="right" w:leader="dot" w:pos="8306"/>
        </w:tabs>
      </w:pPr>
      <w:hyperlink w:anchor="_Toc26696" w:history="1">
        <w:r>
          <w:rPr>
            <w:rFonts w:ascii="仿宋" w:eastAsia="仿宋" w:hAnsi="仿宋" w:cs="仿宋" w:hint="eastAsia"/>
            <w:lang w:eastAsia="zh-CN"/>
          </w:rPr>
          <w:t>(二)、文档发布与分发</w:t>
        </w:r>
        <w:r>
          <w:tab/>
        </w:r>
        <w:r>
          <w:fldChar w:fldCharType="begin"/>
        </w:r>
        <w:r>
          <w:instrText xml:space="preserve"> PAGEREF _Toc26696 \h </w:instrText>
        </w:r>
        <w:r>
          <w:fldChar w:fldCharType="separate"/>
        </w:r>
        <w:r>
          <w:t>22</w:t>
        </w:r>
        <w:r>
          <w:fldChar w:fldCharType="end"/>
        </w:r>
      </w:hyperlink>
    </w:p>
    <w:p>
      <w:pPr>
        <w:pStyle w:val="TOC2"/>
        <w:tabs>
          <w:tab w:val="right" w:leader="dot" w:pos="8306"/>
        </w:tabs>
      </w:pPr>
      <w:hyperlink w:anchor="_Toc13037" w:history="1">
        <w:r>
          <w:rPr>
            <w:rFonts w:ascii="仿宋" w:eastAsia="仿宋" w:hAnsi="仿宋" w:cs="仿宋" w:hint="eastAsia"/>
            <w:lang w:eastAsia="zh-CN"/>
          </w:rPr>
          <w:t>(三)、文档存档与归档</w:t>
        </w:r>
        <w:r>
          <w:tab/>
        </w:r>
        <w:r>
          <w:fldChar w:fldCharType="begin"/>
        </w:r>
        <w:r>
          <w:instrText xml:space="preserve"> PAGEREF _Toc13037 \h </w:instrText>
        </w:r>
        <w:r>
          <w:fldChar w:fldCharType="separate"/>
        </w:r>
        <w:r>
          <w:t>23</w:t>
        </w:r>
        <w:r>
          <w:fldChar w:fldCharType="end"/>
        </w:r>
      </w:hyperlink>
    </w:p>
    <w:p>
      <w:pPr>
        <w:pStyle w:val="TOC1"/>
        <w:tabs>
          <w:tab w:val="right" w:leader="dot" w:pos="8306"/>
        </w:tabs>
      </w:pPr>
      <w:hyperlink w:anchor="_Toc23853" w:history="1">
        <w:r>
          <w:rPr>
            <w:rFonts w:ascii="仿宋" w:eastAsia="仿宋" w:hAnsi="仿宋" w:cs="仿宋" w:hint="eastAsia"/>
            <w:lang w:eastAsia="zh-CN"/>
          </w:rPr>
          <w:t>七、大直径硅单晶及新型半导体材料项目经营效益</w:t>
        </w:r>
        <w:r>
          <w:tab/>
        </w:r>
        <w:r>
          <w:fldChar w:fldCharType="begin"/>
        </w:r>
        <w:r>
          <w:instrText xml:space="preserve"> PAGEREF _Toc23853 \h </w:instrText>
        </w:r>
        <w:r>
          <w:fldChar w:fldCharType="separate"/>
        </w:r>
        <w:r>
          <w:t>24</w:t>
        </w:r>
        <w:r>
          <w:fldChar w:fldCharType="end"/>
        </w:r>
      </w:hyperlink>
    </w:p>
    <w:p>
      <w:pPr>
        <w:pStyle w:val="TOC2"/>
        <w:tabs>
          <w:tab w:val="right" w:leader="dot" w:pos="8306"/>
        </w:tabs>
      </w:pPr>
      <w:hyperlink w:anchor="_Toc16657" w:history="1">
        <w:r>
          <w:rPr>
            <w:rFonts w:ascii="仿宋" w:eastAsia="仿宋" w:hAnsi="仿宋" w:cs="仿宋" w:hint="eastAsia"/>
            <w:lang w:eastAsia="zh-CN"/>
          </w:rPr>
          <w:t>(一)、经济评价财务测算</w:t>
        </w:r>
        <w:r>
          <w:tab/>
        </w:r>
        <w:r>
          <w:fldChar w:fldCharType="begin"/>
        </w:r>
        <w:r>
          <w:instrText xml:space="preserve"> PAGEREF _Toc16657 \h </w:instrText>
        </w:r>
        <w:r>
          <w:fldChar w:fldCharType="separate"/>
        </w:r>
        <w:r>
          <w:t>24</w:t>
        </w:r>
        <w:r>
          <w:fldChar w:fldCharType="end"/>
        </w:r>
      </w:hyperlink>
    </w:p>
    <w:p>
      <w:pPr>
        <w:pStyle w:val="TOC2"/>
        <w:tabs>
          <w:tab w:val="right" w:leader="dot" w:pos="8306"/>
        </w:tabs>
      </w:pPr>
      <w:hyperlink w:anchor="_Toc10729" w:history="1">
        <w:r>
          <w:rPr>
            <w:rFonts w:ascii="仿宋" w:eastAsia="仿宋" w:hAnsi="仿宋" w:cs="仿宋" w:hint="eastAsia"/>
            <w:lang w:eastAsia="zh-CN"/>
          </w:rPr>
          <w:t>(二)、大直径硅单晶及新型半导体材料项目盈利能力分析</w:t>
        </w:r>
        <w:r>
          <w:tab/>
        </w:r>
        <w:r>
          <w:fldChar w:fldCharType="begin"/>
        </w:r>
        <w:r>
          <w:instrText xml:space="preserve"> PAGEREF _Toc10729 \h </w:instrText>
        </w:r>
        <w:r>
          <w:fldChar w:fldCharType="separate"/>
        </w:r>
        <w:r>
          <w:t>26</w:t>
        </w:r>
        <w:r>
          <w:fldChar w:fldCharType="end"/>
        </w:r>
      </w:hyperlink>
    </w:p>
    <w:p>
      <w:pPr>
        <w:pStyle w:val="TOC1"/>
        <w:tabs>
          <w:tab w:val="right" w:leader="dot" w:pos="8306"/>
        </w:tabs>
      </w:pPr>
      <w:hyperlink w:anchor="_Toc15496" w:history="1">
        <w:r>
          <w:rPr>
            <w:rFonts w:ascii="仿宋" w:eastAsia="仿宋" w:hAnsi="仿宋" w:cs="仿宋" w:hint="eastAsia"/>
            <w:lang w:eastAsia="zh-CN"/>
          </w:rPr>
          <w:t>八、大直径硅单晶及新型半导体材料项目人力资源培养与发展</w:t>
        </w:r>
        <w:r>
          <w:tab/>
        </w:r>
        <w:r>
          <w:fldChar w:fldCharType="begin"/>
        </w:r>
        <w:r>
          <w:instrText xml:space="preserve"> PAGEREF _Toc15496 \h </w:instrText>
        </w:r>
        <w:r>
          <w:fldChar w:fldCharType="separate"/>
        </w:r>
        <w:r>
          <w:t>27</w:t>
        </w:r>
        <w:r>
          <w:fldChar w:fldCharType="end"/>
        </w:r>
      </w:hyperlink>
    </w:p>
    <w:p>
      <w:pPr>
        <w:pStyle w:val="TOC2"/>
        <w:tabs>
          <w:tab w:val="right" w:leader="dot" w:pos="8306"/>
        </w:tabs>
      </w:pPr>
      <w:hyperlink w:anchor="_Toc15655" w:history="1">
        <w:r>
          <w:rPr>
            <w:rFonts w:ascii="仿宋" w:eastAsia="仿宋" w:hAnsi="仿宋" w:cs="仿宋" w:hint="eastAsia"/>
            <w:lang w:eastAsia="zh-CN"/>
          </w:rPr>
          <w:t>(一)、人才需求与规划</w:t>
        </w:r>
        <w:r>
          <w:tab/>
        </w:r>
        <w:r>
          <w:fldChar w:fldCharType="begin"/>
        </w:r>
        <w:r>
          <w:instrText xml:space="preserve"> PAGEREF _Toc15655 \h </w:instrText>
        </w:r>
        <w:r>
          <w:fldChar w:fldCharType="separate"/>
        </w:r>
        <w:r>
          <w:t>27</w:t>
        </w:r>
        <w:r>
          <w:fldChar w:fldCharType="end"/>
        </w:r>
      </w:hyperlink>
    </w:p>
    <w:p>
      <w:pPr>
        <w:pStyle w:val="TOC2"/>
        <w:tabs>
          <w:tab w:val="right" w:leader="dot" w:pos="8306"/>
        </w:tabs>
      </w:pPr>
      <w:hyperlink w:anchor="_Toc29194" w:history="1">
        <w:r>
          <w:rPr>
            <w:rFonts w:ascii="仿宋" w:eastAsia="仿宋" w:hAnsi="仿宋" w:cs="仿宋" w:hint="eastAsia"/>
            <w:lang w:eastAsia="zh-CN"/>
          </w:rPr>
          <w:t>(二)、培训与发展计划</w:t>
        </w:r>
        <w:r>
          <w:tab/>
        </w:r>
        <w:r>
          <w:fldChar w:fldCharType="begin"/>
        </w:r>
        <w:r>
          <w:instrText xml:space="preserve"> PAGEREF _Toc29194 \h </w:instrText>
        </w:r>
        <w:r>
          <w:fldChar w:fldCharType="separate"/>
        </w:r>
        <w:r>
          <w:t>27</w:t>
        </w:r>
        <w:r>
          <w:fldChar w:fldCharType="end"/>
        </w:r>
      </w:hyperlink>
    </w:p>
    <w:p>
      <w:pPr>
        <w:pStyle w:val="TOC1"/>
        <w:tabs>
          <w:tab w:val="right" w:leader="dot" w:pos="8306"/>
        </w:tabs>
      </w:pPr>
      <w:hyperlink w:anchor="_Toc20108" w:history="1">
        <w:r>
          <w:rPr>
            <w:rFonts w:ascii="仿宋" w:eastAsia="仿宋" w:hAnsi="仿宋" w:cs="仿宋" w:hint="eastAsia"/>
            <w:lang w:eastAsia="zh-CN"/>
          </w:rPr>
          <w:t>九、生产安全保护</w:t>
        </w:r>
        <w:r>
          <w:tab/>
        </w:r>
        <w:r>
          <w:fldChar w:fldCharType="begin"/>
        </w:r>
        <w:r>
          <w:instrText xml:space="preserve"> PAGEREF _Toc20108 \h </w:instrText>
        </w:r>
        <w:r>
          <w:fldChar w:fldCharType="separate"/>
        </w:r>
        <w:r>
          <w:t>28</w:t>
        </w:r>
        <w:r>
          <w:fldChar w:fldCharType="end"/>
        </w:r>
      </w:hyperlink>
    </w:p>
    <w:p>
      <w:pPr>
        <w:pStyle w:val="TOC2"/>
        <w:tabs>
          <w:tab w:val="right" w:leader="dot" w:pos="8306"/>
        </w:tabs>
      </w:pPr>
      <w:hyperlink w:anchor="_Toc10545" w:history="1">
        <w:r>
          <w:rPr>
            <w:rFonts w:ascii="仿宋" w:eastAsia="仿宋" w:hAnsi="仿宋" w:cs="仿宋" w:hint="eastAsia"/>
            <w:lang w:eastAsia="zh-CN"/>
          </w:rPr>
          <w:t>(一)、消防安全</w:t>
        </w:r>
        <w:r>
          <w:tab/>
        </w:r>
        <w:r>
          <w:fldChar w:fldCharType="begin"/>
        </w:r>
        <w:r>
          <w:instrText xml:space="preserve"> PAGEREF _Toc10545 \h </w:instrText>
        </w:r>
        <w:r>
          <w:fldChar w:fldCharType="separate"/>
        </w:r>
        <w:r>
          <w:t>28</w:t>
        </w:r>
        <w:r>
          <w:fldChar w:fldCharType="end"/>
        </w:r>
      </w:hyperlink>
    </w:p>
    <w:p>
      <w:pPr>
        <w:pStyle w:val="TOC2"/>
        <w:tabs>
          <w:tab w:val="right" w:leader="dot" w:pos="8306"/>
        </w:tabs>
      </w:pPr>
      <w:hyperlink w:anchor="_Toc25524" w:history="1">
        <w:r>
          <w:rPr>
            <w:rFonts w:ascii="仿宋" w:eastAsia="仿宋" w:hAnsi="仿宋" w:cs="仿宋" w:hint="eastAsia"/>
            <w:lang w:eastAsia="zh-CN"/>
          </w:rPr>
          <w:t>(二)、防火防爆总图布置措施</w:t>
        </w:r>
        <w:r>
          <w:tab/>
        </w:r>
        <w:r>
          <w:fldChar w:fldCharType="begin"/>
        </w:r>
        <w:r>
          <w:instrText xml:space="preserve"> PAGEREF _Toc25524 \h </w:instrText>
        </w:r>
        <w:r>
          <w:fldChar w:fldCharType="separate"/>
        </w:r>
        <w:r>
          <w:t>30</w:t>
        </w:r>
        <w:r>
          <w:fldChar w:fldCharType="end"/>
        </w:r>
      </w:hyperlink>
    </w:p>
    <w:p>
      <w:pPr>
        <w:pStyle w:val="TOC2"/>
        <w:tabs>
          <w:tab w:val="right" w:leader="dot" w:pos="8306"/>
        </w:tabs>
      </w:pPr>
      <w:hyperlink w:anchor="_Toc17413" w:history="1">
        <w:r>
          <w:rPr>
            <w:rFonts w:ascii="仿宋" w:eastAsia="仿宋" w:hAnsi="仿宋" w:cs="仿宋" w:hint="eastAsia"/>
            <w:lang w:eastAsia="zh-CN"/>
          </w:rPr>
          <w:t>(三)、自然灾害防范措施</w:t>
        </w:r>
        <w:r>
          <w:tab/>
        </w:r>
        <w:r>
          <w:fldChar w:fldCharType="begin"/>
        </w:r>
        <w:r>
          <w:instrText xml:space="preserve"> PAGEREF _Toc17413 \h </w:instrText>
        </w:r>
        <w:r>
          <w:fldChar w:fldCharType="separate"/>
        </w:r>
        <w:r>
          <w:t>31</w:t>
        </w:r>
        <w:r>
          <w:fldChar w:fldCharType="end"/>
        </w:r>
      </w:hyperlink>
    </w:p>
    <w:p>
      <w:pPr>
        <w:pStyle w:val="TOC2"/>
        <w:tabs>
          <w:tab w:val="right" w:leader="dot" w:pos="8306"/>
        </w:tabs>
      </w:pPr>
      <w:hyperlink w:anchor="_Toc26101" w:history="1">
        <w:r>
          <w:rPr>
            <w:rFonts w:ascii="仿宋" w:eastAsia="仿宋" w:hAnsi="仿宋" w:cs="仿宋" w:hint="eastAsia"/>
            <w:lang w:eastAsia="zh-CN"/>
          </w:rPr>
          <w:t>(四)、安全色及安全标志使用要求</w:t>
        </w:r>
        <w:r>
          <w:tab/>
        </w:r>
        <w:r>
          <w:fldChar w:fldCharType="begin"/>
        </w:r>
        <w:r>
          <w:instrText xml:space="preserve"> PAGEREF _Toc26101 \h </w:instrText>
        </w:r>
        <w:r>
          <w:fldChar w:fldCharType="separate"/>
        </w:r>
        <w:r>
          <w:t>32</w:t>
        </w:r>
        <w:r>
          <w:fldChar w:fldCharType="end"/>
        </w:r>
      </w:hyperlink>
    </w:p>
    <w:p>
      <w:pPr>
        <w:pStyle w:val="TOC2"/>
        <w:tabs>
          <w:tab w:val="right" w:leader="dot" w:pos="8306"/>
        </w:tabs>
      </w:pPr>
      <w:hyperlink w:anchor="_Toc8236" w:history="1">
        <w:r>
          <w:rPr>
            <w:rFonts w:ascii="仿宋" w:eastAsia="仿宋" w:hAnsi="仿宋" w:cs="仿宋" w:hint="eastAsia"/>
            <w:lang w:eastAsia="zh-CN"/>
          </w:rPr>
          <w:t>(五)、防尘防毒措施</w:t>
        </w:r>
        <w:r>
          <w:tab/>
        </w:r>
        <w:r>
          <w:fldChar w:fldCharType="begin"/>
        </w:r>
        <w:r>
          <w:instrText xml:space="preserve"> PAGEREF _Toc8236 \h </w:instrText>
        </w:r>
        <w:r>
          <w:fldChar w:fldCharType="separate"/>
        </w:r>
        <w:r>
          <w:t>33</w:t>
        </w:r>
        <w:r>
          <w:fldChar w:fldCharType="end"/>
        </w:r>
      </w:hyperlink>
    </w:p>
    <w:p>
      <w:pPr>
        <w:pStyle w:val="TOC2"/>
        <w:tabs>
          <w:tab w:val="right" w:leader="dot" w:pos="8306"/>
        </w:tabs>
      </w:pPr>
      <w:hyperlink w:anchor="_Toc5981" w:history="1">
        <w:r>
          <w:rPr>
            <w:rFonts w:ascii="仿宋" w:eastAsia="仿宋" w:hAnsi="仿宋" w:cs="仿宋" w:hint="eastAsia"/>
            <w:lang w:eastAsia="zh-CN"/>
          </w:rPr>
          <w:t>(六)、防静电、触电防护及防雷措施</w:t>
        </w:r>
        <w:r>
          <w:tab/>
        </w:r>
        <w:r>
          <w:fldChar w:fldCharType="begin"/>
        </w:r>
        <w:r>
          <w:instrText xml:space="preserve"> PAGEREF _Toc5981 \h </w:instrText>
        </w:r>
        <w:r>
          <w:fldChar w:fldCharType="separate"/>
        </w:r>
        <w:r>
          <w:t>34</w:t>
        </w:r>
        <w:r>
          <w:fldChar w:fldCharType="end"/>
        </w:r>
      </w:hyperlink>
    </w:p>
    <w:p>
      <w:pPr>
        <w:pStyle w:val="TOC2"/>
        <w:tabs>
          <w:tab w:val="right" w:leader="dot" w:pos="8306"/>
        </w:tabs>
      </w:pPr>
      <w:hyperlink w:anchor="_Toc28281" w:history="1">
        <w:r>
          <w:rPr>
            <w:rFonts w:ascii="仿宋" w:eastAsia="仿宋" w:hAnsi="仿宋" w:cs="仿宋" w:hint="eastAsia"/>
            <w:lang w:eastAsia="zh-CN"/>
          </w:rPr>
          <w:t>(七)、机械设备安全保障措施</w:t>
        </w:r>
        <w:r>
          <w:tab/>
        </w:r>
        <w:r>
          <w:fldChar w:fldCharType="begin"/>
        </w:r>
        <w:r>
          <w:instrText xml:space="preserve"> PAGEREF _Toc28281 \h </w:instrText>
        </w:r>
        <w:r>
          <w:fldChar w:fldCharType="separate"/>
        </w:r>
        <w:r>
          <w:t>35</w:t>
        </w:r>
        <w:r>
          <w:fldChar w:fldCharType="end"/>
        </w:r>
      </w:hyperlink>
    </w:p>
    <w:p>
      <w:pPr>
        <w:pStyle w:val="TOC1"/>
        <w:tabs>
          <w:tab w:val="right" w:leader="dot" w:pos="8306"/>
        </w:tabs>
      </w:pPr>
      <w:hyperlink w:anchor="_Toc26761" w:history="1">
        <w:r>
          <w:rPr>
            <w:rFonts w:ascii="仿宋" w:eastAsia="仿宋" w:hAnsi="仿宋" w:cs="仿宋" w:hint="eastAsia"/>
            <w:lang w:eastAsia="zh-CN"/>
          </w:rPr>
          <w:t>十、大直径硅单晶及新型半导体材料项目计划安排</w:t>
        </w:r>
        <w:r>
          <w:tab/>
        </w:r>
        <w:r>
          <w:fldChar w:fldCharType="begin"/>
        </w:r>
        <w:r>
          <w:instrText xml:space="preserve"> PAGEREF _Toc26761 \h </w:instrText>
        </w:r>
        <w:r>
          <w:fldChar w:fldCharType="separate"/>
        </w:r>
        <w:r>
          <w:t>37</w:t>
        </w:r>
        <w:r>
          <w:fldChar w:fldCharType="end"/>
        </w:r>
      </w:hyperlink>
    </w:p>
    <w:p>
      <w:pPr>
        <w:pStyle w:val="TOC2"/>
        <w:tabs>
          <w:tab w:val="right" w:leader="dot" w:pos="8306"/>
        </w:tabs>
      </w:pPr>
      <w:hyperlink w:anchor="_Toc7135" w:history="1">
        <w:r>
          <w:rPr>
            <w:rFonts w:ascii="仿宋" w:eastAsia="仿宋" w:hAnsi="仿宋" w:cs="仿宋" w:hint="eastAsia"/>
            <w:lang w:eastAsia="zh-CN"/>
          </w:rPr>
          <w:t>(一)、建设周期</w:t>
        </w:r>
        <w:r>
          <w:tab/>
        </w:r>
        <w:r>
          <w:fldChar w:fldCharType="begin"/>
        </w:r>
        <w:r>
          <w:instrText xml:space="preserve"> PAGEREF _Toc7135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2" w:history="1">
        <w:r>
          <w:rPr>
            <w:rFonts w:ascii="仿宋" w:eastAsia="仿宋" w:hAnsi="仿宋" w:cs="仿宋" w:hint="eastAsia"/>
            <w:lang w:eastAsia="zh-CN"/>
          </w:rPr>
          <w:t>(二)、建设进度</w:t>
        </w:r>
        <w:r>
          <w:tab/>
        </w:r>
        <w:r>
          <w:fldChar w:fldCharType="begin"/>
        </w:r>
        <w:r>
          <w:instrText xml:space="preserve"> PAGEREF _Toc32322 \h </w:instrText>
        </w:r>
        <w:r>
          <w:fldChar w:fldCharType="separate"/>
        </w:r>
        <w:r>
          <w:t>38</w:t>
        </w:r>
        <w:r>
          <w:fldChar w:fldCharType="end"/>
        </w:r>
      </w:hyperlink>
    </w:p>
    <w:p>
      <w:pPr>
        <w:pStyle w:val="TOC2"/>
        <w:tabs>
          <w:tab w:val="right" w:leader="dot" w:pos="8306"/>
        </w:tabs>
      </w:pPr>
      <w:hyperlink w:anchor="_Toc32534" w:history="1">
        <w:r>
          <w:rPr>
            <w:rFonts w:ascii="仿宋" w:eastAsia="仿宋" w:hAnsi="仿宋" w:cs="仿宋" w:hint="eastAsia"/>
            <w:lang w:eastAsia="zh-CN"/>
          </w:rPr>
          <w:t>(三)、进度安排注意事项</w:t>
        </w:r>
        <w:r>
          <w:tab/>
        </w:r>
        <w:r>
          <w:fldChar w:fldCharType="begin"/>
        </w:r>
        <w:r>
          <w:instrText xml:space="preserve"> PAGEREF _Toc32534 \h </w:instrText>
        </w:r>
        <w:r>
          <w:fldChar w:fldCharType="separate"/>
        </w:r>
        <w:r>
          <w:t>39</w:t>
        </w:r>
        <w:r>
          <w:fldChar w:fldCharType="end"/>
        </w:r>
      </w:hyperlink>
    </w:p>
    <w:p>
      <w:pPr>
        <w:pStyle w:val="TOC2"/>
        <w:tabs>
          <w:tab w:val="right" w:leader="dot" w:pos="8306"/>
        </w:tabs>
      </w:pPr>
      <w:hyperlink w:anchor="_Toc27917" w:history="1">
        <w:r>
          <w:rPr>
            <w:rFonts w:ascii="仿宋" w:eastAsia="仿宋" w:hAnsi="仿宋" w:cs="仿宋" w:hint="eastAsia"/>
            <w:lang w:eastAsia="zh-CN"/>
          </w:rPr>
          <w:t>(四)、人力资源配置</w:t>
        </w:r>
        <w:r>
          <w:tab/>
        </w:r>
        <w:r>
          <w:fldChar w:fldCharType="begin"/>
        </w:r>
        <w:r>
          <w:instrText xml:space="preserve"> PAGEREF _Toc27917 \h </w:instrText>
        </w:r>
        <w:r>
          <w:fldChar w:fldCharType="separate"/>
        </w:r>
        <w:r>
          <w:t>41</w:t>
        </w:r>
        <w:r>
          <w:fldChar w:fldCharType="end"/>
        </w:r>
      </w:hyperlink>
    </w:p>
    <w:p>
      <w:pPr>
        <w:pStyle w:val="TOC1"/>
        <w:tabs>
          <w:tab w:val="right" w:leader="dot" w:pos="8306"/>
        </w:tabs>
      </w:pPr>
      <w:hyperlink w:anchor="_Toc22659" w:history="1">
        <w:r>
          <w:rPr>
            <w:rFonts w:ascii="仿宋" w:eastAsia="仿宋" w:hAnsi="仿宋" w:cs="仿宋" w:hint="eastAsia"/>
            <w:lang w:eastAsia="zh-CN"/>
          </w:rPr>
          <w:t>十一、大直径硅单晶及新型半导体材料项目人力资源管理</w:t>
        </w:r>
        <w:r>
          <w:tab/>
        </w:r>
        <w:r>
          <w:fldChar w:fldCharType="begin"/>
        </w:r>
        <w:r>
          <w:instrText xml:space="preserve"> PAGEREF _Toc22659 \h </w:instrText>
        </w:r>
        <w:r>
          <w:fldChar w:fldCharType="separate"/>
        </w:r>
        <w:r>
          <w:t>42</w:t>
        </w:r>
        <w:r>
          <w:fldChar w:fldCharType="end"/>
        </w:r>
      </w:hyperlink>
    </w:p>
    <w:p>
      <w:pPr>
        <w:pStyle w:val="TOC2"/>
        <w:tabs>
          <w:tab w:val="right" w:leader="dot" w:pos="8306"/>
        </w:tabs>
      </w:pPr>
      <w:hyperlink w:anchor="_Toc8706" w:history="1">
        <w:r>
          <w:rPr>
            <w:rFonts w:ascii="仿宋" w:eastAsia="仿宋" w:hAnsi="仿宋" w:cs="仿宋" w:hint="eastAsia"/>
            <w:lang w:eastAsia="zh-CN"/>
          </w:rPr>
          <w:t>(一)、建立健全的预算管理制度</w:t>
        </w:r>
        <w:r>
          <w:tab/>
        </w:r>
        <w:r>
          <w:fldChar w:fldCharType="begin"/>
        </w:r>
        <w:r>
          <w:instrText xml:space="preserve"> PAGEREF _Toc8706 \h </w:instrText>
        </w:r>
        <w:r>
          <w:fldChar w:fldCharType="separate"/>
        </w:r>
        <w:r>
          <w:t>42</w:t>
        </w:r>
        <w:r>
          <w:fldChar w:fldCharType="end"/>
        </w:r>
      </w:hyperlink>
    </w:p>
    <w:p>
      <w:pPr>
        <w:pStyle w:val="TOC2"/>
        <w:tabs>
          <w:tab w:val="right" w:leader="dot" w:pos="8306"/>
        </w:tabs>
      </w:pPr>
      <w:hyperlink w:anchor="_Toc24081" w:history="1">
        <w:r>
          <w:rPr>
            <w:rFonts w:ascii="仿宋" w:eastAsia="仿宋" w:hAnsi="仿宋" w:cs="仿宋" w:hint="eastAsia"/>
            <w:lang w:eastAsia="zh-CN"/>
          </w:rPr>
          <w:t>(二)、加强资金流动监控</w:t>
        </w:r>
        <w:r>
          <w:tab/>
        </w:r>
        <w:r>
          <w:fldChar w:fldCharType="begin"/>
        </w:r>
        <w:r>
          <w:instrText xml:space="preserve"> PAGEREF _Toc24081 \h </w:instrText>
        </w:r>
        <w:r>
          <w:fldChar w:fldCharType="separate"/>
        </w:r>
        <w:r>
          <w:t>44</w:t>
        </w:r>
        <w:r>
          <w:fldChar w:fldCharType="end"/>
        </w:r>
      </w:hyperlink>
    </w:p>
    <w:p>
      <w:pPr>
        <w:pStyle w:val="TOC2"/>
        <w:tabs>
          <w:tab w:val="right" w:leader="dot" w:pos="8306"/>
        </w:tabs>
      </w:pPr>
      <w:hyperlink w:anchor="_Toc27568" w:history="1">
        <w:r>
          <w:rPr>
            <w:rFonts w:ascii="仿宋" w:eastAsia="仿宋" w:hAnsi="仿宋" w:cs="仿宋" w:hint="eastAsia"/>
            <w:lang w:eastAsia="zh-CN"/>
          </w:rPr>
          <w:t>(三)、制定完善的风险控制机制</w:t>
        </w:r>
        <w:r>
          <w:tab/>
        </w:r>
        <w:r>
          <w:fldChar w:fldCharType="begin"/>
        </w:r>
        <w:r>
          <w:instrText xml:space="preserve"> PAGEREF _Toc27568 \h </w:instrText>
        </w:r>
        <w:r>
          <w:fldChar w:fldCharType="separate"/>
        </w:r>
        <w:r>
          <w:t>45</w:t>
        </w:r>
        <w:r>
          <w:fldChar w:fldCharType="end"/>
        </w:r>
      </w:hyperlink>
    </w:p>
    <w:p>
      <w:pPr>
        <w:pStyle w:val="TOC2"/>
        <w:tabs>
          <w:tab w:val="right" w:leader="dot" w:pos="8306"/>
        </w:tabs>
      </w:pPr>
      <w:hyperlink w:anchor="_Toc6943" w:history="1">
        <w:r>
          <w:rPr>
            <w:rFonts w:ascii="仿宋" w:eastAsia="仿宋" w:hAnsi="仿宋" w:cs="仿宋" w:hint="eastAsia"/>
            <w:lang w:eastAsia="zh-CN"/>
          </w:rPr>
          <w:t>(四)、优化成本管理</w:t>
        </w:r>
        <w:r>
          <w:tab/>
        </w:r>
        <w:r>
          <w:fldChar w:fldCharType="begin"/>
        </w:r>
        <w:r>
          <w:instrText xml:space="preserve"> PAGEREF _Toc6943 \h </w:instrText>
        </w:r>
        <w:r>
          <w:fldChar w:fldCharType="separate"/>
        </w:r>
        <w:r>
          <w:t>46</w:t>
        </w:r>
        <w:r>
          <w:fldChar w:fldCharType="end"/>
        </w:r>
      </w:hyperlink>
    </w:p>
    <w:p>
      <w:pPr>
        <w:pStyle w:val="TOC1"/>
        <w:tabs>
          <w:tab w:val="right" w:leader="dot" w:pos="8306"/>
        </w:tabs>
      </w:pPr>
      <w:hyperlink w:anchor="_Toc27355" w:history="1">
        <w:r>
          <w:rPr>
            <w:rFonts w:ascii="仿宋" w:eastAsia="仿宋" w:hAnsi="仿宋" w:cs="仿宋" w:hint="eastAsia"/>
            <w:lang w:eastAsia="zh-CN"/>
          </w:rPr>
          <w:t>十二、大直径硅单晶及新型半导体材料项目风险管理</w:t>
        </w:r>
        <w:r>
          <w:tab/>
        </w:r>
        <w:r>
          <w:fldChar w:fldCharType="begin"/>
        </w:r>
        <w:r>
          <w:instrText xml:space="preserve"> PAGEREF _Toc27355 \h </w:instrText>
        </w:r>
        <w:r>
          <w:fldChar w:fldCharType="separate"/>
        </w:r>
        <w:r>
          <w:t>48</w:t>
        </w:r>
        <w:r>
          <w:fldChar w:fldCharType="end"/>
        </w:r>
      </w:hyperlink>
    </w:p>
    <w:p>
      <w:pPr>
        <w:pStyle w:val="TOC2"/>
        <w:tabs>
          <w:tab w:val="right" w:leader="dot" w:pos="8306"/>
        </w:tabs>
      </w:pPr>
      <w:hyperlink w:anchor="_Toc27836" w:history="1">
        <w:r>
          <w:rPr>
            <w:rFonts w:ascii="仿宋" w:eastAsia="仿宋" w:hAnsi="仿宋" w:cs="仿宋" w:hint="eastAsia"/>
            <w:lang w:eastAsia="zh-CN"/>
          </w:rPr>
          <w:t>(一)、风险识别与评估</w:t>
        </w:r>
        <w:r>
          <w:tab/>
        </w:r>
        <w:r>
          <w:fldChar w:fldCharType="begin"/>
        </w:r>
        <w:r>
          <w:instrText xml:space="preserve"> PAGEREF _Toc27836 \h </w:instrText>
        </w:r>
        <w:r>
          <w:fldChar w:fldCharType="separate"/>
        </w:r>
        <w:r>
          <w:t>48</w:t>
        </w:r>
        <w:r>
          <w:fldChar w:fldCharType="end"/>
        </w:r>
      </w:hyperlink>
    </w:p>
    <w:p>
      <w:pPr>
        <w:pStyle w:val="TOC2"/>
        <w:tabs>
          <w:tab w:val="right" w:leader="dot" w:pos="8306"/>
        </w:tabs>
      </w:pPr>
      <w:hyperlink w:anchor="_Toc12876" w:history="1">
        <w:r>
          <w:rPr>
            <w:rFonts w:ascii="仿宋" w:eastAsia="仿宋" w:hAnsi="仿宋" w:cs="仿宋" w:hint="eastAsia"/>
            <w:lang w:eastAsia="zh-CN"/>
          </w:rPr>
          <w:t>(二)、风险应对策略</w:t>
        </w:r>
        <w:r>
          <w:tab/>
        </w:r>
        <w:r>
          <w:fldChar w:fldCharType="begin"/>
        </w:r>
        <w:r>
          <w:instrText xml:space="preserve"> PAGEREF _Toc12876 \h </w:instrText>
        </w:r>
        <w:r>
          <w:fldChar w:fldCharType="separate"/>
        </w:r>
        <w:r>
          <w:t>49</w:t>
        </w:r>
        <w:r>
          <w:fldChar w:fldCharType="end"/>
        </w:r>
      </w:hyperlink>
    </w:p>
    <w:p>
      <w:pPr>
        <w:pStyle w:val="TOC2"/>
        <w:tabs>
          <w:tab w:val="right" w:leader="dot" w:pos="8306"/>
        </w:tabs>
      </w:pPr>
      <w:hyperlink w:anchor="_Toc25783" w:history="1">
        <w:r>
          <w:rPr>
            <w:rFonts w:ascii="仿宋" w:eastAsia="仿宋" w:hAnsi="仿宋" w:cs="仿宋" w:hint="eastAsia"/>
            <w:lang w:eastAsia="zh-CN"/>
          </w:rPr>
          <w:t>(三)、风险监控与控制</w:t>
        </w:r>
        <w:r>
          <w:tab/>
        </w:r>
        <w:r>
          <w:fldChar w:fldCharType="begin"/>
        </w:r>
        <w:r>
          <w:instrText xml:space="preserve"> PAGEREF _Toc25783 \h </w:instrText>
        </w:r>
        <w:r>
          <w:fldChar w:fldCharType="separate"/>
        </w:r>
        <w:r>
          <w:t>51</w:t>
        </w:r>
        <w:r>
          <w:fldChar w:fldCharType="end"/>
        </w:r>
      </w:hyperlink>
    </w:p>
    <w:p>
      <w:pPr>
        <w:pStyle w:val="TOC1"/>
        <w:tabs>
          <w:tab w:val="right" w:leader="dot" w:pos="8306"/>
        </w:tabs>
      </w:pPr>
      <w:hyperlink w:anchor="_Toc22035" w:history="1">
        <w:r>
          <w:rPr>
            <w:rFonts w:ascii="仿宋" w:eastAsia="仿宋" w:hAnsi="仿宋" w:cs="仿宋" w:hint="eastAsia"/>
            <w:lang w:eastAsia="zh-CN"/>
          </w:rPr>
          <w:t>十三、营销与推广策略</w:t>
        </w:r>
        <w:r>
          <w:tab/>
        </w:r>
        <w:r>
          <w:fldChar w:fldCharType="begin"/>
        </w:r>
        <w:r>
          <w:instrText xml:space="preserve"> PAGEREF _Toc22035 \h </w:instrText>
        </w:r>
        <w:r>
          <w:fldChar w:fldCharType="separate"/>
        </w:r>
        <w:r>
          <w:t>52</w:t>
        </w:r>
        <w:r>
          <w:fldChar w:fldCharType="end"/>
        </w:r>
      </w:hyperlink>
    </w:p>
    <w:p>
      <w:pPr>
        <w:pStyle w:val="TOC2"/>
        <w:tabs>
          <w:tab w:val="right" w:leader="dot" w:pos="8306"/>
        </w:tabs>
      </w:pPr>
      <w:hyperlink w:anchor="_Toc29273" w:history="1">
        <w:r>
          <w:rPr>
            <w:rFonts w:ascii="仿宋" w:eastAsia="仿宋" w:hAnsi="仿宋" w:cs="仿宋" w:hint="eastAsia"/>
            <w:lang w:eastAsia="zh-CN"/>
          </w:rPr>
          <w:t>(一)、产品/服务定位与特点</w:t>
        </w:r>
        <w:r>
          <w:tab/>
        </w:r>
        <w:r>
          <w:fldChar w:fldCharType="begin"/>
        </w:r>
        <w:r>
          <w:instrText xml:space="preserve"> PAGEREF _Toc29273 \h </w:instrText>
        </w:r>
        <w:r>
          <w:fldChar w:fldCharType="separate"/>
        </w:r>
        <w:r>
          <w:t>52</w:t>
        </w:r>
        <w:r>
          <w:fldChar w:fldCharType="end"/>
        </w:r>
      </w:hyperlink>
    </w:p>
    <w:p>
      <w:pPr>
        <w:pStyle w:val="TOC2"/>
        <w:tabs>
          <w:tab w:val="right" w:leader="dot" w:pos="8306"/>
        </w:tabs>
      </w:pPr>
      <w:hyperlink w:anchor="_Toc28137" w:history="1">
        <w:r>
          <w:rPr>
            <w:rFonts w:ascii="仿宋" w:eastAsia="仿宋" w:hAnsi="仿宋" w:cs="仿宋" w:hint="eastAsia"/>
            <w:lang w:eastAsia="zh-CN"/>
          </w:rPr>
          <w:t>(二)、市场定位与竞争分析</w:t>
        </w:r>
        <w:r>
          <w:tab/>
        </w:r>
        <w:r>
          <w:fldChar w:fldCharType="begin"/>
        </w:r>
        <w:r>
          <w:instrText xml:space="preserve"> PAGEREF _Toc28137 \h </w:instrText>
        </w:r>
        <w:r>
          <w:fldChar w:fldCharType="separate"/>
        </w:r>
        <w:r>
          <w:t>54</w:t>
        </w:r>
        <w:r>
          <w:fldChar w:fldCharType="end"/>
        </w:r>
      </w:hyperlink>
    </w:p>
    <w:p>
      <w:pPr>
        <w:pStyle w:val="TOC2"/>
        <w:tabs>
          <w:tab w:val="right" w:leader="dot" w:pos="8306"/>
        </w:tabs>
      </w:pPr>
      <w:hyperlink w:anchor="_Toc26048" w:history="1">
        <w:r>
          <w:rPr>
            <w:rFonts w:ascii="仿宋" w:eastAsia="仿宋" w:hAnsi="仿宋" w:cs="仿宋" w:hint="eastAsia"/>
            <w:lang w:eastAsia="zh-CN"/>
          </w:rPr>
          <w:t>(三)、营销渠道与策略</w:t>
        </w:r>
        <w:r>
          <w:tab/>
        </w:r>
        <w:r>
          <w:fldChar w:fldCharType="begin"/>
        </w:r>
        <w:r>
          <w:instrText xml:space="preserve"> PAGEREF _Toc26048 \h </w:instrText>
        </w:r>
        <w:r>
          <w:fldChar w:fldCharType="separate"/>
        </w:r>
        <w:r>
          <w:t>55</w:t>
        </w:r>
        <w:r>
          <w:fldChar w:fldCharType="end"/>
        </w:r>
      </w:hyperlink>
    </w:p>
    <w:p>
      <w:pPr>
        <w:pStyle w:val="TOC2"/>
        <w:tabs>
          <w:tab w:val="right" w:leader="dot" w:pos="8306"/>
        </w:tabs>
      </w:pPr>
      <w:hyperlink w:anchor="_Toc27542" w:history="1">
        <w:r>
          <w:rPr>
            <w:rFonts w:ascii="仿宋" w:eastAsia="仿宋" w:hAnsi="仿宋" w:cs="仿宋" w:hint="eastAsia"/>
            <w:lang w:eastAsia="zh-CN"/>
          </w:rPr>
          <w:t>(四)、推广与宣传活动</w:t>
        </w:r>
        <w:r>
          <w:tab/>
        </w:r>
        <w:r>
          <w:fldChar w:fldCharType="begin"/>
        </w:r>
        <w:r>
          <w:instrText xml:space="preserve"> PAGEREF _Toc27542 \h </w:instrText>
        </w:r>
        <w:r>
          <w:fldChar w:fldCharType="separate"/>
        </w:r>
        <w:r>
          <w:t>56</w:t>
        </w:r>
        <w:r>
          <w:fldChar w:fldCharType="end"/>
        </w:r>
      </w:hyperlink>
    </w:p>
    <w:p>
      <w:pPr>
        <w:pStyle w:val="TOC1"/>
        <w:tabs>
          <w:tab w:val="right" w:leader="dot" w:pos="8306"/>
        </w:tabs>
      </w:pPr>
      <w:hyperlink w:anchor="_Toc19248" w:history="1">
        <w:r>
          <w:rPr>
            <w:rFonts w:ascii="仿宋" w:eastAsia="仿宋" w:hAnsi="仿宋" w:cs="仿宋" w:hint="eastAsia"/>
            <w:lang w:eastAsia="zh-CN"/>
          </w:rPr>
          <w:t>十四、大直径硅单晶及新型半导体材料项目实施保障措施</w:t>
        </w:r>
        <w:r>
          <w:tab/>
        </w:r>
        <w:r>
          <w:fldChar w:fldCharType="begin"/>
        </w:r>
        <w:r>
          <w:instrText xml:space="preserve"> PAGEREF _Toc19248 \h </w:instrText>
        </w:r>
        <w:r>
          <w:fldChar w:fldCharType="separate"/>
        </w:r>
        <w:r>
          <w:t>62</w:t>
        </w:r>
        <w:r>
          <w:fldChar w:fldCharType="end"/>
        </w:r>
      </w:hyperlink>
    </w:p>
    <w:p>
      <w:pPr>
        <w:pStyle w:val="TOC2"/>
        <w:tabs>
          <w:tab w:val="right" w:leader="dot" w:pos="8306"/>
        </w:tabs>
      </w:pPr>
      <w:hyperlink w:anchor="_Toc28035" w:history="1">
        <w:r>
          <w:rPr>
            <w:rFonts w:ascii="仿宋" w:eastAsia="仿宋" w:hAnsi="仿宋" w:cs="仿宋" w:hint="eastAsia"/>
            <w:lang w:eastAsia="zh-CN"/>
          </w:rPr>
          <w:t>(一)、大直径硅单晶及新型半导体材料项目实施保障机制</w:t>
        </w:r>
        <w:r>
          <w:tab/>
        </w:r>
        <w:r>
          <w:fldChar w:fldCharType="begin"/>
        </w:r>
        <w:r>
          <w:instrText xml:space="preserve"> PAGEREF _Toc28035 \h </w:instrText>
        </w:r>
        <w:r>
          <w:fldChar w:fldCharType="separate"/>
        </w:r>
        <w:r>
          <w:t>62</w:t>
        </w:r>
        <w:r>
          <w:fldChar w:fldCharType="end"/>
        </w:r>
      </w:hyperlink>
    </w:p>
    <w:p>
      <w:pPr>
        <w:pStyle w:val="TOC2"/>
        <w:tabs>
          <w:tab w:val="right" w:leader="dot" w:pos="8306"/>
        </w:tabs>
      </w:pPr>
      <w:hyperlink w:anchor="_Toc17880" w:history="1">
        <w:r>
          <w:rPr>
            <w:rFonts w:ascii="仿宋" w:eastAsia="仿宋" w:hAnsi="仿宋" w:cs="仿宋" w:hint="eastAsia"/>
            <w:lang w:eastAsia="zh-CN"/>
          </w:rPr>
          <w:t>(二)、大直径硅单晶及新型半导体材料项目法律合规要求</w:t>
        </w:r>
        <w:r>
          <w:tab/>
        </w:r>
        <w:r>
          <w:fldChar w:fldCharType="begin"/>
        </w:r>
        <w:r>
          <w:instrText xml:space="preserve"> PAGEREF _Toc17880 \h </w:instrText>
        </w:r>
        <w:r>
          <w:fldChar w:fldCharType="separate"/>
        </w:r>
        <w:r>
          <w:t>66</w:t>
        </w:r>
        <w:r>
          <w:fldChar w:fldCharType="end"/>
        </w:r>
      </w:hyperlink>
    </w:p>
    <w:p>
      <w:pPr>
        <w:pStyle w:val="TOC2"/>
        <w:tabs>
          <w:tab w:val="right" w:leader="dot" w:pos="8306"/>
        </w:tabs>
      </w:pPr>
      <w:hyperlink w:anchor="_Toc14048" w:history="1">
        <w:r>
          <w:rPr>
            <w:rFonts w:ascii="仿宋" w:eastAsia="仿宋" w:hAnsi="仿宋" w:cs="仿宋" w:hint="eastAsia"/>
            <w:lang w:eastAsia="zh-CN"/>
          </w:rPr>
          <w:t>(三)、大直径硅单晶及新型半导体材料项目合同管理与法律事务</w:t>
        </w:r>
        <w:r>
          <w:tab/>
        </w:r>
        <w:r>
          <w:fldChar w:fldCharType="begin"/>
        </w:r>
        <w:r>
          <w:instrText xml:space="preserve"> PAGEREF _Toc14048 \h </w:instrText>
        </w:r>
        <w:r>
          <w:fldChar w:fldCharType="separate"/>
        </w:r>
        <w:r>
          <w:t>70</w:t>
        </w:r>
        <w:r>
          <w:fldChar w:fldCharType="end"/>
        </w:r>
      </w:hyperlink>
    </w:p>
    <w:p>
      <w:pPr>
        <w:pStyle w:val="TOC2"/>
        <w:tabs>
          <w:tab w:val="right" w:leader="dot" w:pos="8306"/>
        </w:tabs>
      </w:pPr>
      <w:hyperlink w:anchor="_Toc3551" w:history="1">
        <w:r>
          <w:rPr>
            <w:rFonts w:ascii="仿宋" w:eastAsia="仿宋" w:hAnsi="仿宋" w:cs="仿宋" w:hint="eastAsia"/>
            <w:lang w:eastAsia="zh-CN"/>
          </w:rPr>
          <w:t>(四)、大直径硅单晶及新型半导体材料项目知识产权保护策略</w:t>
        </w:r>
        <w:r>
          <w:tab/>
        </w:r>
        <w:r>
          <w:fldChar w:fldCharType="begin"/>
        </w:r>
        <w:r>
          <w:instrText xml:space="preserve"> PAGEREF _Toc3551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15"/>
      <w:r>
        <w:rPr>
          <w:rFonts w:ascii="仿宋" w:eastAsia="仿宋" w:hAnsi="仿宋" w:cs="仿宋" w:hint="eastAsia"/>
          <w:sz w:val="28"/>
          <w:lang w:eastAsia="zh-CN"/>
        </w:rPr>
        <w:t>一、大直径硅单晶及新型半导体材料项目危机管理</w:t>
      </w:r>
      <w:bookmarkEnd w:id="2"/>
    </w:p>
    <w:p>
      <w:pPr>
        <w:pStyle w:val="Heading2"/>
        <w:rPr>
          <w:rFonts w:ascii="仿宋" w:eastAsia="仿宋" w:hAnsi="仿宋" w:cs="仿宋" w:hint="eastAsia"/>
          <w:lang w:eastAsia="zh-CN"/>
        </w:rPr>
      </w:pPr>
      <w:bookmarkStart w:id="3" w:name="_Toc62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危机管理中，危机预警与识别是确保大直径硅单晶及新型半导体材料项目稳健运行的核心步骤。通过建立全面的监测机制，大直径硅单晶及新型半导体材料项目团队旨在及时发现和理解潜在的风险和危机因素，以便采取及时的预防和应对措施，确保大直径硅单晶及新型半导体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直径硅单晶及新型半导体材料项目团队全面分析了整个大直径硅单晶及新型半导体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直径硅单晶及新型半导体材料项目团队着重于明确定义大直径硅单晶及新型半导体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直径硅单晶及新型半导体材料项目进展的持续监控，团队能够及时发现潜在问题并作出迅速反应。大直径硅单晶及新型半导体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直径硅单晶及新型半导体材料项目得以更有序、可控地推进。</w:t>
      </w:r>
    </w:p>
    <w:p>
      <w:pPr>
        <w:pStyle w:val="Heading2"/>
        <w:ind w:firstLine="560" w:firstLineChars="200"/>
        <w:rPr>
          <w:rFonts w:ascii="仿宋" w:eastAsia="仿宋" w:hAnsi="仿宋" w:cs="仿宋" w:hint="eastAsia"/>
          <w:sz w:val="28"/>
          <w:lang w:eastAsia="zh-CN"/>
        </w:rPr>
      </w:pPr>
      <w:bookmarkStart w:id="4" w:name="_Toc84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在危机发生时，大直径硅单晶及新型半导体材料项目团队立即行动，成立了应急小组。该小组的任务是迅速制定并实施紧急应对措施，以最小化潜在损失。以下是采取的主要措施：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暂停大直径硅单晶及新型半导体材料项目进度：为遏制危机蔓延，大直径硅单晶及新型半导体材料项目暂时停止进行，以便全面评估当前状况。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资源重新分配：重新评估大直径硅单晶及新型半导体材料项目资源的分配，确保最大限度地减小损失。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实时沟通：与关键利益相关者建立实时沟通机制，向他们传递大直径硅单晶及新型半导体材料项目危机的实际状况，保障大直径硅单晶及新型半导体材料项目核心利益。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在紧急应对的同时，大直径硅单晶及新型半导体材料项目团队强调了团队协作和有效沟通的重要性。以下是团队协作的关键举措：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信息共享机制：建立了信息共享平台，确保团队成员能够及时获取大直径硅单晶及新型半导体材料项目危机的实时信息。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领导者沟通：大直径硅单晶及新型半导体材料项目领导者通过定期会议和即时沟通工具，指导团队应对危机，保持团队稳定运行。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随着危机得到初步控制，大直径硅单晶及新型半导体材料项目团队转向制定恢复计划，以确保大直径硅单晶及新型半导体材料项目能够从中迅速恢复。主要恢复计划包括：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修复受损的进度计划：重新评估大直径硅单晶及新型半导体材料项目进度，制定修复计划，确保大直径硅单晶及新型半导体材料项目尽快回归正常进程。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重新调整资源分配：优化资源分配，确保大直径硅单晶及新型半导体材料项目在有限资源下高效运转。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风险管理机制加强：对大直径硅单晶及新型半导体材料项目风险进行全面评估，制定更强化的风险管理策略，以预防未来可能的危机。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64"/>
      <w:r>
        <w:rPr>
          <w:rFonts w:ascii="仿宋" w:eastAsia="仿宋" w:hAnsi="仿宋" w:cs="仿宋" w:hint="eastAsia"/>
          <w:sz w:val="28"/>
          <w:lang w:eastAsia="zh-CN"/>
        </w:rPr>
        <w:t>二、大直径硅单晶及新型半导体材料项目选址可行性分析</w:t>
      </w:r>
      <w:bookmarkEnd w:id="5"/>
    </w:p>
    <w:p>
      <w:pPr>
        <w:pStyle w:val="Heading2"/>
        <w:rPr>
          <w:rFonts w:ascii="仿宋" w:eastAsia="仿宋" w:hAnsi="仿宋" w:cs="仿宋" w:hint="eastAsia"/>
          <w:lang w:eastAsia="zh-CN"/>
        </w:rPr>
      </w:pPr>
      <w:bookmarkStart w:id="6" w:name="_Toc8100"/>
      <w:r>
        <w:rPr>
          <w:rFonts w:ascii="仿宋" w:eastAsia="仿宋" w:hAnsi="仿宋" w:cs="仿宋" w:hint="eastAsia"/>
          <w:lang w:eastAsia="zh-CN"/>
        </w:rPr>
        <w:t>(一)、大直径硅单晶及新型半导体材料项目选址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该大直径硅单晶及新型半导体材料项目选址位于XX省XX市XX区XXX街道</w:t>
      </w:r>
    </w:p>
    <w:p>
      <w:pPr>
        <w:pStyle w:val="Heading2"/>
        <w:ind w:firstLine="560" w:firstLineChars="200"/>
        <w:rPr>
          <w:rFonts w:ascii="仿宋" w:eastAsia="仿宋" w:hAnsi="仿宋" w:cs="仿宋" w:hint="eastAsia"/>
          <w:sz w:val="28"/>
          <w:lang w:eastAsia="zh-CN"/>
        </w:rPr>
      </w:pPr>
      <w:bookmarkStart w:id="7" w:name="_Toc2229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直径硅单晶及新型半导体材料项目的征地面积将根据大直径硅单晶及新型半导体材料项目的实际规模和需求进行精确规划。具体面积XXX平方米，旨在确保大直径硅单晶及新型半导体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净用地面积是在征地面积基础上去除不可利用面积后的实际可开发用地。具体面积XXX平方米，考虑到环保、交通、安全等多方面因素，以确保大直径硅单晶及新型半导体材料项目在整体利用效率上达到最优。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直径硅单晶及新型半导体材料项目计划建设的建筑总规模具体面积XXX平方米。这一规模的确定综合考虑了大直径硅单晶及新型半导体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大直径硅单晶及新型半导体材料项目用地中被规划为绿地的比例。具体面积XXX平方米，旨在通过合理规划绿地，改善大直径硅单晶及新型半导体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容积率是用地上可以建设的建筑总体积与用地面积之比。具体面积XXX，通过合理的容积率规划，确保大直径硅单晶及新型半导体材料项目建筑规模与周边环境和谐共生。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直径硅单晶及新型半导体材料项目选址与当地城市规划相一致，具体面积XXX平方米。通过与城市规划部门深入沟通，确保大直径硅单晶及新型半导体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直径硅单晶及新型半导体材料项目选址符合当地产业政策，具体面积XXX平方米。这包括大直径硅单晶及新型半导体材料项目对当地经济的促进作用，以及对相关产业的带动效应，确保大直径硅单晶及新型半导体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直径硅单晶及新型半导体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直径硅单晶及新型半导体材料项目选址具备必要的公共设施配套，具体面积XXX平方米。这包括交通便利性、教育、医疗等基础设施，以提高居民生活品质，使得大直径硅单晶及新型半导体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考虑用地总体要求对当地社会稳定性的影响，具体面积XXX平方米。通过深入了解当地社区反馈，确保大直径硅单晶及新型半导体材料项目的选址和建设过程对当地社会和谐稳定产生积极作用。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直径硅单晶及新型半导体材料项目选址不仅符合法规和规划，还在实际操作中具有可行性。这一全面规划将为大直径硅单晶及新型半导体材料项目的成功实施提供坚实的基础，确保大直径硅单晶及新型半导体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5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直径硅单晶及新型半导体材料项目的设备规划和空间设计中，我们将采取灵活设备布局的措施。设备布局将根据实际需求进行灵活设计，避免不必要的浪费。通过合理规划设备摆放位置，我们将提高设备的利用率，减少设备间距，以确保大直径硅单晶及新型半导体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直径硅单晶及新型半导体材料项目内部引入共享设施的概念，例如共享会议室、办公区等。通过这种方式，我们可以减少对资源的重复建设，提高资源共享效率，从而减小大直径硅单晶及新型半导体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8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大直径硅单晶及新型半导体材料项目的总图布置中，我们将不同功能区域进行明确的规划，以最大程度满足大直径硅单晶及新型半导体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9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大直径硅单晶及新型半导体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直径硅单晶及新型半导体材料项目对环境的影响是综合评价的重要因素之一。我们将详细考虑选址周边的自然环境、生态保护区、水源地等情况，确保大直径硅单晶及新型半导体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直径硅单晶及新型半导体材料项目所在地的相关政策，确保大直径硅单晶及新型半导体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考虑到社会稳定性对企业运营的重要性，我们将评估选址地区的社会安全情况、劳工关系、社区反馈等方面，以确保大直径硅单晶及新型半导体材料项目的建设和运营不会受到社会稳定性的负面影响。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最后，我们将综合考虑用地成本，包括土地购置费用、土地开发成本等。通过对用地成本的详细评估，我们能够做出更为精确的经济效益分析，为大直径硅单晶及新型半导体材料项目的投资决策提供有力支持。</w:t>
      </w:r>
    </w:p>
    <w:p>
      <w:pPr>
        <w:pStyle w:val="Heading1"/>
        <w:ind w:firstLine="560" w:firstLineChars="200"/>
        <w:rPr>
          <w:rFonts w:ascii="仿宋" w:eastAsia="仿宋" w:hAnsi="仿宋" w:cs="仿宋" w:hint="eastAsia"/>
          <w:sz w:val="28"/>
          <w:lang w:eastAsia="zh-CN"/>
        </w:rPr>
      </w:pPr>
      <w:bookmarkStart w:id="11" w:name="_Toc1778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06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大直径硅单晶及新型半导体材料项目的主要产品是XXXX，预计年产值为XXX万元。这一产品在市场中占据着重要的地位，其广泛的应用范围使得该大直径硅单晶及新型半导体材料项目的市场前景非常广阔。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大直径硅单晶及新型半导体材料项目的xxx产品作为重要的原材料之一，将在多个领域发挥关键作用。其在建筑、交通、能源等方面的广泛应用将为整个产业链提供强大的支持，形成产业协同效应。大直径硅单晶及新型半导体材料项目的年产值XXX万XXX万XXX万万元不仅反映了其在市场上的巨大潜力，更预示着它对国民经济的积极贡献。这种关联度高、涉及面广的产业关系，使得该大直径硅单晶及新型半导体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66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总征地面积为XXXX平方米，相当于约XX.XX亩，其中净用地面积为XXXX平方米，红线范围内相当于约XX.XX亩。这一用地规模充分考虑了大直径硅单晶及新型半导体材料项目的建设需求，保障了大直径硅单晶及新型半导体材料项目在合适的空间内得以充分发展。大直径硅单晶及新型半导体材料项目规划的总建筑面积为XXXX平方米，其中主体工程建设占XXXX平方米，计容建筑面积达XXXX平方米。预计建筑工程的投资将达到XXXX万元，为大直径硅单晶及新型半导体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计划购置的设备共计XXXX台（套），设备购置费用为XXXX万元。这一设备购置计划充分考虑到大直径硅单晶及新型半导体材料项目的生产需求和技术要求，确保了大直径硅单晶及新型半导体材料项目在生产运营中具备先进的技术装备和高效的生产能力。设备的合理配置将为大直径硅单晶及新型半导体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直径硅单晶及新型半导体材料项目计划总投资为XXXX万元，预计年实现营业收入为XXXX万元。这一产能规模的设定旨在确保大直径硅单晶及新型半导体材料项目能够在投资与回报之间取得平衡，实现长期可持续的发展。大直径硅单晶及新型半导体材料项目的总投资充分考虑到各个方面的需求，包括用地建设、设备购置等多个环节，以确保大直径硅单晶及新型半导体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909"/>
      <w:r>
        <w:rPr>
          <w:rFonts w:ascii="仿宋" w:eastAsia="仿宋" w:hAnsi="仿宋" w:cs="仿宋" w:hint="eastAsia"/>
          <w:sz w:val="28"/>
          <w:lang w:eastAsia="zh-CN"/>
        </w:rPr>
        <w:t>四、大直径硅单晶及新型半导体材料项目土建工程</w:t>
      </w:r>
      <w:bookmarkEnd w:id="14"/>
    </w:p>
    <w:p>
      <w:pPr>
        <w:pStyle w:val="Heading2"/>
        <w:rPr>
          <w:rFonts w:ascii="仿宋" w:eastAsia="仿宋" w:hAnsi="仿宋" w:cs="仿宋" w:hint="eastAsia"/>
          <w:lang w:eastAsia="zh-CN"/>
        </w:rPr>
      </w:pPr>
      <w:bookmarkStart w:id="15" w:name="_Toc1909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在大直径硅单晶及新型半导体材料项目的建筑工程设计中，我们将秉承一系列重要的设计原则，以确保大直径硅单晶及新型半导体材料项目建筑在功能、美观、可持续性等方面达到最佳效果。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首要原则是确保建筑的功能性得到最大化的发挥。我们将充分理解大直径硅单晶及新型半导体材料项目的实际需求，合理布局各个功能区域，保证建筑在满足业务需求的同时，提供高效的工作环境。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在建筑设计中，我们将综合考虑建设和运营成本。通过精细的经济效益分析，确保设计方案在高效利用资源的同时，对大直径硅单晶及新型半导体材料项目的长期盈利能力有积极的贡献。</w:t>
      </w:r>
    </w:p>
    <w:p>
      <w:pPr>
        <w:pStyle w:val="Heading2"/>
        <w:ind w:firstLine="560" w:firstLineChars="200"/>
        <w:rPr>
          <w:rFonts w:ascii="仿宋" w:eastAsia="仿宋" w:hAnsi="仿宋" w:cs="仿宋" w:hint="eastAsia"/>
          <w:sz w:val="28"/>
          <w:lang w:eastAsia="zh-CN"/>
        </w:rPr>
      </w:pPr>
      <w:bookmarkStart w:id="16" w:name="_Toc518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直径硅单晶及新型半导体材料项目的土建工程设计中，我们将精准设定设计年限，结合大直径硅单晶及新型半导体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直径硅单晶及新型半导体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62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https://d.book118.com/415240341113011100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大直径硅单晶及新型半导体材料项目规划设计蓝图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C559A2"/>
    <w:rsid w:val="1AC55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403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2024-01-18T18:26:00Z</dcterms:created>
  <dcterms:modified xsi:type="dcterms:W3CDTF">2024-01-18T18:26:37Z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9EA7888557A247B389CBDF302C0B763C_11</vt:lpwstr>
  </property>
  <property fmtid="{D5CDD505-2E9C-101B-9397-08002B2CF9AE}" pid="3" name="KSOProductBuildVer">
    <vt:lpwstr>2052-12.1.0.16120</vt:lpwstr>
  </property>
</Properties>
</file>