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开关插座项目建设方案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55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_Toc22552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62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_Toc31062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_Toc6333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_Toc12570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_Toc17531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_Toc29787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_Toc26717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42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_Toc31842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8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_Toc16228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4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_Toc19354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4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_Toc28664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33" w:history="1">
        <w:r>
          <w:rPr>
            <w:rFonts w:ascii="仿宋" w:eastAsia="仿宋" w:hAnsi="仿宋" w:cs="仿宋" w:hint="eastAsia"/>
            <w:lang w:eastAsia="zh-CN"/>
          </w:rPr>
          <w:t>三、开关插座项目概论</w:t>
        </w:r>
        <w:r>
          <w:tab/>
        </w:r>
        <w:r>
          <w:fldChar w:fldCharType="begin"/>
        </w:r>
        <w:r>
          <w:instrText xml:space="preserve"> PAGEREF _Toc3533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7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_Toc8627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8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_Toc13118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86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_Toc5786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7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_Toc25987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_Toc2815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8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_Toc11348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3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_Toc31143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_Toc2473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7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_Toc3557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7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_Toc20437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6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_Toc7116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4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_Toc18824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68" w:history="1">
        <w:r>
          <w:rPr>
            <w:rFonts w:ascii="仿宋" w:eastAsia="仿宋" w:hAnsi="仿宋" w:cs="仿宋" w:hint="eastAsia"/>
            <w:lang w:eastAsia="zh-CN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_Toc30368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8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_Toc19168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_Toc53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9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_Toc15339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38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_Toc24538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3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_Toc28743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_Toc1536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4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_Toc31944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_Toc2498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5" w:history="1">
        <w:r>
          <w:rPr>
            <w:rFonts w:ascii="仿宋" w:eastAsia="仿宋" w:hAnsi="仿宋" w:cs="仿宋" w:hint="eastAsia"/>
            <w:lang w:eastAsia="zh-CN"/>
          </w:rPr>
          <w:t>七、经济效益与社会效益优化</w:t>
        </w:r>
        <w:r>
          <w:tab/>
        </w:r>
        <w:r>
          <w:fldChar w:fldCharType="begin"/>
        </w:r>
        <w:r>
          <w:instrText xml:space="preserve"> PAGEREF _Toc845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0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_Toc6130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5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_Toc28195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79" w:history="1">
        <w:r>
          <w:rPr>
            <w:rFonts w:ascii="仿宋" w:eastAsia="仿宋" w:hAnsi="仿宋" w:cs="仿宋" w:hint="eastAsia"/>
            <w:lang w:eastAsia="zh-CN"/>
          </w:rPr>
          <w:t>八、资金管理与财务规划</w:t>
        </w:r>
        <w:r>
          <w:tab/>
        </w:r>
        <w:r>
          <w:fldChar w:fldCharType="begin"/>
        </w:r>
        <w:r>
          <w:instrText xml:space="preserve"> PAGEREF _Toc10079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0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_Toc8110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_Toc1129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_Toc48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68" w:history="1">
        <w:r>
          <w:rPr>
            <w:rFonts w:ascii="仿宋" w:eastAsia="仿宋" w:hAnsi="仿宋" w:cs="仿宋" w:hint="eastAsia"/>
            <w:lang w:eastAsia="zh-CN"/>
          </w:rPr>
          <w:t>九、环境保护与绿色发展</w:t>
        </w:r>
        <w:r>
          <w:tab/>
        </w:r>
        <w:r>
          <w:fldChar w:fldCharType="begin"/>
        </w:r>
        <w:r>
          <w:instrText xml:space="preserve"> PAGEREF _Toc5668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312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_Toc25312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8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_Toc4498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92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_Toc17592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2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_Toc13252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1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_Toc15001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68" w:history="1">
        <w:r>
          <w:rPr>
            <w:rFonts w:ascii="仿宋" w:eastAsia="仿宋" w:hAnsi="仿宋" w:cs="仿宋" w:hint="eastAsia"/>
            <w:lang w:eastAsia="zh-CN"/>
          </w:rPr>
          <w:t>十一、客户关系管理与市场拓展</w:t>
        </w:r>
        <w:r>
          <w:tab/>
        </w:r>
        <w:r>
          <w:fldChar w:fldCharType="begin"/>
        </w:r>
        <w:r>
          <w:instrText xml:space="preserve"> PAGEREF _Toc8668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5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_Toc20925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2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_Toc17992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89" w:history="1">
        <w:r>
          <w:rPr>
            <w:rFonts w:ascii="仿宋" w:eastAsia="仿宋" w:hAnsi="仿宋" w:cs="仿宋" w:hint="eastAsia"/>
            <w:lang w:eastAsia="zh-CN"/>
          </w:rPr>
          <w:t>十二、土地利用与规划方案</w:t>
        </w:r>
        <w:r>
          <w:tab/>
        </w:r>
        <w:r>
          <w:fldChar w:fldCharType="begin"/>
        </w:r>
        <w:r>
          <w:instrText xml:space="preserve"> PAGEREF _Toc31889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7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_Toc31917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7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_Toc14177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46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_Toc10846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5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_Toc11145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3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_Toc3923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32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_Toc3332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8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_Toc15348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8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_Toc3468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_Toc14909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7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_Toc22957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25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_Toc11525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1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_Toc30581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3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_Toc32363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67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_Toc23467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1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_Toc16051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5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_Toc29105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71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_Toc7971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4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_Toc29564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7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_Toc4247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26" w:history="1">
        <w:r>
          <w:rPr>
            <w:rFonts w:ascii="仿宋" w:eastAsia="仿宋" w:hAnsi="仿宋" w:cs="仿宋" w:hint="eastAsia"/>
            <w:lang w:eastAsia="zh-CN"/>
          </w:rPr>
          <w:t>十八、法律法规与政策遵循</w:t>
        </w:r>
        <w:r>
          <w:tab/>
        </w:r>
        <w:r>
          <w:fldChar w:fldCharType="begin"/>
        </w:r>
        <w:r>
          <w:instrText xml:space="preserve"> PAGEREF _Toc6726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_Toc3046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5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_Toc13805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17" w:history="1">
        <w:r>
          <w:rPr>
            <w:rFonts w:ascii="仿宋" w:eastAsia="仿宋" w:hAnsi="仿宋" w:cs="仿宋" w:hint="eastAsia"/>
            <w:lang w:eastAsia="zh-CN"/>
          </w:rPr>
          <w:t>十九、创新驱动与持续发展</w:t>
        </w:r>
        <w:r>
          <w:tab/>
        </w:r>
        <w:r>
          <w:fldChar w:fldCharType="begin"/>
        </w:r>
        <w:r>
          <w:instrText xml:space="preserve"> PAGEREF _Toc31317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4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_Toc26644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0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_Toc9890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55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062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33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开关插座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开关插座项目将进行详细的生态影响评估，确保不会对当地的动植物种群和自然栖息地造成负面影响。如果项目地点附近有重要的生物栖息地或生态敏感区，项目将重新考虑建设地点或采取相应的保护措施。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开关插座项目将积极采用可持续材料，如再生塑料和生物降解材料，以减少对环境的影响。项目还将推行废物减量和回收计划，例如通过再利用工业废料或建立回收系统。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开关插座项目还将参与当地的环保活动和计划，如资助当地的环境保护项目或与社区合作进行环保宣传活动。通过这些活动，项目不仅能够提高自身的环境表现，还能在当地社区中树立积极的环保形象。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57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开关插座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开关插座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开关插座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753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开关插座项目将采用绿色屋顶和生态墙等环境友好型建筑设计，这些设计不仅有助于改善空气质量，还能为城市野生动植物提供栖息地。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开关插座项目将建立高效的废水处理系统，确保所有工业废水在排放前都经过适当处理，达到或超过环保标准。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开关插座项目将致力于使用清洁能源，如太阳能和风能，减少对化石燃料的依赖。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开关插座项目将举办环保教育研讨会，向员工和当地社区普及环保知识，提升对环境保护重要性的认识。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9787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在开关插座项目启动前，将进行一系列深入的地质调查，包括钻探和土壤取样，以深入了解项目区域的地层结构和土壤组成。特别是对于土壤的承载能力和地下水位的深度进行详细评估。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开关插座项目将通过地下水位监测系统定期检测水位变化，以预测和预防由高地下水位可能引起的地基问题。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开关插座项目将进行详尽的水文和地形分析，以识别可能的洪水和泥石流风险区。基于这些分析，项目将设计防洪设施，如提高地基、构建防洪墙和排水沟。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开关插座项目还将考虑建设排水系统，以减少地表水对土壤稳定性的影响。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完成初始的地质风险评估后，开关插座项目将安装长期地质监测设备，如倾斜仪、裂缝计和地下水位计，以持续监测地质条件的变化。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6717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开关插座项目将通过这些措施来适应和尊重特殊环境条件，确保项目的可持续发展，同时减少对环境的负面影响。这不仅有助于保护自然和文化遗产，还能提升项目在社会责任方面的表现和形象。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1842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6228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一、开关插座项目的技术资源开发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关插座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二、开关插座项目的人力资源管理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力资源方面，开关插座项目计划招聘一批经验丰富的行业专家和技术人员，这些人员将负责项目的关键技术和运营管理。例如，项目将招聘具有高级机械工程和软件开发经验的人才，以支持项目的技术开发和实施。同时，项目还将设立定期的员工培训计划，内容涵盖最新的行业趋势、技术技能培训和领导力发展。此外，项目还将推行一系列激励机制，如绩效奖金和职业晋升路径，以激励员工的创新和参与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三、开关插座项目的资金资源筹措与优化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项目的顺利运行，资金资源的筹措将采取多元化策略。开关插座项目计划吸引外部投资者，特别是那些对高新技术和可持续发展感兴趣的风险投资基金。同时，项目还将申请政府提供的创新基金和行业补贴，尤其是那些支持绿色技术和可持续发展的政府项目。为优化资金使用，项目将建立严格的预算控制系统，确保每一笔开支都能带来最大的投资回报。此外，项目还将定期进行财务审计，以确保财务透明度和效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9354"/>
      <w:r>
        <w:rPr>
          <w:rFonts w:ascii="仿宋" w:eastAsia="仿宋" w:hAnsi="仿宋" w:cs="仿宋" w:hint="eastAsia"/>
          <w:sz w:val="28"/>
          <w:lang w:eastAsia="zh-CN"/>
        </w:rPr>
        <w:t>(二)、资源利用方案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制定开关插座项目的资源利用方案时，项目将深入专注于将现有资源最大化利用，以提高效率和降低成本。项目首先将引入最新的自动化技术，比如机器人装配线和自动化质量检测系统，这不仅加速生产过程，还确保产品的一致性和质量。同时，项目会利用云计算和大数据分析来优化供应链管理和市场需求预测，减少库存成本并提高对市场变化的响应速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https://d.book118.com/415302133202011123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开关插座项目建设方案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开关插座项目建设方案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开关插座项目建设方案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开关插座项目建设方案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开关插座项目建设方案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开关插座项目建设方案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开关插座项目建设方案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开关插座项目建设方案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开关插座项目建设方案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开关插座项目建设方案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开关插座项目建设方案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开关插座项目建设方案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F5C6962"/>
    <w:rsid w:val="1F5C696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1530213320201112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2024-03-03T07:22:00Z</dcterms:created>
  <dcterms:modified xsi:type="dcterms:W3CDTF">2024-03-03T07:23:32Z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A19F82BDB40B4A73AB66ECA9E17059CE_11</vt:lpwstr>
  </property>
  <property fmtid="{D5CDD505-2E9C-101B-9397-08002B2CF9AE}" pid="3" name="KSOProductBuildVer">
    <vt:lpwstr>2052-12.1.0.16250</vt:lpwstr>
  </property>
</Properties>
</file>