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宋体" w:eastAsia="宋体" w:hAnsi="宋体" w:cs="宋体" w:hint="eastAsia"/>
          <w:b/>
          <w:sz w:val="60"/>
        </w:rPr>
        <w:sectPr>
          <w:headerReference w:type="default" r:id="rId4"/>
          <w:footerReference w:type="default" r:id="rId5"/>
          <w:pgSz w:w="11906" w:h="16838"/>
          <w:pgMar w:top="1440" w:right="1800" w:bottom="1440" w:left="1800" w:header="851" w:footer="992" w:gutter="0"/>
          <w:cols w:num="1" w:space="425"/>
          <w:docGrid w:type="lines" w:linePitch="312" w:charSpace="0"/>
        </w:sectPr>
      </w:pPr>
      <w:r>
        <w:rPr>
          <w:rFonts w:ascii="宋体" w:eastAsia="宋体" w:hAnsi="宋体" w:cs="宋体" w:hint="eastAsia"/>
          <w:b/>
          <w:sz w:val="60"/>
          <w:lang w:eastAsia="zh-CN"/>
        </w:rPr>
        <w:t>高纯稀土金属项目风险可行性方案</w:t>
      </w:r>
    </w:p>
    <w:p>
      <w:pPr>
        <w:jc w:val="center"/>
        <w:rPr>
          <w:rFonts w:ascii="仿宋" w:eastAsia="仿宋" w:hAnsi="仿宋" w:cs="仿宋" w:hint="eastAsia"/>
          <w:b/>
          <w:sz w:val="40"/>
        </w:rPr>
      </w:pPr>
      <w:r>
        <w:rPr>
          <w:rFonts w:ascii="仿宋" w:eastAsia="仿宋" w:hAnsi="仿宋" w:cs="仿宋" w:hint="eastAsia"/>
          <w:b/>
          <w:sz w:val="40"/>
          <w:lang w:eastAsia="zh-CN"/>
        </w:rPr>
        <w:t>目录</w:t>
      </w:r>
    </w:p>
    <w:p>
      <w:pPr>
        <w:pStyle w:val="TOC1"/>
        <w:tabs>
          <w:tab w:val="right" w:leader="dot" w:pos="8306"/>
        </w:tabs>
      </w:pPr>
      <w:r>
        <w:fldChar w:fldCharType="begin"/>
      </w:r>
      <w:r>
        <w:instrText>TOC \h \z</w:instrText>
      </w:r>
      <w:r>
        <w:fldChar w:fldCharType="separate"/>
      </w:r>
      <w:hyperlink w:anchor="_Toc13030" w:history="1">
        <w:r>
          <w:rPr>
            <w:rFonts w:ascii="仿宋" w:eastAsia="仿宋" w:hAnsi="仿宋" w:cs="仿宋" w:hint="eastAsia"/>
            <w:lang w:eastAsia="zh-CN"/>
          </w:rPr>
          <w:t>前言</w:t>
        </w:r>
        <w:r>
          <w:tab/>
        </w:r>
        <w:r>
          <w:fldChar w:fldCharType="begin"/>
        </w:r>
        <w:r>
          <w:instrText xml:space="preserve"> PAGEREF _Toc13030 \h </w:instrText>
        </w:r>
        <w:r>
          <w:fldChar w:fldCharType="separate"/>
        </w:r>
        <w:r>
          <w:t>3</w:t>
        </w:r>
        <w:r>
          <w:fldChar w:fldCharType="end"/>
        </w:r>
      </w:hyperlink>
      <w:r>
        <w:fldChar w:fldCharType="end"/>
      </w:r>
    </w:p>
    <w:p>
      <w:pPr>
        <w:pStyle w:val="TOC1"/>
        <w:tabs>
          <w:tab w:val="right" w:leader="dot" w:pos="8306"/>
        </w:tabs>
      </w:pPr>
      <w:hyperlink w:anchor="_Toc127" w:history="1">
        <w:r>
          <w:rPr>
            <w:rFonts w:ascii="仿宋" w:eastAsia="仿宋" w:hAnsi="仿宋" w:cs="仿宋" w:hint="eastAsia"/>
            <w:lang w:eastAsia="zh-CN"/>
          </w:rPr>
          <w:t>一、工艺方案的选择</w:t>
        </w:r>
        <w:r>
          <w:tab/>
        </w:r>
        <w:r>
          <w:fldChar w:fldCharType="begin"/>
        </w:r>
        <w:r>
          <w:instrText xml:space="preserve"> PAGEREF _Toc127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45" w:history="1">
        <w:r>
          <w:rPr>
            <w:rFonts w:ascii="仿宋" w:eastAsia="仿宋" w:hAnsi="仿宋" w:cs="仿宋" w:hint="eastAsia"/>
            <w:lang w:eastAsia="zh-CN"/>
          </w:rPr>
          <w:t>(一)、基本要求</w:t>
        </w:r>
        <w:r>
          <w:tab/>
        </w:r>
        <w:r>
          <w:fldChar w:fldCharType="begin"/>
        </w:r>
        <w:r>
          <w:instrText xml:space="preserve"> PAGEREF _Toc2545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469" w:history="1">
        <w:r>
          <w:rPr>
            <w:rFonts w:ascii="仿宋" w:eastAsia="仿宋" w:hAnsi="仿宋" w:cs="仿宋" w:hint="eastAsia"/>
            <w:lang w:eastAsia="zh-CN"/>
          </w:rPr>
          <w:t>(二)、典型工艺技术介绍</w:t>
        </w:r>
        <w:r>
          <w:tab/>
        </w:r>
        <w:r>
          <w:fldChar w:fldCharType="begin"/>
        </w:r>
        <w:r>
          <w:instrText xml:space="preserve"> PAGEREF _Toc8469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261" w:history="1">
        <w:r>
          <w:rPr>
            <w:rFonts w:ascii="仿宋" w:eastAsia="仿宋" w:hAnsi="仿宋" w:cs="仿宋" w:hint="eastAsia"/>
            <w:lang w:eastAsia="zh-CN"/>
          </w:rPr>
          <w:t>(三)、高纯稀土金属项目组成</w:t>
        </w:r>
        <w:r>
          <w:tab/>
        </w:r>
        <w:r>
          <w:fldChar w:fldCharType="begin"/>
        </w:r>
        <w:r>
          <w:instrText xml:space="preserve"> PAGEREF _Toc25261 \h </w:instrText>
        </w:r>
        <w:r>
          <w:fldChar w:fldCharType="separate"/>
        </w:r>
        <w:r>
          <w:t>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739" w:history="1">
        <w:r>
          <w:rPr>
            <w:rFonts w:ascii="仿宋" w:eastAsia="仿宋" w:hAnsi="仿宋" w:cs="仿宋" w:hint="eastAsia"/>
            <w:lang w:eastAsia="zh-CN"/>
          </w:rPr>
          <w:t>(四)、工艺技术方案的选择</w:t>
        </w:r>
        <w:r>
          <w:tab/>
        </w:r>
        <w:r>
          <w:fldChar w:fldCharType="begin"/>
        </w:r>
        <w:r>
          <w:instrText xml:space="preserve"> PAGEREF _Toc25739 \h </w:instrText>
        </w:r>
        <w:r>
          <w:fldChar w:fldCharType="separate"/>
        </w:r>
        <w:r>
          <w:t>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317" w:history="1">
        <w:r>
          <w:rPr>
            <w:rFonts w:ascii="仿宋" w:eastAsia="仿宋" w:hAnsi="仿宋" w:cs="仿宋" w:hint="eastAsia"/>
            <w:lang w:eastAsia="zh-CN"/>
          </w:rPr>
          <w:t>(五)、工艺技术方案的设计</w:t>
        </w:r>
        <w:r>
          <w:tab/>
        </w:r>
        <w:r>
          <w:fldChar w:fldCharType="begin"/>
        </w:r>
        <w:r>
          <w:instrText xml:space="preserve"> PAGEREF _Toc14317 \h </w:instrText>
        </w:r>
        <w:r>
          <w:fldChar w:fldCharType="separate"/>
        </w:r>
        <w:r>
          <w:t>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7649" w:history="1">
        <w:r>
          <w:rPr>
            <w:rFonts w:ascii="仿宋" w:eastAsia="仿宋" w:hAnsi="仿宋" w:cs="仿宋" w:hint="eastAsia"/>
            <w:lang w:eastAsia="zh-CN"/>
          </w:rPr>
          <w:t>二、投资估算与资金筹措</w:t>
        </w:r>
        <w:r>
          <w:tab/>
        </w:r>
        <w:r>
          <w:fldChar w:fldCharType="begin"/>
        </w:r>
        <w:r>
          <w:instrText xml:space="preserve"> PAGEREF _Toc27649 \h </w:instrText>
        </w:r>
        <w:r>
          <w:fldChar w:fldCharType="separate"/>
        </w:r>
        <w:r>
          <w:t>10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919" w:history="1">
        <w:r>
          <w:rPr>
            <w:rFonts w:ascii="仿宋" w:eastAsia="仿宋" w:hAnsi="仿宋" w:cs="仿宋" w:hint="eastAsia"/>
            <w:lang w:eastAsia="zh-CN"/>
          </w:rPr>
          <w:t>(一)、投资估算依据及范围</w:t>
        </w:r>
        <w:r>
          <w:tab/>
        </w:r>
        <w:r>
          <w:fldChar w:fldCharType="begin"/>
        </w:r>
        <w:r>
          <w:instrText xml:space="preserve"> PAGEREF _Toc22919 \h </w:instrText>
        </w:r>
        <w:r>
          <w:fldChar w:fldCharType="separate"/>
        </w:r>
        <w:r>
          <w:t>10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307" w:history="1">
        <w:r>
          <w:rPr>
            <w:rFonts w:ascii="仿宋" w:eastAsia="仿宋" w:hAnsi="仿宋" w:cs="仿宋" w:hint="eastAsia"/>
            <w:lang w:eastAsia="zh-CN"/>
          </w:rPr>
          <w:t>(二)、固定资产投资总额</w:t>
        </w:r>
        <w:r>
          <w:tab/>
        </w:r>
        <w:r>
          <w:fldChar w:fldCharType="begin"/>
        </w:r>
        <w:r>
          <w:instrText xml:space="preserve"> PAGEREF _Toc30307 \h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102" w:history="1">
        <w:r>
          <w:rPr>
            <w:rFonts w:ascii="仿宋" w:eastAsia="仿宋" w:hAnsi="仿宋" w:cs="仿宋" w:hint="eastAsia"/>
            <w:lang w:eastAsia="zh-CN"/>
          </w:rPr>
          <w:t>(三)、铺底流动资金和建设期利息</w:t>
        </w:r>
        <w:r>
          <w:tab/>
        </w:r>
        <w:r>
          <w:fldChar w:fldCharType="begin"/>
        </w:r>
        <w:r>
          <w:instrText xml:space="preserve"> PAGEREF _Toc10102 \h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492" w:history="1">
        <w:r>
          <w:rPr>
            <w:rFonts w:ascii="仿宋" w:eastAsia="仿宋" w:hAnsi="仿宋" w:cs="仿宋" w:hint="eastAsia"/>
            <w:lang w:eastAsia="zh-CN"/>
          </w:rPr>
          <w:t>(四)、资金筹措</w:t>
        </w:r>
        <w:r>
          <w:tab/>
        </w:r>
        <w:r>
          <w:fldChar w:fldCharType="begin"/>
        </w:r>
        <w:r>
          <w:instrText xml:space="preserve"> PAGEREF _Toc5492 \h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6199" w:history="1">
        <w:r>
          <w:rPr>
            <w:rFonts w:ascii="仿宋" w:eastAsia="仿宋" w:hAnsi="仿宋" w:cs="仿宋" w:hint="eastAsia"/>
            <w:lang w:eastAsia="zh-CN"/>
          </w:rPr>
          <w:t>三、高纯稀土金属项目建设目标</w:t>
        </w:r>
        <w:r>
          <w:tab/>
        </w:r>
        <w:r>
          <w:fldChar w:fldCharType="begin"/>
        </w:r>
        <w:r>
          <w:instrText xml:space="preserve"> PAGEREF _Toc16199 \h </w:instrText>
        </w:r>
        <w:r>
          <w:fldChar w:fldCharType="separate"/>
        </w:r>
        <w:r>
          <w:t>16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414" w:history="1">
        <w:r>
          <w:rPr>
            <w:rFonts w:ascii="仿宋" w:eastAsia="仿宋" w:hAnsi="仿宋" w:cs="仿宋" w:hint="eastAsia"/>
            <w:lang w:eastAsia="zh-CN"/>
          </w:rPr>
          <w:t>(一)、高纯稀土金属项目建设目标</w:t>
        </w:r>
        <w:r>
          <w:tab/>
        </w:r>
        <w:r>
          <w:fldChar w:fldCharType="begin"/>
        </w:r>
        <w:r>
          <w:instrText xml:space="preserve"> PAGEREF _Toc16414 \h </w:instrText>
        </w:r>
        <w:r>
          <w:fldChar w:fldCharType="separate"/>
        </w:r>
        <w:r>
          <w:t>16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0105" w:history="1">
        <w:r>
          <w:rPr>
            <w:rFonts w:ascii="仿宋" w:eastAsia="仿宋" w:hAnsi="仿宋" w:cs="仿宋" w:hint="eastAsia"/>
            <w:lang w:eastAsia="zh-CN"/>
          </w:rPr>
          <w:t>四、高纯稀土金属项目建设背景</w:t>
        </w:r>
        <w:r>
          <w:tab/>
        </w:r>
        <w:r>
          <w:fldChar w:fldCharType="begin"/>
        </w:r>
        <w:r>
          <w:instrText xml:space="preserve"> PAGEREF _Toc30105 \h </w:instrText>
        </w:r>
        <w:r>
          <w:fldChar w:fldCharType="separate"/>
        </w:r>
        <w:r>
          <w:t>17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592" w:history="1">
        <w:r>
          <w:rPr>
            <w:rFonts w:ascii="仿宋" w:eastAsia="仿宋" w:hAnsi="仿宋" w:cs="仿宋" w:hint="eastAsia"/>
            <w:lang w:eastAsia="zh-CN"/>
          </w:rPr>
          <w:t>(一)、高纯稀土金属项目提出背景</w:t>
        </w:r>
        <w:r>
          <w:tab/>
        </w:r>
        <w:r>
          <w:fldChar w:fldCharType="begin"/>
        </w:r>
        <w:r>
          <w:instrText xml:space="preserve"> PAGEREF _Toc21592 \h </w:instrText>
        </w:r>
        <w:r>
          <w:fldChar w:fldCharType="separate"/>
        </w:r>
        <w:r>
          <w:t>17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75" w:history="1">
        <w:r>
          <w:rPr>
            <w:rFonts w:ascii="仿宋" w:eastAsia="仿宋" w:hAnsi="仿宋" w:cs="仿宋" w:hint="eastAsia"/>
            <w:lang w:eastAsia="zh-CN"/>
          </w:rPr>
          <w:t>(二)、高纯稀土金属项目建设的必要性</w:t>
        </w:r>
        <w:r>
          <w:tab/>
        </w:r>
        <w:r>
          <w:fldChar w:fldCharType="begin"/>
        </w:r>
        <w:r>
          <w:instrText xml:space="preserve"> PAGEREF _Toc1275 \h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936" w:history="1">
        <w:r>
          <w:rPr>
            <w:rFonts w:ascii="仿宋" w:eastAsia="仿宋" w:hAnsi="仿宋" w:cs="仿宋" w:hint="eastAsia"/>
            <w:lang w:eastAsia="zh-CN"/>
          </w:rPr>
          <w:t>(三)、高纯稀土金属项目建设的可行性</w:t>
        </w:r>
        <w:r>
          <w:tab/>
        </w:r>
        <w:r>
          <w:fldChar w:fldCharType="begin"/>
        </w:r>
        <w:r>
          <w:instrText xml:space="preserve"> PAGEREF _Toc27936 \h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5718" w:history="1">
        <w:r>
          <w:rPr>
            <w:rFonts w:ascii="仿宋" w:eastAsia="仿宋" w:hAnsi="仿宋" w:cs="仿宋" w:hint="eastAsia"/>
            <w:lang w:eastAsia="zh-CN"/>
          </w:rPr>
          <w:t>五、建设期限和进度安排</w:t>
        </w:r>
        <w:r>
          <w:tab/>
        </w:r>
        <w:r>
          <w:fldChar w:fldCharType="begin"/>
        </w:r>
        <w:r>
          <w:instrText xml:space="preserve"> PAGEREF _Toc25718 \h </w:instrText>
        </w:r>
        <w:r>
          <w:fldChar w:fldCharType="separate"/>
        </w:r>
        <w:r>
          <w:t>22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849" w:history="1">
        <w:r>
          <w:rPr>
            <w:rFonts w:ascii="仿宋" w:eastAsia="仿宋" w:hAnsi="仿宋" w:cs="仿宋" w:hint="eastAsia"/>
            <w:lang w:eastAsia="zh-CN"/>
          </w:rPr>
          <w:t>(一)、高纯稀土金属项目实施预备阶段</w:t>
        </w:r>
        <w:r>
          <w:tab/>
        </w:r>
        <w:r>
          <w:fldChar w:fldCharType="begin"/>
        </w:r>
        <w:r>
          <w:instrText xml:space="preserve"> PAGEREF _Toc21849 \h </w:instrText>
        </w:r>
        <w:r>
          <w:fldChar w:fldCharType="separate"/>
        </w:r>
        <w:r>
          <w:t>22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30" w:history="1">
        <w:r>
          <w:rPr>
            <w:rFonts w:ascii="仿宋" w:eastAsia="仿宋" w:hAnsi="仿宋" w:cs="仿宋" w:hint="eastAsia"/>
            <w:lang w:eastAsia="zh-CN"/>
          </w:rPr>
          <w:t>(二)、高纯稀土金属项目实施进度安排</w:t>
        </w:r>
        <w:r>
          <w:tab/>
        </w:r>
        <w:r>
          <w:fldChar w:fldCharType="begin"/>
        </w:r>
        <w:r>
          <w:instrText xml:space="preserve"> PAGEREF _Toc2930 \h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6256" w:history="1">
        <w:r>
          <w:rPr>
            <w:rFonts w:ascii="仿宋" w:eastAsia="仿宋" w:hAnsi="仿宋" w:cs="仿宋" w:hint="eastAsia"/>
            <w:lang w:eastAsia="zh-CN"/>
          </w:rPr>
          <w:t>六、高纯稀土金属项目承办单位基本情况</w:t>
        </w:r>
        <w:r>
          <w:tab/>
        </w:r>
        <w:r>
          <w:fldChar w:fldCharType="begin"/>
        </w:r>
        <w:r>
          <w:instrText xml:space="preserve"> PAGEREF _Toc26256 \h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992" w:history="1">
        <w:r>
          <w:rPr>
            <w:rFonts w:ascii="仿宋" w:eastAsia="仿宋" w:hAnsi="仿宋" w:cs="仿宋" w:hint="eastAsia"/>
            <w:lang w:eastAsia="zh-CN"/>
          </w:rPr>
          <w:t>(一)、公司名称</w:t>
        </w:r>
        <w:r>
          <w:tab/>
        </w:r>
        <w:r>
          <w:fldChar w:fldCharType="begin"/>
        </w:r>
        <w:r>
          <w:instrText xml:space="preserve"> PAGEREF _Toc21992 \h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286" w:history="1">
        <w:r>
          <w:rPr>
            <w:rFonts w:ascii="仿宋" w:eastAsia="仿宋" w:hAnsi="仿宋" w:cs="仿宋" w:hint="eastAsia"/>
            <w:lang w:eastAsia="zh-CN"/>
          </w:rPr>
          <w:t>(二)、公司简介</w:t>
        </w:r>
        <w:r>
          <w:tab/>
        </w:r>
        <w:r>
          <w:fldChar w:fldCharType="begin"/>
        </w:r>
        <w:r>
          <w:instrText xml:space="preserve"> PAGEREF _Toc23286 \h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859" w:history="1">
        <w:r>
          <w:rPr>
            <w:rFonts w:ascii="仿宋" w:eastAsia="仿宋" w:hAnsi="仿宋" w:cs="仿宋" w:hint="eastAsia"/>
            <w:lang w:eastAsia="zh-CN"/>
          </w:rPr>
          <w:t>(三)、公司经济效益分析</w:t>
        </w:r>
        <w:r>
          <w:tab/>
        </w:r>
        <w:r>
          <w:fldChar w:fldCharType="begin"/>
        </w:r>
        <w:r>
          <w:instrText xml:space="preserve"> PAGEREF _Toc4859 \h </w:instrText>
        </w:r>
        <w:r>
          <w:fldChar w:fldCharType="separate"/>
        </w:r>
        <w:r>
          <w:t>26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5133" w:history="1">
        <w:r>
          <w:rPr>
            <w:rFonts w:ascii="仿宋" w:eastAsia="仿宋" w:hAnsi="仿宋" w:cs="仿宋" w:hint="eastAsia"/>
            <w:lang w:eastAsia="zh-CN"/>
          </w:rPr>
          <w:t>七、信息技术与数字化转型</w:t>
        </w:r>
        <w:r>
          <w:tab/>
        </w:r>
        <w:r>
          <w:fldChar w:fldCharType="begin"/>
        </w:r>
        <w:r>
          <w:instrText xml:space="preserve"> PAGEREF _Toc5133 \h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888" w:history="1">
        <w:r>
          <w:rPr>
            <w:rFonts w:ascii="仿宋" w:eastAsia="仿宋" w:hAnsi="仿宋" w:cs="仿宋" w:hint="eastAsia"/>
            <w:lang w:eastAsia="zh-CN"/>
          </w:rPr>
          <w:t>(一)、信息化基础设施建设</w:t>
        </w:r>
        <w:r>
          <w:tab/>
        </w:r>
        <w:r>
          <w:fldChar w:fldCharType="begin"/>
        </w:r>
        <w:r>
          <w:instrText xml:space="preserve"> PAGEREF _Toc22888 \h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176" w:history="1">
        <w:r>
          <w:rPr>
            <w:rFonts w:ascii="仿宋" w:eastAsia="仿宋" w:hAnsi="仿宋" w:cs="仿宋" w:hint="eastAsia"/>
            <w:lang w:eastAsia="zh-CN"/>
          </w:rPr>
          <w:t>(二)、数据安全与隐私保护</w:t>
        </w:r>
        <w:r>
          <w:tab/>
        </w:r>
        <w:r>
          <w:fldChar w:fldCharType="begin"/>
        </w:r>
        <w:r>
          <w:instrText xml:space="preserve"> PAGEREF _Toc9176 \h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640" w:history="1">
        <w:r>
          <w:rPr>
            <w:rFonts w:ascii="仿宋" w:eastAsia="仿宋" w:hAnsi="仿宋" w:cs="仿宋" w:hint="eastAsia"/>
            <w:lang w:eastAsia="zh-CN"/>
          </w:rPr>
          <w:t>(三)、数字化生产与运营</w:t>
        </w:r>
        <w:r>
          <w:tab/>
        </w:r>
        <w:r>
          <w:fldChar w:fldCharType="begin"/>
        </w:r>
        <w:r>
          <w:instrText xml:space="preserve"> PAGEREF _Toc22640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276" w:history="1">
        <w:r>
          <w:rPr>
            <w:rFonts w:ascii="仿宋" w:eastAsia="仿宋" w:hAnsi="仿宋" w:cs="仿宋" w:hint="eastAsia"/>
            <w:lang w:eastAsia="zh-CN"/>
          </w:rPr>
          <w:t>(四)、人工智能应用与创新</w:t>
        </w:r>
        <w:r>
          <w:tab/>
        </w:r>
        <w:r>
          <w:fldChar w:fldCharType="begin"/>
        </w:r>
        <w:r>
          <w:instrText xml:space="preserve"> PAGEREF _Toc5276 \h </w:instrText>
        </w:r>
        <w:r>
          <w:fldChar w:fldCharType="separate"/>
        </w:r>
        <w:r>
          <w:t>32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0782" w:history="1">
        <w:r>
          <w:rPr>
            <w:rFonts w:ascii="仿宋" w:eastAsia="仿宋" w:hAnsi="仿宋" w:cs="仿宋" w:hint="eastAsia"/>
            <w:lang w:eastAsia="zh-CN"/>
          </w:rPr>
          <w:t>八、职业保护</w:t>
        </w:r>
        <w:r>
          <w:tab/>
        </w:r>
        <w:r>
          <w:fldChar w:fldCharType="begin"/>
        </w:r>
        <w:r>
          <w:instrText xml:space="preserve"> PAGEREF _Toc20782 \h </w:instrText>
        </w:r>
        <w:r>
          <w:fldChar w:fldCharType="separate"/>
        </w:r>
        <w:r>
          <w:t>34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15" w:history="1">
        <w:r>
          <w:rPr>
            <w:rFonts w:ascii="仿宋" w:eastAsia="仿宋" w:hAnsi="仿宋" w:cs="仿宋" w:hint="eastAsia"/>
            <w:lang w:eastAsia="zh-CN"/>
          </w:rPr>
          <w:t>(一)、消防安全</w:t>
        </w:r>
        <w:r>
          <w:tab/>
        </w:r>
        <w:r>
          <w:fldChar w:fldCharType="begin"/>
        </w:r>
        <w:r>
          <w:instrText xml:space="preserve"> PAGEREF _Toc2915 \h </w:instrText>
        </w:r>
        <w:r>
          <w:fldChar w:fldCharType="separate"/>
        </w:r>
        <w:r>
          <w:t>34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83" w:history="1">
        <w:r>
          <w:rPr>
            <w:rFonts w:ascii="仿宋" w:eastAsia="仿宋" w:hAnsi="仿宋" w:cs="仿宋" w:hint="eastAsia"/>
            <w:lang w:eastAsia="zh-CN"/>
          </w:rPr>
          <w:t>(二)、防火防爆总图布置措施</w:t>
        </w:r>
        <w:r>
          <w:tab/>
        </w:r>
        <w:r>
          <w:fldChar w:fldCharType="begin"/>
        </w:r>
        <w:r>
          <w:instrText xml:space="preserve"> PAGEREF _Toc883 \h </w:instrText>
        </w:r>
        <w:r>
          <w:fldChar w:fldCharType="separate"/>
        </w:r>
        <w:r>
          <w:t>35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97" w:history="1">
        <w:r>
          <w:rPr>
            <w:rFonts w:ascii="仿宋" w:eastAsia="仿宋" w:hAnsi="仿宋" w:cs="仿宋" w:hint="eastAsia"/>
            <w:lang w:eastAsia="zh-CN"/>
          </w:rPr>
          <w:t>(三)、自然灾害防范措施</w:t>
        </w:r>
        <w:r>
          <w:tab/>
        </w:r>
        <w:r>
          <w:fldChar w:fldCharType="begin"/>
        </w:r>
        <w:r>
          <w:instrText xml:space="preserve"> PAGEREF _Toc997 \h </w:instrText>
        </w:r>
        <w:r>
          <w:fldChar w:fldCharType="separate"/>
        </w:r>
        <w:r>
          <w:t>36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338" w:history="1">
        <w:r>
          <w:rPr>
            <w:rFonts w:ascii="仿宋" w:eastAsia="仿宋" w:hAnsi="仿宋" w:cs="仿宋" w:hint="eastAsia"/>
            <w:lang w:eastAsia="zh-CN"/>
          </w:rPr>
          <w:t>(四)、安全色及安全标志使用要求</w:t>
        </w:r>
        <w:r>
          <w:tab/>
        </w:r>
        <w:r>
          <w:fldChar w:fldCharType="begin"/>
        </w:r>
        <w:r>
          <w:instrText xml:space="preserve"> PAGEREF _Toc29338 \h </w:instrText>
        </w:r>
        <w:r>
          <w:fldChar w:fldCharType="separate"/>
        </w:r>
        <w:r>
          <w:t>37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284" w:history="1">
        <w:r>
          <w:rPr>
            <w:rFonts w:ascii="仿宋" w:eastAsia="仿宋" w:hAnsi="仿宋" w:cs="仿宋" w:hint="eastAsia"/>
            <w:lang w:eastAsia="zh-CN"/>
          </w:rPr>
          <w:t>(五)、电气安全保障措施</w:t>
        </w:r>
        <w:r>
          <w:tab/>
        </w:r>
        <w:r>
          <w:fldChar w:fldCharType="begin"/>
        </w:r>
        <w:r>
          <w:instrText xml:space="preserve"> PAGEREF _Toc6284 \h </w:instrText>
        </w:r>
        <w:r>
          <w:fldChar w:fldCharType="separate"/>
        </w:r>
        <w:r>
          <w:t>39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936" w:history="1">
        <w:r>
          <w:rPr>
            <w:rFonts w:ascii="仿宋" w:eastAsia="仿宋" w:hAnsi="仿宋" w:cs="仿宋" w:hint="eastAsia"/>
            <w:lang w:eastAsia="zh-CN"/>
          </w:rPr>
          <w:t>(六)、防尘防毒措施</w:t>
        </w:r>
        <w:r>
          <w:tab/>
        </w:r>
        <w:r>
          <w:fldChar w:fldCharType="begin"/>
        </w:r>
        <w:r>
          <w:instrText xml:space="preserve"> PAGEREF _Toc18936 \h </w:instrText>
        </w:r>
        <w:r>
          <w:fldChar w:fldCharType="separate"/>
        </w:r>
        <w:r>
          <w:t>40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096" w:history="1">
        <w:r>
          <w:rPr>
            <w:rFonts w:ascii="仿宋" w:eastAsia="仿宋" w:hAnsi="仿宋" w:cs="仿宋" w:hint="eastAsia"/>
            <w:lang w:eastAsia="zh-CN"/>
          </w:rPr>
          <w:t>(七)、防静电、触电防护及防雷措施</w:t>
        </w:r>
        <w:r>
          <w:tab/>
        </w:r>
        <w:r>
          <w:fldChar w:fldCharType="begin"/>
        </w:r>
        <w:r>
          <w:instrText xml:space="preserve"> PAGEREF _Toc8096 \h </w:instrText>
        </w:r>
        <w:r>
          <w:fldChar w:fldCharType="separate"/>
        </w:r>
        <w:r>
          <w:t>41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683" w:history="1">
        <w:r>
          <w:rPr>
            <w:rFonts w:ascii="仿宋" w:eastAsia="仿宋" w:hAnsi="仿宋" w:cs="仿宋" w:hint="eastAsia"/>
            <w:lang w:eastAsia="zh-CN"/>
          </w:rPr>
          <w:t>(八)、机械设备安全保障措施</w:t>
        </w:r>
        <w:r>
          <w:tab/>
        </w:r>
        <w:r>
          <w:fldChar w:fldCharType="begin"/>
        </w:r>
        <w:r>
          <w:instrText xml:space="preserve"> PAGEREF _Toc9683 \h </w:instrText>
        </w:r>
        <w:r>
          <w:fldChar w:fldCharType="separate"/>
        </w:r>
        <w:r>
          <w:t>42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394" w:history="1">
        <w:r>
          <w:rPr>
            <w:rFonts w:ascii="仿宋" w:eastAsia="仿宋" w:hAnsi="仿宋" w:cs="仿宋" w:hint="eastAsia"/>
            <w:lang w:eastAsia="zh-CN"/>
          </w:rPr>
          <w:t>(九)、劳动安全保障措施</w:t>
        </w:r>
        <w:r>
          <w:tab/>
        </w:r>
        <w:r>
          <w:fldChar w:fldCharType="begin"/>
        </w:r>
        <w:r>
          <w:instrText xml:space="preserve"> PAGEREF _Toc28394 \h </w:instrText>
        </w:r>
        <w:r>
          <w:fldChar w:fldCharType="separate"/>
        </w:r>
        <w:r>
          <w:t>43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908" w:history="1">
        <w:r>
          <w:rPr>
            <w:rFonts w:ascii="仿宋" w:eastAsia="仿宋" w:hAnsi="仿宋" w:cs="仿宋" w:hint="eastAsia"/>
            <w:lang w:eastAsia="zh-CN"/>
          </w:rPr>
          <w:t>(十)、劳动安全卫生机构设置及教育制度</w:t>
        </w:r>
        <w:r>
          <w:tab/>
        </w:r>
        <w:r>
          <w:fldChar w:fldCharType="begin"/>
        </w:r>
        <w:r>
          <w:instrText xml:space="preserve"> PAGEREF _Toc27908 \h </w:instrText>
        </w:r>
        <w:r>
          <w:fldChar w:fldCharType="separate"/>
        </w:r>
        <w:r>
          <w:t>44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906" w:history="1">
        <w:r>
          <w:rPr>
            <w:rFonts w:ascii="仿宋" w:eastAsia="仿宋" w:hAnsi="仿宋" w:cs="仿宋" w:hint="eastAsia"/>
            <w:lang w:eastAsia="zh-CN"/>
          </w:rPr>
          <w:t>(十一)、劳动安全预期效果评价</w:t>
        </w:r>
        <w:r>
          <w:tab/>
        </w:r>
        <w:r>
          <w:fldChar w:fldCharType="begin"/>
        </w:r>
        <w:r>
          <w:instrText xml:space="preserve"> PAGEREF _Toc24906 \h </w:instrText>
        </w:r>
        <w:r>
          <w:fldChar w:fldCharType="separate"/>
        </w:r>
        <w:r>
          <w:t>46</w:t>
        </w:r>
        <w:r>
          <w:fldChar w:fldCharType="end"/>
        </w:r>
      </w:hyperlink>
      <w:r>
        <w:br/>
      </w:r>
      <w: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6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https://d.book118.com/415342130040011101</w:t>
        </w:r>
      </w:hyperlink>
    </w:p>
    <w:p>
      <w:pPr>
        <w:pStyle w:val="TOC2"/>
        <w:tabs>
          <w:tab w:val="right" w:leader="dot" w:pos="8306"/>
        </w:tabs>
      </w:pPr>
    </w:p>
    <w:sectPr>
      <w:headerReference w:type="default" r:id="rId7"/>
      <w:footerReference w:type="default" r:id="rId8"/>
      <w:type w:val="nextPage"/>
      <w:pgSz w:w="11906" w:h="16838"/>
      <w:pgMar w:top="1440" w:right="1800" w:bottom="1440" w:left="1800" w:header="851" w:footer="992" w:gutter="0"/>
      <w:pgNumType w:start="2"/>
      <w:cols w:num="1" w:space="425"/>
      <w:titlePg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高纯稀土金属项目风险可行性方案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高纯稀土金属项目风险可行性方案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16441ACC"/>
    <w:rsid w:val="16441ACC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val="en-US" w:eastAsia="zh-CN" w:bidi="ar-SA"/>
    </w:rPr>
  </w:style>
  <w:style w:type="paragraph" w:styleId="Heading1">
    <w:name w:val="heading 1"/>
    <w:basedOn w:val="Normal"/>
    <w:next w:val="Normal"/>
    <w:qFormat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Heading2">
    <w:name w:val="heading 2"/>
    <w:basedOn w:val="Normal"/>
    <w:next w:val="Normal"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eastAsia="黑体" w:hAnsi="Arial"/>
      <w:b/>
      <w:sz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TOC1">
    <w:name w:val="toc 1"/>
    <w:basedOn w:val="Normal"/>
    <w:next w:val="Normal"/>
  </w:style>
  <w:style w:type="paragraph" w:styleId="TOC2">
    <w:name w:val="toc 2"/>
    <w:basedOn w:val="Normal"/>
    <w:next w:val="Normal"/>
    <w:pPr>
      <w:ind w:left="420" w:leftChars="200"/>
    </w:pPr>
  </w:style>
  <w:style w:type="character" w:styleId="PageNumber">
    <w:name w:val="page number"/>
    <w:basedOn w:val="DefaultParagraphFont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footer" Target="footer1.xml" /><Relationship Id="rId6" Type="http://schemas.openxmlformats.org/officeDocument/2006/relationships/hyperlink" Target="https://d.book118.com/415342130040011101" TargetMode="External" /><Relationship Id="rId7" Type="http://schemas.openxmlformats.org/officeDocument/2006/relationships/header" Target="header2.xml" /><Relationship Id="rId8" Type="http://schemas.openxmlformats.org/officeDocument/2006/relationships/footer" Target="footer2.xml" /><Relationship Id="rId9" Type="http://schemas.openxmlformats.org/officeDocument/2006/relationships/theme" Target="theme/theme1.xml" 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花落蝶舞</dc:creator>
  <cp:lastModifiedBy>花落蝶舞</cp:lastModifiedBy>
  <cp:revision>1</cp:revision>
  <dcterms:created xsi:type="dcterms:W3CDTF">2024-01-24T06:01:00Z</dcterms:created>
  <dcterms:modified xsi:type="dcterms:W3CDTF">2024-01-24T06:01:54Z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877B2EDFDB3040E982776FF03474C761_11</vt:lpwstr>
  </property>
  <property fmtid="{D5CDD505-2E9C-101B-9397-08002B2CF9AE}" pid="3" name="KSOProductBuildVer">
    <vt:lpwstr>2052-12.1.0.16120</vt:lpwstr>
  </property>
</Properties>
</file>