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19" w:lineRule="exact"/>
        <w:ind w:firstLine="664"/>
      </w:pPr>
      <w:r>
        <w:pict>
          <v:shape id="_x0000_s1025" style="width:339.65pt;height:1pt;margin-top:232.5pt;margin-left:42.55pt;mso-position-horizontal-relative:page;mso-position-vertical-relative:page;position:absolute;z-index:251658240" coordorigin="0,0" coordsize="6792,20" o:allowincell="f" path="m,l6792,l6792,19l,19l,xe" filled="t" fillcolor="navy" stroked="f"/>
        </w:pict>
      </w:r>
      <w:r>
        <w:rPr>
          <w:position w:val="-18"/>
        </w:rPr>
        <w:drawing>
          <wp:inline distT="0" distB="0" distL="0" distR="0">
            <wp:extent cx="2923031" cy="58369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3031" cy="583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" w:line="1625" w:lineRule="exact"/>
      </w:pPr>
      <w:r>
        <w:rPr>
          <w:position w:val="-32"/>
        </w:rPr>
        <w:pict>
          <v:group id="_x0000_i1026" style="width:594.55pt;height:81.25pt;mso-position-horizontal-relative:char;mso-position-vertical-relative:line" coordorigin="0,0" coordsize="11890,162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1890;height:1610;position:absolute;top:15" filled="f" stroked="f">
              <v:imagedata r:id="rId5" o:title=""/>
            </v:shape>
            <v:shape id="_x0000_s1028" type="#_x0000_t75" style="width:4382;height:1004;left:7507;position:absolute;top:334" filled="f" stroked="f">
              <v:imagedata r:id="rId6" o:title=""/>
            </v:shape>
            <v:rect id="_x0000_s1029" style="width:11890;height:130;position:absolute" filled="t" fillcolor="#ccc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586;height:302;left:5893;position:absolute;top:557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3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024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年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月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2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2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1"/>
                        <w:w w:val="97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7</w:t>
                    </w:r>
                  </w:p>
                </w:txbxContent>
              </v:textbox>
            </v:shape>
            <v:shape id="_x0000_s1031" type="#_x0000_t202" style="width:1071;height:324;left:827;position:absolute;top:548" filled="f" stroked="f">
              <o:lock v:ext="edit" aspectratio="f"/>
              <v:textbox inset="0,0,0,0">
                <w:txbxContent>
                  <w:p>
                    <w:pPr>
                      <w:spacing w:before="19" w:line="204" w:lineRule="auto"/>
                      <w:ind w:left="20"/>
                      <w:rPr>
                        <w:rFonts w:ascii="Microsoft YaHei" w:eastAsia="Microsoft YaHei" w:hAnsi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7"/>
                        <w:sz w:val="25"/>
                        <w:szCs w:val="25"/>
                        <w14:textOutline w14:w="470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宏观研究</w:t>
                    </w:r>
                  </w:p>
                </w:txbxContent>
              </v:textbox>
            </v:shape>
            <v:shape id="_x0000_s1032" type="#_x0000_t202" style="width:227;height:243;left:7554;position:absolute;top:580" filled="f" stroked="f">
              <o:lock v:ext="edit" aspectratio="f"/>
              <v:textbox inset="0,0,0,0">
                <w:txbxContent>
                  <w:p>
                    <w:pPr>
                      <w:spacing w:before="19" w:line="166" w:lineRule="auto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3"/>
                        <w:w w:val="99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19" w:line="198" w:lineRule="auto"/>
        <w:ind w:left="926"/>
        <w:outlineLvl w:val="0"/>
        <w:rPr>
          <w:sz w:val="40"/>
          <w:szCs w:val="40"/>
        </w:rPr>
      </w:pPr>
      <w:r>
        <w:rPr>
          <w:b/>
          <w:bCs/>
          <w:color w:val="FF0000"/>
          <w:spacing w:val="-7"/>
          <w:sz w:val="40"/>
          <w:szCs w:val="40"/>
          <w14:textOutline w14:w="7282" w14:cap="sq">
            <w14:solidFill>
              <w14:srgbClr w14:val="FF0000"/>
            </w14:solidFill>
            <w14:prstDash w14:val="solid"/>
            <w14:bevel/>
          </w14:textOutline>
        </w:rPr>
        <w:t>日股创新高后如何演绎？</w:t>
      </w:r>
    </w:p>
    <w:p>
      <w:pPr>
        <w:spacing w:before="72"/>
      </w:pPr>
    </w:p>
    <w:p>
      <w:pPr>
        <w:spacing w:before="71"/>
      </w:pPr>
    </w:p>
    <w:p>
      <w:pPr>
        <w:sectPr>
          <w:pgSz w:w="11906" w:h="16839"/>
          <w:pgMar w:top="254" w:right="0" w:bottom="0" w:left="15" w:header="0" w:footer="0" w:gutter="0"/>
          <w:cols w:num="1" w:space="708" w:equalWidth="0">
            <w:col w:w="11891" w:space="0"/>
          </w:cols>
        </w:sectPr>
      </w:pPr>
    </w:p>
    <w:p>
      <w:pPr>
        <w:pStyle w:val="BodyText"/>
        <w:spacing w:line="197" w:lineRule="auto"/>
        <w:ind w:left="844"/>
        <w:rPr>
          <w:sz w:val="24"/>
          <w:szCs w:val="24"/>
        </w:rPr>
      </w:pPr>
      <w:r>
        <w:rPr>
          <w:b/>
          <w:bCs/>
          <w:color w:val="13007C"/>
          <w:spacing w:val="-2"/>
          <w:sz w:val="24"/>
          <w:szCs w:val="24"/>
          <w14:textOutline w14:w="4358" w14:cap="sq">
            <w14:solidFill>
              <w14:srgbClr w14:val="13007C"/>
            </w14:solidFill>
            <w14:prstDash w14:val="solid"/>
            <w14:bevel/>
          </w14:textOutline>
        </w:rPr>
        <w:t>核心观点：</w:t>
      </w:r>
    </w:p>
    <w:p>
      <w:pPr>
        <w:pStyle w:val="BodyText"/>
        <w:spacing w:before="241" w:line="208" w:lineRule="auto"/>
        <w:ind w:left="862" w:right="140" w:firstLine="361"/>
        <w:jc w:val="both"/>
      </w:pPr>
      <w:r>
        <w:rPr>
          <w:b/>
          <w:bCs/>
          <w:color w:val="13007C"/>
          <w:spacing w:val="6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近期日本股市一路高歌猛进</w:t>
      </w:r>
      <w:r>
        <w:rPr>
          <w:b/>
          <w:bCs/>
          <w:color w:val="13007C"/>
          <w:spacing w:val="-17"/>
        </w:rPr>
        <w:t xml:space="preserve"> </w:t>
      </w:r>
      <w:r>
        <w:rPr>
          <w:b/>
          <w:bCs/>
          <w:color w:val="13007C"/>
          <w:spacing w:val="6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，并突破了</w:t>
      </w:r>
      <w:r>
        <w:rPr>
          <w:b/>
          <w:bCs/>
          <w:color w:val="13007C"/>
          <w:spacing w:val="6"/>
        </w:rPr>
        <w:t xml:space="preserve"> </w:t>
      </w:r>
      <w:r>
        <w:rPr>
          <w:b/>
          <w:bCs/>
          <w:color w:val="13007C"/>
          <w:spacing w:val="6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1989</w:t>
      </w:r>
      <w:r>
        <w:rPr>
          <w:b/>
          <w:bCs/>
          <w:color w:val="13007C"/>
          <w:spacing w:val="6"/>
        </w:rPr>
        <w:t xml:space="preserve"> </w:t>
      </w:r>
      <w:r>
        <w:rPr>
          <w:b/>
          <w:bCs/>
          <w:color w:val="13007C"/>
          <w:spacing w:val="6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年底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创下的最高收盘记录</w:t>
      </w:r>
      <w:r>
        <w:rPr>
          <w:b/>
          <w:bCs/>
          <w:color w:val="13007C"/>
          <w:spacing w:val="-18"/>
        </w:rPr>
        <w:t xml:space="preserve"> 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，今年</w:t>
      </w:r>
      <w:r>
        <w:rPr>
          <w:b/>
          <w:bCs/>
          <w:color w:val="13007C"/>
        </w:rPr>
        <w:t xml:space="preserve"> </w:t>
      </w:r>
      <w:r>
        <w:rPr>
          <w:b/>
          <w:bCs/>
          <w:color w:val="13007C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以来日经</w:t>
      </w:r>
      <w:r>
        <w:rPr>
          <w:b/>
          <w:bCs/>
          <w:color w:val="13007C"/>
        </w:rPr>
        <w:t xml:space="preserve"> </w:t>
      </w:r>
      <w:r>
        <w:rPr>
          <w:b/>
          <w:bCs/>
          <w:color w:val="13007C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225</w:t>
      </w:r>
      <w:r>
        <w:rPr>
          <w:b/>
          <w:bCs/>
          <w:color w:val="13007C"/>
          <w:spacing w:val="19"/>
          <w:w w:val="101"/>
        </w:rPr>
        <w:t xml:space="preserve"> </w:t>
      </w:r>
      <w:r>
        <w:rPr>
          <w:b/>
          <w:bCs/>
          <w:color w:val="13007C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的涨幅也超过了</w:t>
      </w:r>
      <w:r>
        <w:rPr>
          <w:b/>
          <w:bCs/>
          <w:color w:val="13007C"/>
          <w:spacing w:val="14"/>
          <w:w w:val="101"/>
        </w:rPr>
        <w:t xml:space="preserve"> </w:t>
      </w:r>
      <w:r>
        <w:rPr>
          <w:b/>
          <w:bCs/>
          <w:color w:val="13007C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18%，东证指数上涨超过</w:t>
      </w:r>
      <w:r>
        <w:rPr>
          <w:b/>
          <w:bCs/>
          <w:color w:val="13007C"/>
          <w:spacing w:val="14"/>
          <w:w w:val="101"/>
        </w:rPr>
        <w:t xml:space="preserve"> </w:t>
      </w:r>
      <w:r>
        <w:rPr>
          <w:b/>
          <w:bCs/>
          <w:color w:val="13007C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12%。市场仍在不断上调对</w:t>
      </w:r>
      <w:r>
        <w:rPr>
          <w:b/>
          <w:bCs/>
          <w:color w:val="13007C"/>
        </w:rPr>
        <w:t xml:space="preserve"> </w:t>
      </w:r>
      <w:r>
        <w:rPr>
          <w:b/>
          <w:bCs/>
          <w:color w:val="13007C"/>
          <w:spacing w:val="8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日本股市的预测</w:t>
      </w:r>
      <w:r>
        <w:rPr>
          <w:b/>
          <w:bCs/>
          <w:color w:val="13007C"/>
          <w:spacing w:val="-16"/>
        </w:rPr>
        <w:t xml:space="preserve"> </w:t>
      </w:r>
      <w:r>
        <w:rPr>
          <w:b/>
          <w:bCs/>
          <w:color w:val="13007C"/>
          <w:spacing w:val="8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。我们认为日本股市走强背后有三重主要因素。</w:t>
      </w:r>
    </w:p>
    <w:p>
      <w:pPr>
        <w:pStyle w:val="BodyText"/>
        <w:spacing w:before="85" w:line="209" w:lineRule="auto"/>
        <w:ind w:left="843" w:right="140" w:firstLine="368"/>
      </w:pPr>
      <w:r>
        <w:rPr>
          <w:b/>
          <w:bCs/>
          <w:color w:val="FF0000"/>
          <w:spacing w:val="5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（</w:t>
      </w:r>
      <w:r>
        <w:rPr>
          <w:b/>
          <w:bCs/>
          <w:color w:val="FF0000"/>
          <w:spacing w:val="5"/>
        </w:rPr>
        <w:t xml:space="preserve"> </w:t>
      </w:r>
      <w:r>
        <w:rPr>
          <w:b/>
          <w:bCs/>
          <w:color w:val="FF0000"/>
          <w:spacing w:val="5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一</w:t>
      </w:r>
      <w:r>
        <w:rPr>
          <w:b/>
          <w:bCs/>
          <w:color w:val="FF0000"/>
          <w:spacing w:val="-9"/>
        </w:rPr>
        <w:t xml:space="preserve"> </w:t>
      </w:r>
      <w:r>
        <w:rPr>
          <w:b/>
          <w:bCs/>
          <w:color w:val="FF0000"/>
          <w:spacing w:val="5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）支持日股上涨的内外条件趋于成熟</w:t>
      </w:r>
      <w:r>
        <w:rPr>
          <w:b/>
          <w:bCs/>
          <w:color w:val="FF0000"/>
          <w:spacing w:val="-19"/>
        </w:rPr>
        <w:t xml:space="preserve"> </w:t>
      </w:r>
      <w:r>
        <w:rPr>
          <w:b/>
          <w:bCs/>
          <w:color w:val="FF0000"/>
          <w:spacing w:val="5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，包括四个方面：</w:t>
      </w:r>
      <w:r>
        <w:rPr>
          <w:b/>
          <w:bCs/>
          <w:color w:val="FF0000"/>
          <w:spacing w:val="-24"/>
        </w:rPr>
        <w:t xml:space="preserve"> </w:t>
      </w:r>
      <w:r>
        <w:rPr>
          <w:color w:val="13007C"/>
          <w:spacing w:val="5"/>
        </w:rPr>
        <w:t>1.薪</w:t>
      </w:r>
      <w:r>
        <w:rPr>
          <w:color w:val="13007C"/>
          <w:spacing w:val="4"/>
        </w:rPr>
        <w:t>资和通胀螺旋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上升，</w:t>
      </w:r>
      <w:r>
        <w:rPr>
          <w:color w:val="13007C"/>
          <w:spacing w:val="-16"/>
        </w:rPr>
        <w:t xml:space="preserve"> </w:t>
      </w:r>
      <w:r>
        <w:rPr>
          <w:color w:val="13007C"/>
          <w:spacing w:val="7"/>
        </w:rPr>
        <w:t>日本有望走出通缩</w:t>
      </w:r>
      <w:r>
        <w:rPr>
          <w:color w:val="13007C"/>
          <w:spacing w:val="-29"/>
        </w:rPr>
        <w:t xml:space="preserve"> </w:t>
      </w:r>
      <w:r>
        <w:rPr>
          <w:color w:val="13007C"/>
          <w:spacing w:val="7"/>
        </w:rPr>
        <w:t>。全球大通胀浪潮助推日本将安倍经济学以来的积极政策</w:t>
      </w:r>
      <w:r>
        <w:rPr>
          <w:color w:val="13007C"/>
        </w:rPr>
        <w:t xml:space="preserve"> </w:t>
      </w:r>
      <w:r>
        <w:rPr>
          <w:color w:val="13007C"/>
          <w:spacing w:val="6"/>
        </w:rPr>
        <w:t>转化为去通缩的实际效果。2.  日本央行的宽松货币政策为股价提供了支撑。虽然日</w:t>
      </w:r>
      <w:r>
        <w:rPr>
          <w:color w:val="13007C"/>
          <w:spacing w:val="4"/>
        </w:rPr>
        <w:t xml:space="preserve"> </w:t>
      </w:r>
      <w:r>
        <w:rPr>
          <w:color w:val="13007C"/>
          <w:spacing w:val="5"/>
        </w:rPr>
        <w:t xml:space="preserve">央行或在 4 月前后退出 </w:t>
      </w:r>
      <w:r>
        <w:rPr>
          <w:color w:val="13007C"/>
        </w:rPr>
        <w:t>YCC</w:t>
      </w:r>
      <w:r>
        <w:rPr>
          <w:color w:val="13007C"/>
          <w:spacing w:val="5"/>
        </w:rPr>
        <w:t xml:space="preserve"> 和 </w:t>
      </w:r>
      <w:r>
        <w:rPr>
          <w:color w:val="13007C"/>
        </w:rPr>
        <w:t>NIRP</w:t>
      </w:r>
      <w:r>
        <w:rPr>
          <w:color w:val="13007C"/>
          <w:spacing w:val="-13"/>
        </w:rPr>
        <w:t xml:space="preserve"> </w:t>
      </w:r>
      <w:r>
        <w:rPr>
          <w:color w:val="13007C"/>
          <w:spacing w:val="5"/>
        </w:rPr>
        <w:t>，但预计其政策“正常化”仍保持谨慎克制</w:t>
      </w:r>
      <w:r>
        <w:rPr>
          <w:color w:val="13007C"/>
          <w:spacing w:val="-28"/>
        </w:rPr>
        <w:t xml:space="preserve"> </w:t>
      </w:r>
      <w:r>
        <w:rPr>
          <w:color w:val="13007C"/>
          <w:spacing w:val="5"/>
        </w:rPr>
        <w:t>。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3.  日元汇率疲软有利于日本出口，并使日本公司股票对外国投</w:t>
      </w:r>
      <w:r>
        <w:rPr>
          <w:color w:val="13007C"/>
          <w:spacing w:val="6"/>
        </w:rPr>
        <w:t>资者更具吸引力。4.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海外环境趋于稳定</w:t>
      </w:r>
      <w:r>
        <w:rPr>
          <w:color w:val="13007C"/>
          <w:spacing w:val="-17"/>
        </w:rPr>
        <w:t xml:space="preserve"> </w:t>
      </w:r>
      <w:r>
        <w:rPr>
          <w:color w:val="13007C"/>
          <w:spacing w:val="7"/>
        </w:rPr>
        <w:t>，投资气氛有利日股。</w:t>
      </w:r>
    </w:p>
    <w:p>
      <w:pPr>
        <w:pStyle w:val="BodyText"/>
        <w:spacing w:before="84" w:line="209" w:lineRule="auto"/>
        <w:ind w:left="843" w:right="83" w:firstLine="368"/>
        <w:jc w:val="both"/>
      </w:pPr>
      <w:r>
        <w:rPr>
          <w:b/>
          <w:bCs/>
          <w:color w:val="FF0000"/>
          <w:spacing w:val="2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（</w:t>
      </w:r>
      <w:r>
        <w:rPr>
          <w:b/>
          <w:bCs/>
          <w:color w:val="FF0000"/>
          <w:spacing w:val="2"/>
        </w:rPr>
        <w:t xml:space="preserve"> </w:t>
      </w:r>
      <w:r>
        <w:rPr>
          <w:b/>
          <w:bCs/>
          <w:color w:val="FF0000"/>
          <w:spacing w:val="2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二</w:t>
      </w:r>
      <w:r>
        <w:rPr>
          <w:b/>
          <w:bCs/>
          <w:color w:val="FF0000"/>
          <w:spacing w:val="-9"/>
        </w:rPr>
        <w:t xml:space="preserve"> </w:t>
      </w:r>
      <w:r>
        <w:rPr>
          <w:b/>
          <w:bCs/>
          <w:color w:val="FF0000"/>
          <w:spacing w:val="2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）市场层面：盈利改善，资金流入，估</w:t>
      </w:r>
      <w:r>
        <w:rPr>
          <w:b/>
          <w:bCs/>
          <w:color w:val="FF0000"/>
          <w:spacing w:val="1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值提升</w:t>
      </w:r>
      <w:r>
        <w:rPr>
          <w:b/>
          <w:bCs/>
          <w:color w:val="FF0000"/>
          <w:spacing w:val="-27"/>
        </w:rPr>
        <w:t xml:space="preserve"> </w:t>
      </w:r>
      <w:r>
        <w:rPr>
          <w:b/>
          <w:bCs/>
          <w:color w:val="FF0000"/>
          <w:spacing w:val="1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。</w:t>
      </w:r>
      <w:r>
        <w:rPr>
          <w:color w:val="13007C"/>
          <w:spacing w:val="1"/>
        </w:rPr>
        <w:t>日本企业的盈利持续改善，</w:t>
      </w:r>
      <w:r>
        <w:rPr>
          <w:color w:val="13007C"/>
        </w:rPr>
        <w:t xml:space="preserve"> </w:t>
      </w:r>
      <w:r>
        <w:rPr>
          <w:color w:val="13007C"/>
          <w:spacing w:val="9"/>
        </w:rPr>
        <w:t>这是推动日股上涨的核心基本面利好。得益于日本企业在提</w:t>
      </w:r>
      <w:r>
        <w:rPr>
          <w:color w:val="13007C"/>
          <w:spacing w:val="8"/>
        </w:rPr>
        <w:t>高生产效率和成本控制</w:t>
      </w:r>
      <w:r>
        <w:rPr>
          <w:color w:val="13007C"/>
        </w:rPr>
        <w:t xml:space="preserve">  </w:t>
      </w:r>
      <w:r>
        <w:rPr>
          <w:color w:val="13007C"/>
          <w:spacing w:val="5"/>
        </w:rPr>
        <w:t xml:space="preserve">方面的努力，利润率持续上升到历史高位。对日企的盈利预期也在显著改善。同时， </w:t>
      </w:r>
      <w:r>
        <w:rPr>
          <w:color w:val="13007C"/>
        </w:rPr>
        <w:t>海内外资金持续流入</w:t>
      </w:r>
      <w:r>
        <w:rPr>
          <w:color w:val="13007C"/>
          <w:spacing w:val="-15"/>
        </w:rPr>
        <w:t xml:space="preserve"> </w:t>
      </w:r>
      <w:r>
        <w:rPr>
          <w:color w:val="13007C"/>
        </w:rPr>
        <w:t>，推高日股估值</w:t>
      </w:r>
      <w:r>
        <w:rPr>
          <w:color w:val="13007C"/>
          <w:spacing w:val="-28"/>
        </w:rPr>
        <w:t xml:space="preserve"> </w:t>
      </w:r>
      <w:r>
        <w:rPr>
          <w:color w:val="13007C"/>
        </w:rPr>
        <w:t>。</w:t>
      </w:r>
      <w:r>
        <w:rPr>
          <w:color w:val="13007C"/>
          <w:spacing w:val="-26"/>
        </w:rPr>
        <w:t xml:space="preserve"> </w:t>
      </w:r>
      <w:r>
        <w:rPr>
          <w:color w:val="13007C"/>
        </w:rPr>
        <w:t>自 2023 年初至 2024 年 2 月中</w:t>
      </w:r>
      <w:r>
        <w:rPr>
          <w:color w:val="13007C"/>
          <w:spacing w:val="-20"/>
        </w:rPr>
        <w:t xml:space="preserve"> </w:t>
      </w:r>
      <w:r>
        <w:rPr>
          <w:color w:val="13007C"/>
        </w:rPr>
        <w:t xml:space="preserve">，外资总计净  </w:t>
      </w:r>
      <w:r>
        <w:rPr>
          <w:color w:val="13007C"/>
        </w:rPr>
        <w:t>流入超过 550 亿美元</w:t>
      </w:r>
      <w:r>
        <w:rPr>
          <w:color w:val="13007C"/>
          <w:spacing w:val="-10"/>
        </w:rPr>
        <w:t xml:space="preserve"> </w:t>
      </w:r>
      <w:r>
        <w:rPr>
          <w:color w:val="13007C"/>
        </w:rPr>
        <w:t>，是 2014 年以来最快速度。</w:t>
      </w:r>
    </w:p>
    <w:p>
      <w:pPr>
        <w:pStyle w:val="BodyText"/>
        <w:spacing w:before="81" w:line="209" w:lineRule="auto"/>
        <w:ind w:left="842" w:right="140" w:firstLine="369"/>
        <w:jc w:val="both"/>
      </w:pPr>
      <w:r>
        <w:rPr>
          <w:b/>
          <w:bCs/>
          <w:color w:val="FF0000"/>
          <w:spacing w:val="8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（三）</w:t>
      </w:r>
      <w:r>
        <w:rPr>
          <w:b/>
          <w:bCs/>
          <w:color w:val="FF0000"/>
          <w:spacing w:val="-32"/>
        </w:rPr>
        <w:t xml:space="preserve"> </w:t>
      </w:r>
      <w:r>
        <w:rPr>
          <w:b/>
          <w:bCs/>
          <w:color w:val="FF0000"/>
          <w:spacing w:val="8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制度改进层面：关键的“一增一减”</w:t>
      </w:r>
      <w:r>
        <w:rPr>
          <w:b/>
          <w:bCs/>
          <w:color w:val="FF0000"/>
          <w:spacing w:val="-38"/>
        </w:rPr>
        <w:t xml:space="preserve"> </w:t>
      </w:r>
      <w:r>
        <w:rPr>
          <w:b/>
          <w:bCs/>
          <w:color w:val="FF0000"/>
          <w:spacing w:val="8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。</w:t>
      </w:r>
      <w:r>
        <w:rPr>
          <w:color w:val="13007C"/>
          <w:spacing w:val="8"/>
        </w:rPr>
        <w:t>交叉持股比例过高和分</w:t>
      </w:r>
      <w:r>
        <w:rPr>
          <w:color w:val="13007C"/>
          <w:spacing w:val="7"/>
        </w:rPr>
        <w:t>红回购不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>足，是日本股市长期被诟病的两个方面</w:t>
      </w:r>
      <w:r>
        <w:rPr>
          <w:color w:val="13007C"/>
          <w:spacing w:val="-27"/>
        </w:rPr>
        <w:t xml:space="preserve"> </w:t>
      </w:r>
      <w:r>
        <w:rPr>
          <w:color w:val="13007C"/>
          <w:spacing w:val="8"/>
        </w:rPr>
        <w:t>。如果说减少交叉持股是为了加快解决日股</w:t>
      </w:r>
      <w:r>
        <w:rPr>
          <w:color w:val="13007C"/>
        </w:rPr>
        <w:t xml:space="preserve"> </w:t>
      </w:r>
      <w:r>
        <w:rPr>
          <w:color w:val="13007C"/>
          <w:spacing w:val="9"/>
        </w:rPr>
        <w:t>在企业治理方面的陈年旧疾，那加大回购分红则是致力</w:t>
      </w:r>
      <w:r>
        <w:rPr>
          <w:color w:val="13007C"/>
          <w:spacing w:val="8"/>
        </w:rPr>
        <w:t>于提升资本回报、提高长期</w:t>
      </w:r>
      <w:r>
        <w:rPr>
          <w:color w:val="13007C"/>
        </w:rPr>
        <w:t xml:space="preserve"> </w:t>
      </w:r>
      <w:r>
        <w:rPr>
          <w:color w:val="13007C"/>
          <w:spacing w:val="9"/>
        </w:rPr>
        <w:t>吸引力的重大变革</w:t>
      </w:r>
      <w:r>
        <w:rPr>
          <w:color w:val="13007C"/>
          <w:spacing w:val="-28"/>
        </w:rPr>
        <w:t xml:space="preserve"> </w:t>
      </w:r>
      <w:r>
        <w:rPr>
          <w:color w:val="13007C"/>
          <w:spacing w:val="9"/>
        </w:rPr>
        <w:t>。近期的积极改变也是日股吸引到更多长</w:t>
      </w:r>
      <w:r>
        <w:rPr>
          <w:color w:val="13007C"/>
          <w:spacing w:val="8"/>
        </w:rPr>
        <w:t>线投资的重要原因。</w:t>
      </w:r>
    </w:p>
    <w:p>
      <w:pPr>
        <w:pStyle w:val="BodyText"/>
        <w:spacing w:before="86" w:line="209" w:lineRule="auto"/>
        <w:ind w:left="842" w:right="134" w:firstLine="416"/>
        <w:jc w:val="both"/>
      </w:pPr>
      <w:r>
        <w:rPr>
          <w:b/>
          <w:bCs/>
          <w:color w:val="FF0000"/>
          <w:spacing w:val="2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日股前景如何？</w:t>
      </w:r>
      <w:r>
        <w:rPr>
          <w:b/>
          <w:bCs/>
          <w:color w:val="FF0000"/>
          <w:spacing w:val="-33"/>
        </w:rPr>
        <w:t xml:space="preserve"> </w:t>
      </w:r>
      <w:r>
        <w:rPr>
          <w:color w:val="13007C"/>
          <w:spacing w:val="2"/>
        </w:rPr>
        <w:t>和</w:t>
      </w:r>
      <w:r>
        <w:rPr>
          <w:color w:val="13007C"/>
          <w:spacing w:val="17"/>
          <w:w w:val="101"/>
        </w:rPr>
        <w:t xml:space="preserve"> </w:t>
      </w:r>
      <w:r>
        <w:rPr>
          <w:color w:val="13007C"/>
          <w:spacing w:val="2"/>
        </w:rPr>
        <w:t>1989 年泡沫不同，</w:t>
      </w:r>
      <w:r>
        <w:rPr>
          <w:color w:val="13007C"/>
          <w:spacing w:val="-26"/>
        </w:rPr>
        <w:t xml:space="preserve"> </w:t>
      </w:r>
      <w:r>
        <w:rPr>
          <w:color w:val="13007C"/>
          <w:spacing w:val="2"/>
        </w:rPr>
        <w:t>当前日股主要是盈利支撑</w:t>
      </w:r>
      <w:r>
        <w:rPr>
          <w:color w:val="13007C"/>
          <w:spacing w:val="-26"/>
        </w:rPr>
        <w:t xml:space="preserve"> </w:t>
      </w:r>
      <w:r>
        <w:rPr>
          <w:color w:val="13007C"/>
          <w:spacing w:val="2"/>
        </w:rPr>
        <w:t>。</w:t>
      </w:r>
      <w:r>
        <w:rPr>
          <w:color w:val="13007C"/>
          <w:spacing w:val="-13"/>
        </w:rPr>
        <w:t xml:space="preserve"> </w:t>
      </w:r>
      <w:r>
        <w:rPr>
          <w:color w:val="13007C"/>
          <w:spacing w:val="2"/>
        </w:rPr>
        <w:t>日经 2</w:t>
      </w:r>
      <w:r>
        <w:rPr>
          <w:color w:val="13007C"/>
          <w:spacing w:val="1"/>
        </w:rPr>
        <w:t>25 预</w:t>
      </w:r>
      <w:r>
        <w:rPr>
          <w:color w:val="13007C"/>
        </w:rPr>
        <w:t xml:space="preserve"> </w:t>
      </w:r>
      <w:r>
        <w:rPr>
          <w:color w:val="13007C"/>
          <w:spacing w:val="5"/>
        </w:rPr>
        <w:t>期市盈率约 22.5 倍</w:t>
      </w:r>
      <w:r>
        <w:rPr>
          <w:color w:val="13007C"/>
          <w:spacing w:val="-19"/>
        </w:rPr>
        <w:t xml:space="preserve"> </w:t>
      </w:r>
      <w:r>
        <w:rPr>
          <w:color w:val="13007C"/>
          <w:spacing w:val="5"/>
        </w:rPr>
        <w:t>，仍在过去 20 年</w:t>
      </w:r>
      <w:r>
        <w:rPr>
          <w:color w:val="13007C"/>
          <w:spacing w:val="4"/>
        </w:rPr>
        <w:t>均值加一个标准差范围内</w:t>
      </w:r>
      <w:r>
        <w:rPr>
          <w:color w:val="13007C"/>
          <w:spacing w:val="-26"/>
        </w:rPr>
        <w:t xml:space="preserve"> </w:t>
      </w:r>
      <w:r>
        <w:rPr>
          <w:color w:val="13007C"/>
          <w:spacing w:val="4"/>
        </w:rPr>
        <w:t>。我们认为短期内日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>股将继续受益于通缩改善预期、盈利提升</w:t>
      </w:r>
      <w:r>
        <w:rPr>
          <w:color w:val="13007C"/>
          <w:spacing w:val="-23"/>
        </w:rPr>
        <w:t xml:space="preserve"> </w:t>
      </w:r>
      <w:r>
        <w:rPr>
          <w:color w:val="13007C"/>
          <w:spacing w:val="8"/>
        </w:rPr>
        <w:t>、资金流入以及公司治理改善这四</w:t>
      </w:r>
      <w:r>
        <w:rPr>
          <w:color w:val="13007C"/>
          <w:spacing w:val="7"/>
        </w:rPr>
        <w:t>大支柱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的支撑，</w:t>
      </w:r>
      <w:r>
        <w:rPr>
          <w:color w:val="13007C"/>
          <w:spacing w:val="-9"/>
        </w:rPr>
        <w:t xml:space="preserve"> </w:t>
      </w:r>
      <w:r>
        <w:rPr>
          <w:color w:val="13007C"/>
          <w:spacing w:val="7"/>
        </w:rPr>
        <w:t>目前看还没有进入严重过热状态</w:t>
      </w:r>
      <w:r>
        <w:rPr>
          <w:color w:val="13007C"/>
          <w:spacing w:val="-28"/>
        </w:rPr>
        <w:t xml:space="preserve"> </w:t>
      </w:r>
      <w:r>
        <w:rPr>
          <w:color w:val="13007C"/>
          <w:spacing w:val="7"/>
        </w:rPr>
        <w:t>。年中美国可能开始降息利于权益市场。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如果中美经济动能强于预期，制造业周期好转，</w:t>
      </w:r>
      <w:r>
        <w:rPr>
          <w:color w:val="13007C"/>
          <w:spacing w:val="-20"/>
        </w:rPr>
        <w:t xml:space="preserve"> </w:t>
      </w:r>
      <w:r>
        <w:rPr>
          <w:color w:val="13007C"/>
          <w:spacing w:val="7"/>
        </w:rPr>
        <w:t>日本企业也会受益</w:t>
      </w:r>
      <w:r>
        <w:rPr>
          <w:color w:val="13007C"/>
          <w:spacing w:val="-26"/>
        </w:rPr>
        <w:t xml:space="preserve"> </w:t>
      </w:r>
      <w:r>
        <w:rPr>
          <w:color w:val="13007C"/>
          <w:spacing w:val="7"/>
        </w:rPr>
        <w:t>。</w:t>
      </w:r>
      <w:r>
        <w:rPr>
          <w:b/>
          <w:bCs/>
          <w:color w:val="13007C"/>
          <w:spacing w:val="7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在美国经济衰</w:t>
      </w:r>
      <w:r>
        <w:rPr>
          <w:b/>
          <w:bCs/>
          <w:color w:val="13007C"/>
        </w:rPr>
        <w:t xml:space="preserve"> 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退</w:t>
      </w:r>
      <w:r>
        <w:rPr>
          <w:b/>
          <w:bCs/>
          <w:color w:val="13007C"/>
          <w:spacing w:val="-32"/>
        </w:rPr>
        <w:t xml:space="preserve"> 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、美元指数大幅下行和日元大幅升值这三项不出现的基准情景下，</w:t>
      </w:r>
      <w:r>
        <w:rPr>
          <w:b/>
          <w:bCs/>
          <w:color w:val="13007C"/>
          <w:spacing w:val="-33"/>
        </w:rPr>
        <w:t xml:space="preserve"> 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日经</w:t>
      </w:r>
      <w:r>
        <w:rPr>
          <w:b/>
          <w:bCs/>
          <w:color w:val="13007C"/>
          <w:spacing w:val="5"/>
        </w:rPr>
        <w:t xml:space="preserve"> </w:t>
      </w:r>
      <w:r>
        <w:rPr>
          <w:b/>
          <w:bCs/>
          <w:color w:val="13007C"/>
          <w:spacing w:val="5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2</w:t>
      </w:r>
      <w:r>
        <w:rPr>
          <w:b/>
          <w:bCs/>
          <w:color w:val="13007C"/>
          <w:spacing w:val="4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25</w:t>
      </w:r>
      <w:r>
        <w:rPr>
          <w:b/>
          <w:bCs/>
          <w:color w:val="13007C"/>
          <w:spacing w:val="4"/>
        </w:rPr>
        <w:t xml:space="preserve"> </w:t>
      </w:r>
      <w:r>
        <w:rPr>
          <w:b/>
          <w:bCs/>
          <w:color w:val="13007C"/>
          <w:spacing w:val="4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指数</w:t>
      </w:r>
      <w:r>
        <w:rPr>
          <w:b/>
          <w:bCs/>
          <w:color w:val="13007C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在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2024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年有望站上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40,000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点并冲高至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42000</w:t>
      </w:r>
      <w:r>
        <w:rPr>
          <w:b/>
          <w:bCs/>
          <w:color w:val="13007C"/>
          <w:spacing w:val="-2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点</w:t>
      </w:r>
      <w:r>
        <w:rPr>
          <w:b/>
          <w:bCs/>
          <w:color w:val="13007C"/>
          <w:spacing w:val="-20"/>
        </w:rPr>
        <w:t xml:space="preserve"> </w:t>
      </w:r>
      <w:r>
        <w:rPr>
          <w:b/>
          <w:bCs/>
          <w:color w:val="13007C"/>
          <w:spacing w:val="-2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，但后</w:t>
      </w:r>
      <w:r>
        <w:rPr>
          <w:b/>
          <w:bCs/>
          <w:color w:val="13007C"/>
          <w:spacing w:val="-3"/>
          <w14:textOutline w14:w="3450" w14:cap="sq">
            <w14:solidFill>
              <w14:srgbClr w14:val="13007C"/>
            </w14:solidFill>
            <w14:prstDash w14:val="solid"/>
            <w14:bevel/>
          </w14:textOutline>
        </w:rPr>
        <w:t>市波动会加大。</w:t>
      </w:r>
    </w:p>
    <w:p>
      <w:pPr>
        <w:pStyle w:val="BodyText"/>
        <w:spacing w:before="84" w:line="202" w:lineRule="auto"/>
        <w:ind w:left="843" w:right="134" w:firstLine="378"/>
        <w:jc w:val="both"/>
      </w:pPr>
      <w:r>
        <w:rPr>
          <w:b/>
          <w:bCs/>
          <w:color w:val="FF0000"/>
          <w:spacing w:val="8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在目前投资情绪高涨背景下，要格外留意四点风险</w:t>
      </w:r>
      <w:r>
        <w:rPr>
          <w:b/>
          <w:bCs/>
          <w:color w:val="FF0000"/>
          <w:spacing w:val="-26"/>
        </w:rPr>
        <w:t xml:space="preserve"> </w:t>
      </w:r>
      <w:r>
        <w:rPr>
          <w:b/>
          <w:bCs/>
          <w:color w:val="FF0000"/>
          <w:spacing w:val="8"/>
          <w14:textOutline w14:w="3450" w14:cap="sq">
            <w14:solidFill>
              <w14:srgbClr w14:val="FF0000"/>
            </w14:solidFill>
            <w14:prstDash w14:val="solid"/>
            <w14:bevel/>
          </w14:textOutline>
        </w:rPr>
        <w:t>。</w:t>
      </w:r>
      <w:r>
        <w:rPr>
          <w:color w:val="13007C"/>
          <w:spacing w:val="8"/>
        </w:rPr>
        <w:t>首先是海外股市</w:t>
      </w:r>
      <w:r>
        <w:rPr>
          <w:color w:val="13007C"/>
          <w:spacing w:val="7"/>
        </w:rPr>
        <w:t>波动，例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 xml:space="preserve">如 </w:t>
      </w:r>
      <w:r>
        <w:rPr>
          <w:color w:val="13007C"/>
        </w:rPr>
        <w:t>AI</w:t>
      </w:r>
      <w:r>
        <w:rPr>
          <w:color w:val="13007C"/>
          <w:spacing w:val="8"/>
        </w:rPr>
        <w:t xml:space="preserve"> 主题泡沫破裂</w:t>
      </w:r>
      <w:r>
        <w:rPr>
          <w:color w:val="13007C"/>
          <w:spacing w:val="-9"/>
        </w:rPr>
        <w:t xml:space="preserve"> </w:t>
      </w:r>
      <w:r>
        <w:rPr>
          <w:color w:val="13007C"/>
          <w:spacing w:val="8"/>
        </w:rPr>
        <w:t>、资金获利回吐</w:t>
      </w:r>
      <w:r>
        <w:rPr>
          <w:color w:val="13007C"/>
          <w:spacing w:val="-23"/>
        </w:rPr>
        <w:t xml:space="preserve"> </w:t>
      </w:r>
      <w:r>
        <w:rPr>
          <w:color w:val="13007C"/>
          <w:spacing w:val="8"/>
        </w:rPr>
        <w:t>、货币政策等因素触发的回调</w:t>
      </w:r>
      <w:r>
        <w:rPr>
          <w:color w:val="13007C"/>
          <w:spacing w:val="-28"/>
        </w:rPr>
        <w:t xml:space="preserve"> </w:t>
      </w:r>
      <w:r>
        <w:rPr>
          <w:color w:val="13007C"/>
          <w:spacing w:val="8"/>
        </w:rPr>
        <w:t>。第二是日本经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>济下行风险，</w:t>
      </w:r>
      <w:r>
        <w:rPr>
          <w:color w:val="13007C"/>
          <w:spacing w:val="-22"/>
        </w:rPr>
        <w:t xml:space="preserve"> </w:t>
      </w:r>
      <w:r>
        <w:rPr>
          <w:color w:val="13007C"/>
          <w:spacing w:val="8"/>
        </w:rPr>
        <w:t>目前陷入技术性衰退，如果反弹不及预期，则基本面对日</w:t>
      </w:r>
      <w:r>
        <w:rPr>
          <w:color w:val="13007C"/>
          <w:spacing w:val="7"/>
        </w:rPr>
        <w:t>股的拖累最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>终还是会显现</w:t>
      </w:r>
      <w:r>
        <w:rPr>
          <w:color w:val="13007C"/>
          <w:spacing w:val="-27"/>
        </w:rPr>
        <w:t xml:space="preserve"> </w:t>
      </w:r>
      <w:r>
        <w:rPr>
          <w:color w:val="13007C"/>
          <w:spacing w:val="8"/>
        </w:rPr>
        <w:t>。第三，如果日本央行在时间点或者节奏上比市场预期的更鹰派，甚</w:t>
      </w:r>
      <w:r>
        <w:rPr>
          <w:color w:val="13007C"/>
        </w:rPr>
        <w:t xml:space="preserve"> </w:t>
      </w:r>
      <w:r>
        <w:rPr>
          <w:color w:val="13007C"/>
          <w:spacing w:val="7"/>
        </w:rPr>
        <w:t>至转向连续加息，则日本企业的利息负担将会增加，</w:t>
      </w:r>
      <w:r>
        <w:rPr>
          <w:color w:val="13007C"/>
          <w:spacing w:val="-17"/>
        </w:rPr>
        <w:t xml:space="preserve"> </w:t>
      </w:r>
      <w:r>
        <w:rPr>
          <w:color w:val="13007C"/>
          <w:spacing w:val="7"/>
        </w:rPr>
        <w:t>日股也会明显承压</w:t>
      </w:r>
      <w:r>
        <w:rPr>
          <w:color w:val="13007C"/>
          <w:spacing w:val="-26"/>
        </w:rPr>
        <w:t xml:space="preserve"> </w:t>
      </w:r>
      <w:r>
        <w:rPr>
          <w:color w:val="13007C"/>
          <w:spacing w:val="7"/>
        </w:rPr>
        <w:t>。最后</w:t>
      </w:r>
      <w:r>
        <w:rPr>
          <w:color w:val="13007C"/>
          <w:spacing w:val="6"/>
        </w:rPr>
        <w:t>，外</w:t>
      </w:r>
      <w:r>
        <w:rPr>
          <w:color w:val="13007C"/>
        </w:rPr>
        <w:t xml:space="preserve"> </w:t>
      </w:r>
      <w:r>
        <w:rPr>
          <w:color w:val="13007C"/>
          <w:spacing w:val="8"/>
        </w:rPr>
        <w:t>部环境对日股影响较大</w:t>
      </w:r>
      <w:r>
        <w:rPr>
          <w:color w:val="13007C"/>
          <w:spacing w:val="-17"/>
        </w:rPr>
        <w:t xml:space="preserve"> </w:t>
      </w:r>
      <w:r>
        <w:rPr>
          <w:color w:val="13007C"/>
          <w:spacing w:val="8"/>
        </w:rPr>
        <w:t>，地缘政治风险的上升可能导致外资投资者风险</w:t>
      </w:r>
      <w:r>
        <w:rPr>
          <w:color w:val="13007C"/>
          <w:spacing w:val="7"/>
        </w:rPr>
        <w:t>偏好下降。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4" w:lineRule="exact"/>
      </w:pPr>
    </w:p>
    <w:tbl>
      <w:tblPr>
        <w:tblStyle w:val="TableNormal"/>
        <w:tblW w:w="353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34"/>
      </w:tblGrid>
      <w:tr>
        <w:tblPrEx>
          <w:tblW w:w="353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7"/>
        </w:trPr>
        <w:tc>
          <w:tcPr>
            <w:tcW w:w="3534" w:type="dxa"/>
            <w:tcBorders>
              <w:bottom w:val="single" w:sz="4" w:space="0" w:color="13007C"/>
            </w:tcBorders>
            <w:vAlign w:val="top"/>
          </w:tcPr>
          <w:p>
            <w:pPr>
              <w:pStyle w:val="TableText"/>
              <w:spacing w:before="1" w:line="159" w:lineRule="auto"/>
              <w:ind w:left="6"/>
              <w:rPr>
                <w:sz w:val="19"/>
                <w:szCs w:val="19"/>
              </w:rPr>
            </w:pPr>
            <w:r>
              <w:rPr>
                <w:b/>
                <w:bCs/>
                <w:color w:val="13007C"/>
                <w:spacing w:val="7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分析师</w:t>
            </w:r>
          </w:p>
        </w:tc>
      </w:tr>
      <w:tr>
        <w:tblPrEx>
          <w:tblW w:w="3534" w:type="dxa"/>
          <w:tblInd w:w="0" w:type="dxa"/>
          <w:tblLayout w:type="fixed"/>
        </w:tblPrEx>
        <w:trPr>
          <w:trHeight w:val="6414"/>
        </w:trPr>
        <w:tc>
          <w:tcPr>
            <w:tcW w:w="3534" w:type="dxa"/>
            <w:tcBorders>
              <w:top w:val="single" w:sz="4" w:space="0" w:color="13007C"/>
            </w:tcBorders>
            <w:vAlign w:val="top"/>
          </w:tcPr>
          <w:p>
            <w:pPr>
              <w:pStyle w:val="TableText"/>
              <w:spacing w:before="113" w:line="198" w:lineRule="auto"/>
              <w:ind w:left="6"/>
            </w:pPr>
            <w:r>
              <w:rPr>
                <w:b/>
                <w:bCs/>
                <w:color w:val="13007C"/>
                <w:spacing w:val="-4"/>
                <w14:textOutline w14:w="3268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章俊</w:t>
            </w:r>
          </w:p>
          <w:p>
            <w:pPr>
              <w:pStyle w:val="TableText"/>
              <w:spacing w:before="53" w:line="222" w:lineRule="auto"/>
              <w:ind w:left="14"/>
            </w:pPr>
            <w:r>
              <w:rPr>
                <w:rFonts w:ascii="Wingdings" w:eastAsia="Wingdings" w:hAnsi="Wingdings" w:cs="Wingdings"/>
                <w:color w:val="13007C"/>
                <w:spacing w:val="-13"/>
              </w:rPr>
              <w:sym w:font="Wingdings" w:char="F028"/>
            </w:r>
            <w:r>
              <w:rPr>
                <w:color w:val="13007C"/>
                <w:spacing w:val="-13"/>
              </w:rPr>
              <w:t>：010-8092</w:t>
            </w:r>
            <w:r>
              <w:rPr>
                <w:color w:val="13007C"/>
                <w:spacing w:val="22"/>
              </w:rPr>
              <w:t xml:space="preserve"> </w:t>
            </w:r>
            <w:r>
              <w:rPr>
                <w:color w:val="13007C"/>
                <w:spacing w:val="-13"/>
              </w:rPr>
              <w:t>8096</w:t>
            </w:r>
          </w:p>
          <w:p>
            <w:pPr>
              <w:pStyle w:val="TableText"/>
              <w:spacing w:before="33" w:line="325" w:lineRule="exact"/>
              <w:ind w:left="14"/>
            </w:pPr>
            <w:r>
              <w:rPr>
                <w:rFonts w:ascii="Wingdings" w:eastAsia="Wingdings" w:hAnsi="Wingdings" w:cs="Wingdings"/>
                <w:color w:val="13007C"/>
                <w:spacing w:val="-16"/>
                <w:position w:val="11"/>
              </w:rPr>
              <w:sym w:font="Wingdings" w:char="F02A"/>
            </w:r>
            <w:r>
              <w:rPr>
                <w:color w:val="13007C"/>
                <w:spacing w:val="-16"/>
                <w:position w:val="11"/>
              </w:rPr>
              <w:t>：zhangjun_yj@chinastock.com.</w:t>
            </w:r>
            <w:r>
              <w:rPr>
                <w:color w:val="13007C"/>
                <w:spacing w:val="-17"/>
                <w:position w:val="11"/>
              </w:rPr>
              <w:t>cn</w:t>
            </w:r>
          </w:p>
          <w:p>
            <w:pPr>
              <w:pStyle w:val="TableText"/>
              <w:spacing w:before="1" w:line="197" w:lineRule="auto"/>
              <w:ind w:left="5"/>
            </w:pPr>
            <w:r>
              <w:rPr>
                <w:color w:val="13007C"/>
                <w:spacing w:val="-11"/>
              </w:rPr>
              <w:t>分析师登记编码：S0130523070003</w:t>
            </w:r>
          </w:p>
          <w:p>
            <w:pPr>
              <w:pStyle w:val="TableText"/>
              <w:spacing w:before="318" w:line="193" w:lineRule="auto"/>
              <w:ind w:left="4"/>
            </w:pPr>
            <w:r>
              <w:rPr>
                <w:b/>
                <w:bCs/>
                <w:color w:val="13007C"/>
                <w:spacing w:val="-3"/>
                <w14:textOutline w14:w="3268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杨超</w:t>
            </w:r>
          </w:p>
          <w:p>
            <w:pPr>
              <w:pStyle w:val="TableText"/>
              <w:spacing w:line="204" w:lineRule="auto"/>
              <w:ind w:left="14"/>
            </w:pPr>
            <w:r>
              <w:rPr>
                <w:rFonts w:ascii="Wingdings" w:eastAsia="Wingdings" w:hAnsi="Wingdings" w:cs="Wingdings"/>
                <w:color w:val="13007C"/>
                <w:spacing w:val="-12"/>
              </w:rPr>
              <w:sym w:font="Wingdings" w:char="F028"/>
            </w:r>
            <w:r>
              <w:rPr>
                <w:color w:val="13007C"/>
                <w:spacing w:val="-12"/>
              </w:rPr>
              <w:t>：010-80927696</w:t>
            </w:r>
          </w:p>
          <w:p>
            <w:pPr>
              <w:pStyle w:val="TableText"/>
              <w:spacing w:before="1" w:line="199" w:lineRule="auto"/>
              <w:ind w:left="12"/>
            </w:pPr>
            <w:r>
              <w:rPr>
                <w:rFonts w:ascii="Wingdings" w:eastAsia="Wingdings" w:hAnsi="Wingdings" w:cs="Wingdings"/>
                <w:color w:val="13007C"/>
                <w:spacing w:val="-17"/>
                <w:sz w:val="14"/>
                <w:szCs w:val="14"/>
              </w:rPr>
              <w:sym w:font="Wingdings" w:char="F02A"/>
            </w:r>
            <w:r>
              <w:rPr>
                <w:color w:val="13007C"/>
                <w:spacing w:val="-17"/>
                <w:sz w:val="14"/>
                <w:szCs w:val="14"/>
              </w:rPr>
              <w:t>：</w:t>
            </w:r>
            <w:r>
              <w:rPr>
                <w:color w:val="13007C"/>
                <w:spacing w:val="-15"/>
                <w:sz w:val="14"/>
                <w:szCs w:val="14"/>
              </w:rPr>
              <w:t xml:space="preserve"> </w:t>
            </w:r>
            <w:r>
              <w:rPr>
                <w:color w:val="13007C"/>
                <w:spacing w:val="-17"/>
              </w:rPr>
              <w:t>yangchao_yj</w:t>
            </w:r>
            <w:r>
              <w:rPr>
                <w:color w:val="13007C"/>
                <w:spacing w:val="12"/>
              </w:rPr>
              <w:t xml:space="preserve"> </w:t>
            </w:r>
            <w:r>
              <w:rPr>
                <w:color w:val="13007C"/>
                <w:spacing w:val="-17"/>
              </w:rPr>
              <w:t>@chinastock.co</w:t>
            </w:r>
            <w:r>
              <w:rPr>
                <w:color w:val="13007C"/>
                <w:spacing w:val="-18"/>
              </w:rPr>
              <w:t>m.cn</w:t>
            </w:r>
          </w:p>
          <w:p>
            <w:pPr>
              <w:pStyle w:val="TableText"/>
              <w:spacing w:before="1" w:line="197" w:lineRule="auto"/>
              <w:ind w:left="5"/>
            </w:pPr>
            <w:r>
              <w:rPr>
                <w:color w:val="13007C"/>
                <w:spacing w:val="-11"/>
              </w:rPr>
              <w:t>分析师登记编码：S0130522030004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7" w:lineRule="auto"/>
              <w:ind w:left="10"/>
            </w:pPr>
            <w:r>
              <w:rPr>
                <w:b/>
                <w:bCs/>
                <w:color w:val="13007C"/>
                <w:spacing w:val="-6"/>
                <w14:textOutline w14:w="3268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高明</w:t>
            </w:r>
          </w:p>
          <w:p>
            <w:pPr>
              <w:pStyle w:val="TableText"/>
              <w:spacing w:before="58" w:line="198" w:lineRule="auto"/>
              <w:ind w:left="122"/>
            </w:pPr>
            <w:r>
              <w:rPr>
                <w:rFonts w:ascii="Wingdings" w:eastAsia="Wingdings" w:hAnsi="Wingdings" w:cs="Wingdings"/>
                <w:color w:val="13007C"/>
                <w:spacing w:val="-13"/>
              </w:rPr>
              <w:sym w:font="Wingdings" w:char="F028"/>
            </w:r>
            <w:r>
              <w:rPr>
                <w:color w:val="13007C"/>
                <w:spacing w:val="-14"/>
              </w:rPr>
              <w:t>：（</w:t>
            </w:r>
            <w:r>
              <w:rPr>
                <w:color w:val="13007C"/>
                <w:spacing w:val="-13"/>
              </w:rPr>
              <w:t>8610）8092</w:t>
            </w:r>
            <w:r>
              <w:rPr>
                <w:color w:val="13007C"/>
                <w:spacing w:val="12"/>
              </w:rPr>
              <w:t xml:space="preserve"> </w:t>
            </w:r>
            <w:r>
              <w:rPr>
                <w:color w:val="13007C"/>
                <w:spacing w:val="-13"/>
              </w:rPr>
              <w:t>7606</w:t>
            </w:r>
          </w:p>
          <w:p>
            <w:pPr>
              <w:pStyle w:val="TableText"/>
              <w:spacing w:before="65" w:line="204" w:lineRule="auto"/>
              <w:ind w:left="122"/>
            </w:pPr>
            <w:r>
              <w:rPr>
                <w:rFonts w:ascii="Wingdings" w:eastAsia="Wingdings" w:hAnsi="Wingdings" w:cs="Wingdings"/>
                <w:color w:val="13007C"/>
                <w:spacing w:val="-18"/>
              </w:rPr>
              <w:sym w:font="Wingdings" w:char="F02A"/>
            </w:r>
            <w:r>
              <w:rPr>
                <w:color w:val="13007C"/>
                <w:spacing w:val="-18"/>
              </w:rPr>
              <w:t>：gaoming_yj@chinastock.com.cn</w:t>
            </w:r>
          </w:p>
          <w:p>
            <w:pPr>
              <w:pStyle w:val="TableText"/>
              <w:spacing w:before="1" w:line="197" w:lineRule="auto"/>
              <w:ind w:left="113"/>
            </w:pPr>
            <w:r>
              <w:rPr>
                <w:color w:val="13007C"/>
                <w:spacing w:val="-11"/>
              </w:rPr>
              <w:t>分析师登记编码：S0130522120001</w:t>
            </w:r>
          </w:p>
          <w:p>
            <w:pPr>
              <w:pStyle w:val="TableText"/>
              <w:spacing w:before="297" w:line="199" w:lineRule="auto"/>
              <w:ind w:left="112"/>
            </w:pPr>
            <w:r>
              <w:rPr>
                <w:b/>
                <w:bCs/>
                <w:color w:val="13007C"/>
                <w:spacing w:val="-1"/>
                <w14:textOutline w14:w="3268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许冬石</w:t>
            </w:r>
          </w:p>
          <w:p>
            <w:pPr>
              <w:pStyle w:val="TableText"/>
              <w:spacing w:before="55" w:line="198" w:lineRule="auto"/>
              <w:ind w:left="122"/>
            </w:pPr>
            <w:r>
              <w:rPr>
                <w:rFonts w:ascii="Wingdings" w:eastAsia="Wingdings" w:hAnsi="Wingdings" w:cs="Wingdings"/>
                <w:color w:val="13007C"/>
                <w:spacing w:val="-13"/>
              </w:rPr>
              <w:sym w:font="Wingdings" w:char="F028"/>
            </w:r>
            <w:r>
              <w:rPr>
                <w:color w:val="13007C"/>
                <w:spacing w:val="-12"/>
              </w:rPr>
              <w:t>：（</w:t>
            </w:r>
            <w:r>
              <w:rPr>
                <w:color w:val="13007C"/>
                <w:spacing w:val="-13"/>
              </w:rPr>
              <w:t>8610）8357</w:t>
            </w:r>
            <w:r>
              <w:rPr>
                <w:color w:val="13007C"/>
                <w:spacing w:val="8"/>
              </w:rPr>
              <w:t xml:space="preserve"> </w:t>
            </w:r>
            <w:r>
              <w:rPr>
                <w:color w:val="13007C"/>
                <w:spacing w:val="-13"/>
              </w:rPr>
              <w:t>4134</w:t>
            </w:r>
          </w:p>
          <w:p>
            <w:pPr>
              <w:pStyle w:val="TableText"/>
              <w:spacing w:before="62" w:line="325" w:lineRule="exact"/>
              <w:ind w:left="122"/>
            </w:pPr>
            <w:r>
              <w:rPr>
                <w:rFonts w:ascii="Wingdings" w:eastAsia="Wingdings" w:hAnsi="Wingdings" w:cs="Wingdings"/>
                <w:color w:val="13007C"/>
                <w:spacing w:val="-18"/>
                <w:position w:val="11"/>
              </w:rPr>
              <w:sym w:font="Wingdings" w:char="F02A"/>
            </w:r>
            <w:r>
              <w:rPr>
                <w:color w:val="13007C"/>
                <w:spacing w:val="-18"/>
                <w:position w:val="11"/>
              </w:rPr>
              <w:t>：xudongshi@chinastock.com.cn</w:t>
            </w:r>
          </w:p>
          <w:p>
            <w:pPr>
              <w:pStyle w:val="TableText"/>
              <w:spacing w:before="1" w:line="197" w:lineRule="auto"/>
              <w:ind w:left="113"/>
            </w:pPr>
            <w:r>
              <w:rPr>
                <w:color w:val="13007C"/>
                <w:spacing w:val="-11"/>
              </w:rPr>
              <w:t>分析师登记编码：S0130515030003</w:t>
            </w:r>
          </w:p>
        </w:tc>
      </w:tr>
      <w:tr>
        <w:tblPrEx>
          <w:tblW w:w="3534" w:type="dxa"/>
          <w:tblInd w:w="0" w:type="dxa"/>
          <w:tblLayout w:type="fixed"/>
        </w:tblPrEx>
        <w:trPr>
          <w:trHeight w:val="1009"/>
        </w:trPr>
        <w:tc>
          <w:tcPr>
            <w:tcW w:w="3534" w:type="dxa"/>
            <w:tcBorders>
              <w:bottom w:val="single" w:sz="4" w:space="0" w:color="13007C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5"/>
            </w:pPr>
            <w:r>
              <w:rPr>
                <w:b/>
                <w:bCs/>
                <w:color w:val="FF0000"/>
                <w:spacing w:val="-1"/>
                <w14:textOutline w14:w="3268" w14:cap="sq">
                  <w14:solidFill>
                    <w14:srgbClr w14:val="FF0000"/>
                  </w14:solidFill>
                  <w14:prstDash w14:val="solid"/>
                  <w14:bevel/>
                </w14:textOutline>
              </w:rPr>
              <w:t>风险提示</w:t>
            </w:r>
          </w:p>
        </w:tc>
      </w:tr>
      <w:tr>
        <w:tblPrEx>
          <w:tblW w:w="3534" w:type="dxa"/>
          <w:tblInd w:w="0" w:type="dxa"/>
          <w:tblLayout w:type="fixed"/>
        </w:tblPrEx>
        <w:trPr>
          <w:trHeight w:val="1139"/>
        </w:trPr>
        <w:tc>
          <w:tcPr>
            <w:tcW w:w="3534" w:type="dxa"/>
            <w:tcBorders>
              <w:top w:val="single" w:sz="4" w:space="0" w:color="13007C"/>
            </w:tcBorders>
            <w:vAlign w:val="top"/>
          </w:tcPr>
          <w:p>
            <w:pPr>
              <w:pStyle w:val="TableText"/>
              <w:spacing w:before="49" w:line="200" w:lineRule="auto"/>
              <w:ind w:left="19"/>
            </w:pPr>
            <w:r>
              <w:rPr>
                <w:color w:val="13007C"/>
                <w:spacing w:val="-6"/>
              </w:rPr>
              <w:t>1.</w:t>
            </w:r>
            <w:r>
              <w:rPr>
                <w:color w:val="13007C"/>
                <w:spacing w:val="-1"/>
              </w:rPr>
              <w:t xml:space="preserve"> </w:t>
            </w:r>
            <w:r>
              <w:rPr>
                <w:color w:val="13007C"/>
                <w:spacing w:val="-6"/>
              </w:rPr>
              <w:t>日本经济和通胀不及预期风险</w:t>
            </w:r>
          </w:p>
          <w:p>
            <w:pPr>
              <w:pStyle w:val="TableText"/>
              <w:spacing w:line="198" w:lineRule="auto"/>
              <w:ind w:left="5"/>
            </w:pPr>
            <w:r>
              <w:rPr>
                <w:color w:val="13007C"/>
                <w:spacing w:val="-3"/>
              </w:rPr>
              <w:t>2.海外股市回调风险</w:t>
            </w:r>
          </w:p>
          <w:p>
            <w:pPr>
              <w:pStyle w:val="TableText"/>
              <w:spacing w:before="61" w:line="312" w:lineRule="exact"/>
              <w:ind w:left="7"/>
            </w:pPr>
            <w:r>
              <w:rPr>
                <w:color w:val="13007C"/>
                <w:spacing w:val="-2"/>
                <w:position w:val="9"/>
              </w:rPr>
              <w:t>3.美日货币政策超预期调整风险</w:t>
            </w:r>
          </w:p>
          <w:p>
            <w:pPr>
              <w:pStyle w:val="TableText"/>
              <w:spacing w:line="192" w:lineRule="exact"/>
              <w:ind w:left="2"/>
            </w:pPr>
            <w:r>
              <w:rPr>
                <w:color w:val="13007C"/>
                <w:spacing w:val="-3"/>
              </w:rPr>
              <w:t>4.地缘政治的风险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continuous"/>
          <w:pgSz w:w="11906" w:h="16839"/>
          <w:pgMar w:top="254" w:right="0" w:bottom="0" w:left="15" w:header="0" w:footer="0" w:gutter="0"/>
          <w:pgNumType w:start="2"/>
          <w:cols w:num="2" w:space="708" w:equalWidth="0">
            <w:col w:w="7779" w:space="100"/>
            <w:col w:w="4012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60" w:lineRule="exact"/>
      </w:pPr>
      <w:r>
        <w:rPr>
          <w:position w:val="-1"/>
        </w:rPr>
        <w:drawing>
          <wp:inline distT="0" distB="0" distL="0" distR="0">
            <wp:extent cx="7550733" cy="3811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0733" cy="3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9" w:line="154" w:lineRule="auto"/>
        <w:ind w:left="840"/>
        <w:rPr>
          <w:sz w:val="16"/>
          <w:szCs w:val="16"/>
        </w:rPr>
      </w:pPr>
      <w:r>
        <w:rPr>
          <w:color w:val="13007C"/>
          <w:spacing w:val="-3"/>
          <w:sz w:val="16"/>
          <w:szCs w:val="16"/>
          <w:u w:val="single" w:color="auto"/>
        </w:rPr>
        <w:t>www.chinastock.com.cn</w:t>
      </w:r>
      <w:r>
        <w:rPr>
          <w:color w:val="13007C"/>
          <w:spacing w:val="-3"/>
          <w:sz w:val="16"/>
          <w:szCs w:val="16"/>
        </w:rPr>
        <w:t xml:space="preserve"> </w:t>
      </w:r>
      <w:r>
        <w:rPr>
          <w:color w:val="13007C"/>
          <w:spacing w:val="-4"/>
          <w:sz w:val="16"/>
          <w:szCs w:val="16"/>
        </w:rPr>
        <w:t xml:space="preserve">                                       证券研究报告                                              请务必阅读正文最后的中国银河证券股份有限公司免责声明</w:t>
      </w:r>
    </w:p>
    <w:p>
      <w:pPr>
        <w:spacing w:line="154" w:lineRule="auto"/>
        <w:rPr>
          <w:sz w:val="16"/>
          <w:szCs w:val="16"/>
        </w:rPr>
        <w:sectPr>
          <w:type w:val="continuous"/>
          <w:pgSz w:w="11906" w:h="16839"/>
          <w:pgMar w:top="254" w:right="0" w:bottom="0" w:left="15" w:header="0" w:footer="0" w:gutter="0"/>
          <w:pgNumType w:start="3"/>
          <w:cols w:num="1" w:space="708" w:equalWidth="0">
            <w:col w:w="11891" w:space="0"/>
          </w:cols>
        </w:sectPr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829462797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pStyle w:val="BodyText"/>
            <w:spacing w:before="215" w:line="205" w:lineRule="auto"/>
            <w:ind w:left="5226"/>
            <w:rPr>
              <w:sz w:val="19"/>
              <w:szCs w:val="19"/>
            </w:rPr>
          </w:pPr>
          <w:r>
            <w:rPr>
              <w:b/>
              <w:bCs/>
              <w:spacing w:val="-10"/>
              <w:sz w:val="19"/>
              <w:szCs w:val="19"/>
              <w14:textOutline w14:w="3614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目录</w:t>
          </w:r>
        </w:p>
        <w:p>
          <w:pPr>
            <w:pStyle w:val="BodyText"/>
            <w:tabs>
              <w:tab w:val="right" w:leader="dot" w:pos="10486"/>
            </w:tabs>
            <w:spacing w:before="138" w:line="205" w:lineRule="auto"/>
            <w:ind w:left="297"/>
            <w:rPr>
              <w:sz w:val="19"/>
              <w:szCs w:val="19"/>
            </w:rPr>
          </w:pPr>
          <w:hyperlink w:anchor="bookmark1" w:history="1">
            <w:r>
              <w:rPr>
                <w:b/>
                <w:bCs/>
                <w:color w:val="13007C"/>
                <w:spacing w:val="6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一、</w:t>
            </w:r>
            <w:r>
              <w:rPr>
                <w:b/>
                <w:bCs/>
                <w:color w:val="13007C"/>
                <w:spacing w:val="20"/>
                <w:w w:val="101"/>
                <w:sz w:val="19"/>
                <w:szCs w:val="19"/>
              </w:rPr>
              <w:t xml:space="preserve">  </w:t>
            </w:r>
            <w:r>
              <w:rPr>
                <w:b/>
                <w:bCs/>
                <w:color w:val="13007C"/>
                <w:spacing w:val="6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日本股市走强背后的三重因素</w:t>
            </w:r>
            <w:r>
              <w:rPr>
                <w:b/>
                <w:bCs/>
                <w:color w:val="13007C"/>
                <w:spacing w:val="-18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486"/>
            </w:tabs>
            <w:spacing w:before="124" w:line="201" w:lineRule="auto"/>
            <w:ind w:left="280"/>
            <w:rPr>
              <w:sz w:val="19"/>
              <w:szCs w:val="19"/>
            </w:rPr>
          </w:pPr>
          <w:hyperlink w:anchor="bookmark2" w:history="1">
            <w:r>
              <w:rPr>
                <w:b/>
                <w:bCs/>
                <w:color w:val="13007C"/>
                <w:spacing w:val="10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（一）</w:t>
            </w:r>
            <w:r>
              <w:rPr>
                <w:b/>
                <w:bCs/>
                <w:color w:val="13007C"/>
                <w:spacing w:val="7"/>
                <w:sz w:val="19"/>
                <w:szCs w:val="19"/>
              </w:rPr>
              <w:t xml:space="preserve">   </w:t>
            </w:r>
            <w:r>
              <w:rPr>
                <w:b/>
                <w:bCs/>
                <w:color w:val="13007C"/>
                <w:spacing w:val="10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支持日股上涨的内外条件趋于成熟</w:t>
            </w:r>
            <w:r>
              <w:rPr>
                <w:b/>
                <w:bCs/>
                <w:color w:val="13007C"/>
                <w:spacing w:val="-16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pacing w:val="23"/>
                <w:w w:val="105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486"/>
            </w:tabs>
            <w:spacing w:before="130" w:line="201" w:lineRule="auto"/>
            <w:ind w:left="280"/>
            <w:rPr>
              <w:sz w:val="19"/>
              <w:szCs w:val="19"/>
            </w:rPr>
          </w:pPr>
          <w:hyperlink w:anchor="bookmark3" w:history="1"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（二）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</w:rPr>
              <w:t xml:space="preserve">  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市场层面：盈利改善，</w:t>
            </w:r>
            <w:r>
              <w:rPr>
                <w:b/>
                <w:bCs/>
                <w:color w:val="13007C"/>
                <w:spacing w:val="-24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资金流入，估值提升</w:t>
            </w:r>
            <w:r>
              <w:rPr>
                <w:b/>
                <w:bCs/>
                <w:color w:val="13007C"/>
                <w:spacing w:val="-18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pacing w:val="24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6</w:t>
            </w:r>
          </w:hyperlink>
        </w:p>
        <w:p>
          <w:pPr>
            <w:pStyle w:val="BodyText"/>
            <w:tabs>
              <w:tab w:val="right" w:leader="dot" w:pos="10486"/>
            </w:tabs>
            <w:spacing w:before="132" w:line="201" w:lineRule="auto"/>
            <w:ind w:left="280"/>
            <w:rPr>
              <w:sz w:val="19"/>
              <w:szCs w:val="19"/>
            </w:rPr>
          </w:pPr>
          <w:hyperlink w:anchor="bookmark4" w:history="1"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（三）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</w:rPr>
              <w:t xml:space="preserve">  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制度改进层面：</w:t>
            </w:r>
            <w:r>
              <w:rPr>
                <w:b/>
                <w:bCs/>
                <w:color w:val="13007C"/>
                <w:spacing w:val="-33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pacing w:val="8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关键的“一增一减”</w:t>
            </w:r>
            <w:r>
              <w:rPr>
                <w:b/>
                <w:bCs/>
                <w:color w:val="13007C"/>
                <w:spacing w:val="-18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pacing w:val="2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486"/>
            </w:tabs>
            <w:spacing w:before="133" w:line="204" w:lineRule="auto"/>
            <w:ind w:left="293"/>
            <w:rPr>
              <w:sz w:val="19"/>
              <w:szCs w:val="19"/>
            </w:rPr>
          </w:pPr>
          <w:hyperlink w:anchor="bookmark5" w:history="1">
            <w:r>
              <w:rPr>
                <w:b/>
                <w:bCs/>
                <w:color w:val="13007C"/>
                <w:spacing w:val="5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二、</w:t>
            </w:r>
            <w:r>
              <w:rPr>
                <w:b/>
                <w:bCs/>
                <w:color w:val="13007C"/>
                <w:spacing w:val="27"/>
                <w:sz w:val="19"/>
                <w:szCs w:val="19"/>
              </w:rPr>
              <w:t xml:space="preserve">  </w:t>
            </w:r>
            <w:r>
              <w:rPr>
                <w:b/>
                <w:bCs/>
                <w:color w:val="13007C"/>
                <w:spacing w:val="5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日本股市的前景及主要风险</w:t>
            </w:r>
            <w:r>
              <w:rPr>
                <w:b/>
                <w:bCs/>
                <w:color w:val="13007C"/>
                <w:spacing w:val="-18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9</w:t>
            </w:r>
          </w:hyperlink>
        </w:p>
        <w:p>
          <w:pPr>
            <w:pStyle w:val="BodyText"/>
            <w:tabs>
              <w:tab w:val="right" w:leader="dot" w:pos="10486"/>
            </w:tabs>
            <w:spacing w:before="125" w:line="201" w:lineRule="auto"/>
            <w:ind w:left="280"/>
            <w:rPr>
              <w:sz w:val="19"/>
              <w:szCs w:val="19"/>
            </w:rPr>
          </w:pPr>
          <w:hyperlink w:anchor="bookmark6" w:history="1">
            <w:r>
              <w:rPr>
                <w:b/>
                <w:bCs/>
                <w:color w:val="13007C"/>
                <w:spacing w:val="4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（一）</w:t>
            </w:r>
            <w:r>
              <w:rPr>
                <w:b/>
                <w:bCs/>
                <w:color w:val="13007C"/>
                <w:spacing w:val="26"/>
                <w:w w:val="101"/>
                <w:sz w:val="19"/>
                <w:szCs w:val="19"/>
              </w:rPr>
              <w:t xml:space="preserve">  </w:t>
            </w:r>
            <w:r>
              <w:rPr>
                <w:b/>
                <w:bCs/>
                <w:color w:val="13007C"/>
                <w:spacing w:val="4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日股的涨势能否持续？</w:t>
            </w:r>
            <w:r>
              <w:rPr>
                <w:b/>
                <w:bCs/>
                <w:color w:val="13007C"/>
                <w:spacing w:val="4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3007C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ab/>
            </w:r>
            <w:r>
              <w:rPr>
                <w:b/>
                <w:bCs/>
                <w:color w:val="13007C"/>
                <w:spacing w:val="7"/>
                <w:sz w:val="19"/>
                <w:szCs w:val="19"/>
                <w14:textOutline w14:w="3614" w14:cap="sq">
                  <w14:solidFill>
                    <w14:srgbClr w14:val="13007C"/>
                  </w14:solidFill>
                  <w14:prstDash w14:val="solid"/>
                  <w14:bevel/>
                </w14:textOutline>
              </w:rPr>
              <w:t>9</w:t>
            </w:r>
          </w:hyperlink>
        </w:p>
      </w:sdtContent>
    </w:sdt>
    <w:p>
      <w:pPr>
        <w:pStyle w:val="BodyText"/>
        <w:spacing w:before="133" w:line="201" w:lineRule="auto"/>
        <w:ind w:right="4"/>
        <w:jc w:val="right"/>
        <w:rPr>
          <w:sz w:val="19"/>
          <w:szCs w:val="19"/>
        </w:rPr>
      </w:pPr>
      <w:hyperlink w:anchor="bookmark7" w:history="1">
        <w:r>
          <w:rPr>
            <w:b/>
            <w:bCs/>
            <w:color w:val="13007C"/>
            <w:spacing w:val="-4"/>
            <w:sz w:val="19"/>
            <w:szCs w:val="19"/>
            <w14:textOutline w14:w="3614" w14:cap="sq">
              <w14:solidFill>
                <w14:srgbClr w14:val="13007C"/>
              </w14:solidFill>
              <w14:prstDash w14:val="solid"/>
              <w14:bevel/>
            </w14:textOutline>
          </w:rPr>
          <w:t>（二）</w:t>
        </w:r>
        <w:r>
          <w:rPr>
            <w:b/>
            <w:bCs/>
            <w:color w:val="13007C"/>
            <w:spacing w:val="-4"/>
            <w:sz w:val="19"/>
            <w:szCs w:val="19"/>
          </w:rPr>
          <w:t xml:space="preserve">  </w:t>
        </w:r>
        <w:r>
          <w:rPr>
            <w:b/>
            <w:bCs/>
            <w:color w:val="13007C"/>
            <w:spacing w:val="-4"/>
            <w:sz w:val="19"/>
            <w:szCs w:val="19"/>
            <w14:textOutline w14:w="3614" w14:cap="sq">
              <w14:solidFill>
                <w14:srgbClr w14:val="13007C"/>
              </w14:solidFill>
              <w14:prstDash w14:val="solid"/>
              <w14:bevel/>
            </w14:textOutline>
          </w:rPr>
          <w:t>投资日股需要注意哪些风险？</w:t>
        </w:r>
        <w:r>
          <w:rPr>
            <w:b/>
            <w:bCs/>
            <w:color w:val="13007C"/>
            <w:spacing w:val="-4"/>
            <w:sz w:val="19"/>
            <w:szCs w:val="19"/>
          </w:rPr>
          <w:t xml:space="preserve"> </w:t>
        </w:r>
        <w:r>
          <w:rPr>
            <w:b/>
            <w:bCs/>
            <w:color w:val="13007C"/>
            <w:spacing w:val="-4"/>
            <w:sz w:val="19"/>
            <w:szCs w:val="19"/>
            <w14:textOutline w14:w="3614" w14:cap="sq">
              <w14:solidFill>
                <w14:srgbClr w14:val="13007C"/>
              </w14:solidFill>
              <w14:prstDash w14:val="solid"/>
              <w14:bevel/>
            </w14:textOutline>
          </w:rPr>
          <w:t>............</w:t>
        </w:r>
        <w:r>
          <w:rPr>
            <w:b/>
            <w:bCs/>
            <w:color w:val="13007C"/>
            <w:spacing w:val="-5"/>
            <w:sz w:val="19"/>
            <w:szCs w:val="19"/>
            <w14:textOutline w14:w="3614" w14:cap="sq">
              <w14:solidFill>
                <w14:srgbClr w14:val="13007C"/>
              </w14:solidFill>
              <w14:prstDash w14:val="solid"/>
              <w14:bevel/>
            </w14:textOutline>
          </w:rPr>
          <w:t>..............................................................................................................................</w:t>
        </w:r>
        <w:r>
          <w:rPr>
            <w:b/>
            <w:bCs/>
            <w:color w:val="13007C"/>
            <w:spacing w:val="-5"/>
            <w:sz w:val="19"/>
            <w:szCs w:val="19"/>
          </w:rPr>
          <w:t xml:space="preserve"> </w:t>
        </w:r>
        <w:r>
          <w:rPr>
            <w:b/>
            <w:bCs/>
            <w:color w:val="13007C"/>
            <w:spacing w:val="-5"/>
            <w:sz w:val="19"/>
            <w:szCs w:val="19"/>
            <w14:textOutline w14:w="3614" w14:cap="sq">
              <w14:solidFill>
                <w14:srgbClr w14:val="13007C"/>
              </w14:solidFill>
              <w14:prstDash w14:val="solid"/>
              <w14:bevel/>
            </w14:textOutline>
          </w:rPr>
          <w:t>10</w:t>
        </w:r>
      </w:hyperlink>
    </w:p>
    <w:p>
      <w:pPr>
        <w:spacing w:line="201" w:lineRule="auto"/>
        <w:rPr>
          <w:sz w:val="19"/>
          <w:szCs w:val="19"/>
        </w:rPr>
        <w:sectPr>
          <w:headerReference w:type="default" r:id="rId8"/>
          <w:footerReference w:type="default" r:id="rId9"/>
          <w:pgSz w:w="11906" w:h="16839"/>
          <w:pgMar w:top="1251" w:right="830" w:bottom="1185" w:left="566" w:header="283" w:footer="882" w:gutter="0"/>
          <w:pgNumType w:start="4"/>
          <w:cols w:space="708"/>
        </w:sectPr>
      </w:pPr>
    </w:p>
    <w:p>
      <w:pPr>
        <w:pStyle w:val="BodyText"/>
        <w:spacing w:before="322" w:line="199" w:lineRule="auto"/>
        <w:ind w:left="302"/>
        <w:rPr>
          <w:sz w:val="28"/>
          <w:szCs w:val="28"/>
        </w:rPr>
      </w:pPr>
      <w:bookmarkStart w:id="0" w:name="bookmark1"/>
      <w:bookmarkEnd w:id="0"/>
      <w:r>
        <w:rPr>
          <w:color w:val="FF0000"/>
          <w:spacing w:val="-7"/>
          <w:sz w:val="28"/>
          <w:szCs w:val="28"/>
        </w:rPr>
        <w:t>一</w:t>
      </w:r>
      <w:r>
        <w:rPr>
          <w:color w:val="FF0000"/>
          <w:spacing w:val="-42"/>
          <w:sz w:val="28"/>
          <w:szCs w:val="28"/>
        </w:rPr>
        <w:t xml:space="preserve"> </w:t>
      </w:r>
      <w:r>
        <w:rPr>
          <w:color w:val="FF0000"/>
          <w:spacing w:val="-7"/>
          <w:sz w:val="28"/>
          <w:szCs w:val="28"/>
        </w:rPr>
        <w:t>、</w:t>
      </w:r>
      <w:r>
        <w:rPr>
          <w:color w:val="FF0000"/>
          <w:spacing w:val="-37"/>
          <w:sz w:val="28"/>
          <w:szCs w:val="28"/>
        </w:rPr>
        <w:t xml:space="preserve"> </w:t>
      </w:r>
      <w:r>
        <w:rPr>
          <w:color w:val="FF0000"/>
          <w:spacing w:val="-7"/>
          <w:sz w:val="28"/>
          <w:szCs w:val="28"/>
        </w:rPr>
        <w:t>日本股市走强背后的三重因素</w:t>
      </w:r>
    </w:p>
    <w:p>
      <w:pPr>
        <w:pStyle w:val="BodyText"/>
        <w:spacing w:before="111" w:line="218" w:lineRule="auto"/>
        <w:ind w:left="713"/>
        <w:rPr>
          <w:sz w:val="20"/>
          <w:szCs w:val="20"/>
        </w:rPr>
      </w:pPr>
      <w:r>
        <w:rPr>
          <w:spacing w:val="-2"/>
          <w:sz w:val="20"/>
          <w:szCs w:val="20"/>
        </w:rPr>
        <w:t>近期，</w:t>
      </w:r>
      <w:r>
        <w:rPr>
          <w:spacing w:val="-2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日本股市一路高歌猛进，</w:t>
      </w:r>
      <w:r>
        <w:rPr>
          <w:spacing w:val="-19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日经 225 指数于 2 月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13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日突破 38,000 点位</w:t>
      </w:r>
      <w:r>
        <w:rPr>
          <w:spacing w:val="-3"/>
          <w:sz w:val="20"/>
          <w:szCs w:val="20"/>
        </w:rPr>
        <w:t>大关，</w:t>
      </w:r>
      <w:r>
        <w:rPr>
          <w:spacing w:val="-38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比</w:t>
      </w:r>
    </w:p>
    <w:p>
      <w:pPr>
        <w:pStyle w:val="BodyText"/>
        <w:spacing w:line="204" w:lineRule="auto"/>
        <w:ind w:left="295"/>
        <w:rPr>
          <w:sz w:val="20"/>
          <w:szCs w:val="20"/>
        </w:rPr>
      </w:pPr>
      <w:r>
        <w:rPr>
          <w:spacing w:val="-1"/>
          <w:sz w:val="20"/>
          <w:szCs w:val="20"/>
        </w:rPr>
        <w:t>市场的预测来得更快</w:t>
      </w:r>
      <w:r>
        <w:rPr>
          <w:spacing w:val="-2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。仅七个交易日之后的 2 月 22</w:t>
      </w:r>
      <w:r>
        <w:rPr>
          <w:spacing w:val="40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日收于 39,099  点</w:t>
      </w:r>
      <w:r>
        <w:rPr>
          <w:spacing w:val="-2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，突破了</w:t>
      </w:r>
      <w:r>
        <w:rPr>
          <w:spacing w:val="1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1989 年底</w:t>
      </w:r>
    </w:p>
    <w:p>
      <w:pPr>
        <w:pStyle w:val="BodyText"/>
        <w:spacing w:before="20" w:line="204" w:lineRule="auto"/>
        <w:ind w:left="293"/>
        <w:rPr>
          <w:sz w:val="20"/>
          <w:szCs w:val="20"/>
        </w:rPr>
      </w:pPr>
      <w:r>
        <w:rPr>
          <w:spacing w:val="7"/>
          <w:sz w:val="20"/>
          <w:szCs w:val="20"/>
        </w:rPr>
        <w:t>泡沫时期创下的历史收盘最高记录 38,915 点</w:t>
      </w:r>
      <w:r>
        <w:rPr>
          <w:spacing w:val="-29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。而且市场对</w:t>
      </w:r>
      <w:r>
        <w:rPr>
          <w:spacing w:val="6"/>
          <w:sz w:val="20"/>
          <w:szCs w:val="20"/>
        </w:rPr>
        <w:t>于日本股市的预测仍在不断向</w:t>
      </w:r>
    </w:p>
    <w:p>
      <w:pPr>
        <w:pStyle w:val="BodyText"/>
        <w:spacing w:before="19" w:line="206" w:lineRule="auto"/>
        <w:ind w:left="293"/>
        <w:rPr>
          <w:sz w:val="20"/>
          <w:szCs w:val="20"/>
        </w:rPr>
      </w:pPr>
      <w:r>
        <w:rPr>
          <w:spacing w:val="5"/>
          <w:sz w:val="20"/>
          <w:szCs w:val="20"/>
        </w:rPr>
        <w:t>上调整。</w:t>
      </w:r>
    </w:p>
    <w:p>
      <w:pPr>
        <w:pStyle w:val="BodyText"/>
        <w:spacing w:before="174" w:line="218" w:lineRule="auto"/>
        <w:ind w:left="752"/>
        <w:rPr>
          <w:sz w:val="20"/>
          <w:szCs w:val="20"/>
        </w:rPr>
      </w:pPr>
      <w:r>
        <w:rPr>
          <w:spacing w:val="1"/>
          <w:sz w:val="20"/>
          <w:szCs w:val="20"/>
        </w:rPr>
        <w:t>日本股市自上世纪 80 年代牛市和</w:t>
      </w:r>
      <w:r>
        <w:rPr>
          <w:spacing w:val="28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1989 年股灾之后沉睡了近三十年，直到近三、四年</w:t>
      </w:r>
    </w:p>
    <w:p>
      <w:pPr>
        <w:pStyle w:val="BodyText"/>
        <w:spacing w:before="1" w:line="204" w:lineRule="auto"/>
        <w:ind w:left="292"/>
        <w:rPr>
          <w:sz w:val="20"/>
          <w:szCs w:val="20"/>
        </w:rPr>
      </w:pPr>
      <w:r>
        <w:rPr>
          <w:spacing w:val="2"/>
          <w:sz w:val="20"/>
          <w:szCs w:val="20"/>
        </w:rPr>
        <w:t>重新进入全球投资者的视线</w:t>
      </w:r>
      <w:r>
        <w:rPr>
          <w:spacing w:val="-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，并于 2023 年二季度开始显著上行</w:t>
      </w:r>
      <w:r>
        <w:rPr>
          <w:spacing w:val="-19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，全年涨幅近 30%</w:t>
      </w:r>
      <w:r>
        <w:rPr>
          <w:spacing w:val="-30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。截至</w:t>
      </w:r>
    </w:p>
    <w:p>
      <w:pPr>
        <w:pStyle w:val="BodyText"/>
        <w:spacing w:before="19" w:line="204" w:lineRule="auto"/>
        <w:ind w:left="292"/>
        <w:rPr>
          <w:sz w:val="20"/>
          <w:szCs w:val="20"/>
        </w:rPr>
      </w:pPr>
      <w:r>
        <w:rPr>
          <w:spacing w:val="-3"/>
          <w:sz w:val="20"/>
          <w:szCs w:val="20"/>
        </w:rPr>
        <w:t>2024 年 2 月 26</w:t>
      </w:r>
      <w:r>
        <w:rPr>
          <w:spacing w:val="46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日，日经 225 指数自今年以来的涨幅也超过了</w:t>
      </w:r>
      <w:r>
        <w:rPr>
          <w:spacing w:val="19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18%，东证指数 TOPIX 在同</w:t>
      </w:r>
    </w:p>
    <w:p>
      <w:pPr>
        <w:pStyle w:val="BodyText"/>
        <w:spacing w:before="21" w:line="204" w:lineRule="auto"/>
        <w:ind w:left="292"/>
        <w:rPr>
          <w:sz w:val="20"/>
          <w:szCs w:val="20"/>
        </w:rPr>
      </w:pPr>
      <w:r>
        <w:rPr>
          <w:spacing w:val="-1"/>
          <w:sz w:val="20"/>
          <w:szCs w:val="20"/>
        </w:rPr>
        <w:t>期的涨幅超过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12%。</w:t>
      </w:r>
    </w:p>
    <w:p>
      <w:pPr>
        <w:pStyle w:val="BodyText"/>
        <w:spacing w:before="315" w:line="193" w:lineRule="auto"/>
        <w:ind w:left="699"/>
        <w:outlineLvl w:val="0"/>
        <w:rPr>
          <w:sz w:val="24"/>
          <w:szCs w:val="24"/>
        </w:rPr>
      </w:pPr>
      <w:bookmarkStart w:id="1" w:name="bookmark2"/>
      <w:bookmarkEnd w:id="1"/>
      <w:r>
        <w:rPr>
          <w:color w:val="FF0000"/>
          <w:spacing w:val="-4"/>
          <w:sz w:val="24"/>
          <w:szCs w:val="24"/>
        </w:rPr>
        <w:t>（ 一 ）支持日股上涨的内外条件趋于成熟</w:t>
      </w:r>
    </w:p>
    <w:p>
      <w:pPr>
        <w:pStyle w:val="BodyText"/>
        <w:spacing w:before="157" w:line="217" w:lineRule="auto"/>
        <w:ind w:left="1135" w:right="2031" w:hanging="407"/>
        <w:outlineLvl w:val="1"/>
        <w:rPr>
          <w:sz w:val="20"/>
          <w:szCs w:val="20"/>
        </w:rPr>
      </w:pPr>
      <w:r>
        <w:rPr>
          <w:spacing w:val="8"/>
          <w:sz w:val="20"/>
          <w:szCs w:val="20"/>
        </w:rPr>
        <w:t xml:space="preserve">1.    </w:t>
      </w:r>
      <w:r>
        <w:rPr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薪资和通胀螺旋上升，</w:t>
      </w:r>
      <w:r>
        <w:rPr>
          <w:spacing w:val="8"/>
          <w:sz w:val="20"/>
          <w:szCs w:val="20"/>
        </w:rPr>
        <w:t xml:space="preserve"> </w:t>
      </w:r>
      <w:r>
        <w:rPr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日本有望走出通缩</w:t>
      </w:r>
      <w:r>
        <w:rPr>
          <w:spacing w:val="-14"/>
          <w:sz w:val="20"/>
          <w:szCs w:val="20"/>
        </w:rPr>
        <w:t xml:space="preserve"> </w:t>
      </w:r>
      <w:r>
        <w:rPr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。这也是日股走强背后的核心宏观原</w:t>
      </w:r>
      <w:r>
        <w:rPr>
          <w:sz w:val="20"/>
          <w:szCs w:val="20"/>
        </w:rPr>
        <w:t xml:space="preserve">   </w:t>
      </w:r>
      <w:r>
        <w:rPr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因之一</w:t>
      </w:r>
      <w:r>
        <w:rPr>
          <w:spacing w:val="-32"/>
          <w:sz w:val="20"/>
          <w:szCs w:val="20"/>
        </w:rPr>
        <w:t xml:space="preserve"> </w:t>
      </w:r>
      <w:r>
        <w:rPr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8"/>
          <w:sz w:val="20"/>
          <w:szCs w:val="20"/>
        </w:rPr>
        <w:t>长期以来</w:t>
      </w:r>
      <w:r>
        <w:rPr>
          <w:spacing w:val="-1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，通胀低迷对日本股市有着明显的拖累</w:t>
      </w:r>
      <w:r>
        <w:rPr>
          <w:spacing w:val="-11"/>
          <w:sz w:val="20"/>
          <w:szCs w:val="20"/>
        </w:rPr>
        <w:t>：（</w:t>
      </w:r>
      <w:r>
        <w:rPr>
          <w:spacing w:val="8"/>
          <w:sz w:val="20"/>
          <w:szCs w:val="20"/>
        </w:rPr>
        <w:t>1）消费和投资延</w:t>
      </w:r>
      <w:r>
        <w:rPr>
          <w:sz w:val="20"/>
          <w:szCs w:val="20"/>
        </w:rPr>
        <w:t xml:space="preserve">   </w:t>
      </w:r>
      <w:r>
        <w:rPr>
          <w:spacing w:val="10"/>
          <w:sz w:val="20"/>
          <w:szCs w:val="20"/>
        </w:rPr>
        <w:t>迟：</w:t>
      </w:r>
      <w:r>
        <w:rPr>
          <w:spacing w:val="-3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在预期物价将下降的环境中</w:t>
      </w:r>
      <w:r>
        <w:rPr>
          <w:spacing w:val="-19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，消费者通常会</w:t>
      </w:r>
      <w:r>
        <w:rPr>
          <w:spacing w:val="9"/>
          <w:sz w:val="20"/>
          <w:szCs w:val="20"/>
        </w:rPr>
        <w:t>推迟购买非必需品</w:t>
      </w:r>
      <w:r>
        <w:rPr>
          <w:spacing w:val="-20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，企业也倾</w:t>
      </w:r>
      <w:r>
        <w:rPr>
          <w:sz w:val="20"/>
          <w:szCs w:val="20"/>
        </w:rPr>
        <w:t xml:space="preserve">   </w:t>
      </w:r>
      <w:r>
        <w:rPr>
          <w:spacing w:val="5"/>
          <w:sz w:val="20"/>
          <w:szCs w:val="20"/>
        </w:rPr>
        <w:t>向于推迟或取消投资计划，这会减少经济增长的动力，从而拖累股市表现</w:t>
      </w:r>
      <w:r>
        <w:rPr>
          <w:spacing w:val="-1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。（2）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企业盈利压力：</w:t>
      </w:r>
      <w:r>
        <w:rPr>
          <w:spacing w:val="-21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通缩环境下企业面临降价压力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，使得利润空间被压缩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，影响企</w:t>
      </w:r>
      <w:r>
        <w:rPr>
          <w:sz w:val="20"/>
          <w:szCs w:val="20"/>
        </w:rPr>
        <w:t xml:space="preserve">   </w:t>
      </w:r>
      <w:r>
        <w:rPr>
          <w:spacing w:val="6"/>
          <w:sz w:val="20"/>
          <w:szCs w:val="20"/>
        </w:rPr>
        <w:t>业的盈利能力</w:t>
      </w:r>
      <w:r>
        <w:rPr>
          <w:spacing w:val="-2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。此外</w:t>
      </w:r>
      <w:r>
        <w:rPr>
          <w:spacing w:val="-2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，通缩可能导致实际债务负担加重</w:t>
      </w:r>
      <w:r>
        <w:rPr>
          <w:spacing w:val="-2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。（3）货币政策限制：</w:t>
      </w:r>
      <w:r>
        <w:rPr>
          <w:sz w:val="20"/>
          <w:szCs w:val="20"/>
        </w:rPr>
        <w:t xml:space="preserve">   </w:t>
      </w:r>
      <w:r>
        <w:rPr>
          <w:spacing w:val="9"/>
          <w:sz w:val="20"/>
          <w:szCs w:val="20"/>
        </w:rPr>
        <w:t>为应对通缩， 日本央行只能实施宽松的货币政策</w:t>
      </w:r>
      <w:r>
        <w:rPr>
          <w:spacing w:val="-5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，长期的低利率环境影响银行</w:t>
      </w:r>
      <w:r>
        <w:rPr>
          <w:sz w:val="20"/>
          <w:szCs w:val="20"/>
        </w:rPr>
        <w:t xml:space="preserve">   </w:t>
      </w:r>
      <w:r>
        <w:rPr>
          <w:spacing w:val="7"/>
          <w:sz w:val="20"/>
          <w:szCs w:val="20"/>
        </w:rPr>
        <w:t>和其他金融机构的盈利能力</w:t>
      </w:r>
      <w:r>
        <w:rPr>
          <w:spacing w:val="-1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。（4）投资者信心：</w:t>
      </w:r>
      <w:r>
        <w:rPr>
          <w:spacing w:val="-37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长期的低通胀或通缩局面削弱</w:t>
      </w:r>
      <w:r>
        <w:rPr>
          <w:sz w:val="20"/>
          <w:szCs w:val="20"/>
        </w:rPr>
        <w:t xml:space="preserve">   </w:t>
      </w:r>
      <w:r>
        <w:rPr>
          <w:spacing w:val="7"/>
          <w:sz w:val="20"/>
          <w:szCs w:val="20"/>
        </w:rPr>
        <w:t>投资者对日本经济前景的信心</w:t>
      </w:r>
      <w:r>
        <w:rPr>
          <w:spacing w:val="-32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。（5）财政政策挑战：为刺激经济</w:t>
      </w:r>
      <w:r>
        <w:rPr>
          <w:spacing w:val="-2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，政府倾向于</w:t>
      </w:r>
      <w:r>
        <w:rPr>
          <w:sz w:val="20"/>
          <w:szCs w:val="20"/>
        </w:rPr>
        <w:t xml:space="preserve">   </w:t>
      </w:r>
      <w:r>
        <w:rPr>
          <w:spacing w:val="10"/>
          <w:sz w:val="20"/>
          <w:szCs w:val="20"/>
        </w:rPr>
        <w:t>增加公共支出</w:t>
      </w:r>
      <w:r>
        <w:rPr>
          <w:spacing w:val="-3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，导致财政赤字和债务水平上升</w:t>
      </w:r>
      <w:r>
        <w:rPr>
          <w:spacing w:val="-2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。高债务水平反过来增加政府融</w:t>
      </w:r>
      <w:r>
        <w:rPr>
          <w:sz w:val="20"/>
          <w:szCs w:val="20"/>
        </w:rPr>
        <w:t xml:space="preserve">   </w:t>
      </w:r>
      <w:r>
        <w:rPr>
          <w:spacing w:val="6"/>
          <w:sz w:val="20"/>
          <w:szCs w:val="20"/>
        </w:rPr>
        <w:t>资成本，</w:t>
      </w:r>
      <w:r>
        <w:rPr>
          <w:spacing w:val="-3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限制未来的财政政策空间</w:t>
      </w:r>
      <w:r>
        <w:rPr>
          <w:spacing w:val="-2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。（6）资产价格波动：在通缩环境中</w:t>
      </w:r>
      <w:r>
        <w:rPr>
          <w:spacing w:val="-1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，投资</w:t>
      </w:r>
      <w:r>
        <w:rPr>
          <w:sz w:val="20"/>
          <w:szCs w:val="20"/>
        </w:rPr>
        <w:t xml:space="preserve">   </w:t>
      </w:r>
      <w:r>
        <w:rPr>
          <w:spacing w:val="9"/>
          <w:sz w:val="20"/>
          <w:szCs w:val="20"/>
        </w:rPr>
        <w:t>者倾向寻求保值资产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，如黄金或外币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，导致资金从股市流向其他市场</w:t>
      </w:r>
      <w:r>
        <w:rPr>
          <w:spacing w:val="-1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，影响日</w:t>
      </w:r>
      <w:r>
        <w:rPr>
          <w:sz w:val="20"/>
          <w:szCs w:val="20"/>
        </w:rPr>
        <w:t xml:space="preserve">   </w:t>
      </w:r>
      <w:r>
        <w:rPr>
          <w:spacing w:val="8"/>
          <w:sz w:val="20"/>
          <w:szCs w:val="20"/>
        </w:rPr>
        <w:t>本股市的流动性和价格。</w:t>
      </w:r>
    </w:p>
    <w:p>
      <w:pPr>
        <w:pStyle w:val="BodyText"/>
        <w:spacing w:before="174" w:line="214" w:lineRule="auto"/>
        <w:ind w:left="1131" w:right="2068" w:firstLine="421"/>
        <w:jc w:val="both"/>
        <w:rPr>
          <w:sz w:val="20"/>
          <w:szCs w:val="20"/>
        </w:rPr>
      </w:pPr>
      <w:r>
        <w:rPr>
          <w:spacing w:val="9"/>
          <w:sz w:val="20"/>
          <w:szCs w:val="20"/>
        </w:rPr>
        <w:t>为了应对这些挑战， 日本政府和央行曾推行不少政策措施</w:t>
      </w:r>
      <w:r>
        <w:rPr>
          <w:spacing w:val="-3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，包括推动结构</w:t>
      </w:r>
      <w:r>
        <w:rPr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性改革</w:t>
      </w:r>
      <w:r>
        <w:rPr>
          <w:spacing w:val="-28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、提高潜在增长率</w:t>
      </w:r>
      <w:r>
        <w:rPr>
          <w:spacing w:val="-26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、增强经济的抵御外部冲击能力等</w:t>
      </w:r>
      <w:r>
        <w:rPr>
          <w:spacing w:val="-1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，效</w:t>
      </w:r>
      <w:r>
        <w:rPr>
          <w:spacing w:val="5"/>
          <w:sz w:val="20"/>
          <w:szCs w:val="20"/>
        </w:rPr>
        <w:t>果并不尽人意。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主要原因在于国内总需求不足</w:t>
      </w:r>
      <w:r>
        <w:rPr>
          <w:spacing w:val="-5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，工资长期固化</w:t>
      </w:r>
      <w:r>
        <w:rPr>
          <w:spacing w:val="-2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，通缩预期持续。</w:t>
      </w:r>
    </w:p>
    <w:p>
      <w:pPr>
        <w:pStyle w:val="BodyText"/>
        <w:spacing w:before="179" w:line="216" w:lineRule="auto"/>
        <w:ind w:left="1131" w:right="2079" w:firstLine="420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2021 年新冠疫情大流行导致的全球通胀上涨影响到了日本</w:t>
      </w:r>
      <w:r>
        <w:rPr>
          <w:spacing w:val="-19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，这给日</w:t>
      </w:r>
      <w:r>
        <w:rPr>
          <w:spacing w:val="6"/>
          <w:sz w:val="20"/>
          <w:szCs w:val="20"/>
        </w:rPr>
        <w:t>本尝试</w:t>
      </w:r>
      <w:r>
        <w:rPr>
          <w:sz w:val="20"/>
          <w:szCs w:val="20"/>
        </w:rPr>
        <w:t xml:space="preserve">  </w:t>
      </w:r>
      <w:r>
        <w:rPr>
          <w:spacing w:val="11"/>
          <w:sz w:val="20"/>
          <w:szCs w:val="20"/>
        </w:rPr>
        <w:t>走出长期通缩泥潭提供了一个偶发契机</w:t>
      </w:r>
      <w:r>
        <w:rPr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，得以将安倍经济学以来的积极政策转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化为去通缩的实际效果</w:t>
      </w:r>
      <w:r>
        <w:rPr>
          <w:spacing w:val="-26"/>
          <w:sz w:val="20"/>
          <w:szCs w:val="20"/>
        </w:rPr>
        <w:t xml:space="preserve"> </w:t>
      </w:r>
      <w:r>
        <w:rPr>
          <w:sz w:val="20"/>
          <w:szCs w:val="20"/>
        </w:rPr>
        <w:t>。2022 年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12 月， 日本</w:t>
      </w:r>
      <w:r>
        <w:rPr>
          <w:spacing w:val="-1"/>
          <w:sz w:val="20"/>
          <w:szCs w:val="20"/>
        </w:rPr>
        <w:t xml:space="preserve"> CPI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同比增速自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1991 年以来首次</w:t>
      </w:r>
      <w:r>
        <w:rPr>
          <w:sz w:val="20"/>
          <w:szCs w:val="20"/>
        </w:rPr>
        <w:t xml:space="preserve">  </w:t>
      </w:r>
      <w:r>
        <w:rPr>
          <w:spacing w:val="4"/>
          <w:sz w:val="20"/>
          <w:szCs w:val="20"/>
        </w:rPr>
        <w:t>达到 4%</w:t>
      </w:r>
      <w:r>
        <w:rPr>
          <w:spacing w:val="-1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。伴随通胀上升的是员工薪酬的增长</w:t>
      </w:r>
      <w:r>
        <w:rPr>
          <w:spacing w:val="-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，雇员报酬也在同期达到了 3.34%</w:t>
      </w:r>
      <w:r>
        <w:rPr>
          <w:sz w:val="20"/>
          <w:szCs w:val="20"/>
        </w:rPr>
        <w:t xml:space="preserve">  </w:t>
      </w:r>
      <w:r>
        <w:rPr>
          <w:spacing w:val="-2"/>
          <w:sz w:val="20"/>
          <w:szCs w:val="20"/>
        </w:rPr>
        <w:t>的同比增速。从最新公布的通胀数据来看，日本今年 1 月的 CPI 同比增速为</w:t>
      </w:r>
      <w:r>
        <w:rPr>
          <w:spacing w:val="-6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2.2%，</w:t>
      </w:r>
      <w:r>
        <w:rPr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 xml:space="preserve">除去食品和能源的核心 </w:t>
      </w:r>
      <w:r>
        <w:rPr>
          <w:sz w:val="20"/>
          <w:szCs w:val="20"/>
        </w:rPr>
        <w:t>CPI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同比增速达到 3.5%，较 2023 年的峰值</w:t>
      </w:r>
      <w:r>
        <w:rPr>
          <w:spacing w:val="1"/>
          <w:sz w:val="20"/>
          <w:szCs w:val="20"/>
        </w:rPr>
        <w:t>有所回落，但</w:t>
      </w:r>
      <w:r>
        <w:rPr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仍在 2%的央行目标水平之上。</w:t>
      </w:r>
    </w:p>
    <w:p>
      <w:pPr>
        <w:spacing w:line="216" w:lineRule="auto"/>
        <w:rPr>
          <w:sz w:val="20"/>
          <w:szCs w:val="20"/>
        </w:rPr>
        <w:sectPr>
          <w:headerReference w:type="default" r:id="rId10"/>
          <w:footerReference w:type="default" r:id="rId11"/>
          <w:pgSz w:w="11906" w:h="16839"/>
          <w:pgMar w:top="1251" w:right="830" w:bottom="1185" w:left="566" w:header="283" w:footer="882" w:gutter="0"/>
          <w:pgNumType w:start="5"/>
          <w:cols w:space="708"/>
        </w:sectPr>
      </w:pPr>
    </w:p>
    <w:p>
      <w:pPr>
        <w:spacing w:line="468" w:lineRule="auto"/>
        <w:rPr>
          <w:rFonts w:ascii="Arial"/>
          <w:sz w:val="21"/>
        </w:rPr>
      </w:pPr>
      <w:r>
        <w:pict>
          <v:shape id="_x0000_s1033" style="width:510.25pt;height:0.75pt;margin-top:61.85pt;margin-left:42.55pt;mso-position-horizontal-relative:page;mso-position-vertical-relative:page;position:absolute;z-index:251663360" coordorigin="0,0" coordsize="10205,15" o:allowincell="f" path="m,l10204,l10204,14l,14l,xe" filled="t" fillcolor="#13007c" stroked="f"/>
        </w:pict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616577</wp:posOffset>
            </wp:positionH>
            <wp:positionV relativeFrom="page">
              <wp:posOffset>6586130</wp:posOffset>
            </wp:positionV>
            <wp:extent cx="2930815" cy="183965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30815" cy="1839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3874925</wp:posOffset>
            </wp:positionH>
            <wp:positionV relativeFrom="page">
              <wp:posOffset>6550928</wp:posOffset>
            </wp:positionV>
            <wp:extent cx="2947691" cy="187373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47691" cy="1873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179832</wp:posOffset>
            </wp:positionV>
            <wp:extent cx="2880359" cy="576071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57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913339</wp:posOffset>
            </wp:positionH>
            <wp:positionV relativeFrom="page">
              <wp:posOffset>1150266</wp:posOffset>
            </wp:positionV>
            <wp:extent cx="2948629" cy="20984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48629" cy="209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1" w:line="205" w:lineRule="auto"/>
        <w:ind w:right="23"/>
        <w:jc w:val="right"/>
        <w:rPr>
          <w:sz w:val="19"/>
          <w:szCs w:val="19"/>
        </w:rPr>
      </w:pPr>
      <w:r>
        <w:rPr>
          <w:b/>
          <w:bCs/>
          <w:color w:val="13007C"/>
          <w:spacing w:val="8"/>
          <w:sz w:val="19"/>
          <w:szCs w:val="19"/>
          <w14:textOutline w14:w="3614" w14:cap="sq">
            <w14:solidFill>
              <w14:srgbClr w14:val="13007C"/>
            </w14:solidFill>
            <w14:prstDash w14:val="solid"/>
            <w14:bevel/>
          </w14:textOutline>
        </w:rPr>
        <w:t>宏观研究</w:t>
      </w:r>
    </w:p>
    <w:p>
      <w:pPr>
        <w:pStyle w:val="BodyText"/>
        <w:spacing w:before="213" w:line="188" w:lineRule="auto"/>
        <w:ind w:left="870"/>
        <w:rPr>
          <w:sz w:val="16"/>
          <w:szCs w:val="16"/>
        </w:rPr>
      </w:pPr>
      <w:r>
        <w:rPr>
          <w:b/>
          <w:bCs/>
          <w:color w:val="000080"/>
          <w:spacing w:val="-2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29"/>
          <w:sz w:val="16"/>
          <w:szCs w:val="16"/>
        </w:rPr>
        <w:t xml:space="preserve"> </w:t>
      </w:r>
      <w:r>
        <w:rPr>
          <w:b/>
          <w:bCs/>
          <w:color w:val="000080"/>
          <w:spacing w:val="-2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1：</w:t>
      </w:r>
      <w:r>
        <w:rPr>
          <w:b/>
          <w:bCs/>
          <w:color w:val="000080"/>
          <w:spacing w:val="-2"/>
          <w:sz w:val="16"/>
          <w:szCs w:val="16"/>
        </w:rPr>
        <w:t xml:space="preserve"> </w:t>
      </w:r>
      <w:r>
        <w:rPr>
          <w:b/>
          <w:bCs/>
          <w:color w:val="13007C"/>
          <w:spacing w:val="-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日本</w:t>
      </w:r>
      <w:r>
        <w:rPr>
          <w:b/>
          <w:bCs/>
          <w:color w:val="13007C"/>
          <w:spacing w:val="-2"/>
          <w:sz w:val="16"/>
          <w:szCs w:val="16"/>
        </w:rPr>
        <w:t xml:space="preserve"> </w:t>
      </w:r>
      <w:r>
        <w:rPr>
          <w:b/>
          <w:bCs/>
          <w:color w:val="13007C"/>
          <w:spacing w:val="-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CPI</w:t>
      </w:r>
      <w:r>
        <w:rPr>
          <w:b/>
          <w:bCs/>
          <w:color w:val="13007C"/>
          <w:spacing w:val="-2"/>
          <w:sz w:val="16"/>
          <w:szCs w:val="16"/>
        </w:rPr>
        <w:t xml:space="preserve"> </w:t>
      </w:r>
      <w:r>
        <w:rPr>
          <w:b/>
          <w:bCs/>
          <w:color w:val="13007C"/>
          <w:spacing w:val="-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和核心</w:t>
      </w:r>
      <w:r>
        <w:rPr>
          <w:b/>
          <w:bCs/>
          <w:color w:val="13007C"/>
          <w:spacing w:val="-2"/>
          <w:sz w:val="16"/>
          <w:szCs w:val="16"/>
        </w:rPr>
        <w:t xml:space="preserve"> </w:t>
      </w:r>
      <w:r>
        <w:rPr>
          <w:b/>
          <w:bCs/>
          <w:color w:val="13007C"/>
          <w:spacing w:val="-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CPI</w:t>
      </w:r>
      <w:r>
        <w:rPr>
          <w:b/>
          <w:bCs/>
          <w:color w:val="13007C"/>
          <w:spacing w:val="-2"/>
          <w:sz w:val="16"/>
          <w:szCs w:val="16"/>
        </w:rPr>
        <w:t xml:space="preserve"> </w:t>
      </w:r>
      <w:r>
        <w:rPr>
          <w:b/>
          <w:bCs/>
          <w:color w:val="13007C"/>
          <w:spacing w:val="-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增速（%）</w:t>
      </w:r>
    </w:p>
    <w:p>
      <w:pPr>
        <w:spacing w:line="3508" w:lineRule="exact"/>
        <w:ind w:firstLine="851"/>
      </w:pPr>
      <w:r>
        <w:rPr>
          <w:position w:val="-70"/>
        </w:rPr>
        <w:pict>
          <v:shape id="_x0000_i1034" style="width:259.15pt;height:175.45pt;mso-position-horizontal-relative:char;mso-position-vertical-relative:line" coordorigin="0,0" coordsize="5182,3508" path="m,2l5182,2m,3506l5182,3506e" filled="f" strokecolor="#13007c" strokeweight="0.24pt">
            <v:stroke joinstyle="bevel"/>
            <w10:wrap type="none"/>
          </v:shape>
        </w:pict>
      </w:r>
    </w:p>
    <w:p>
      <w:pPr>
        <w:pStyle w:val="BodyText"/>
        <w:spacing w:before="25" w:line="196" w:lineRule="auto"/>
        <w:ind w:left="849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pStyle w:val="BodyText"/>
        <w:spacing w:before="196" w:line="216" w:lineRule="auto"/>
        <w:ind w:left="1131" w:right="2068" w:firstLine="420"/>
        <w:rPr>
          <w:sz w:val="20"/>
          <w:szCs w:val="20"/>
        </w:rPr>
      </w:pPr>
      <w:r>
        <w:rPr>
          <w:spacing w:val="6"/>
          <w:sz w:val="20"/>
          <w:szCs w:val="20"/>
        </w:rPr>
        <w:t>2024 年春季的日本薪资谈判（春斗）</w:t>
      </w:r>
      <w:r>
        <w:rPr>
          <w:spacing w:val="-2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之所以备受市场关注</w:t>
      </w:r>
      <w:r>
        <w:rPr>
          <w:spacing w:val="-17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，是因为此次谈</w:t>
      </w:r>
      <w:r>
        <w:rPr>
          <w:sz w:val="20"/>
          <w:szCs w:val="20"/>
        </w:rPr>
        <w:t xml:space="preserve">  </w:t>
      </w:r>
      <w:r>
        <w:rPr>
          <w:spacing w:val="11"/>
          <w:sz w:val="20"/>
          <w:szCs w:val="20"/>
        </w:rPr>
        <w:t>判的结果可能会对日本的通胀和货币政策产生重要影响</w:t>
      </w:r>
      <w:r>
        <w:rPr>
          <w:spacing w:val="-1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。据日本经团联统计</w:t>
      </w:r>
      <w:r>
        <w:rPr>
          <w:spacing w:val="-1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，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2023 年春斗中大企业员工的平均工资涨幅达到了 3.99%，为 </w:t>
      </w:r>
      <w:r>
        <w:rPr>
          <w:spacing w:val="-1"/>
          <w:sz w:val="20"/>
          <w:szCs w:val="20"/>
        </w:rPr>
        <w:t>31 年来的最高水平。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关于 2024 年春斗</w:t>
      </w:r>
      <w:r>
        <w:rPr>
          <w:spacing w:val="-20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，经团联提出了涨薪超</w:t>
      </w:r>
      <w:r>
        <w:rPr>
          <w:spacing w:val="4"/>
          <w:sz w:val="20"/>
          <w:szCs w:val="20"/>
        </w:rPr>
        <w:t>过 4%的目标</w:t>
      </w:r>
      <w:r>
        <w:rPr>
          <w:spacing w:val="-2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。</w:t>
      </w:r>
      <w:r>
        <w:rPr>
          <w:spacing w:val="-1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日本劳工管理研究所发</w:t>
      </w:r>
      <w:r>
        <w:rPr>
          <w:sz w:val="20"/>
          <w:szCs w:val="20"/>
        </w:rPr>
        <w:t xml:space="preserve">  </w:t>
      </w:r>
      <w:r>
        <w:rPr>
          <w:spacing w:val="2"/>
          <w:sz w:val="20"/>
          <w:szCs w:val="20"/>
        </w:rPr>
        <w:t>布的报告显示，主要大公司预计 2024 年春斗的工资增长为 3.66%，略高于去年。</w:t>
      </w:r>
      <w:r>
        <w:rPr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野村证券甚至预计，本次春斗工资增幅可能超过 3.9%，甚至有望达到 4%到</w:t>
      </w:r>
      <w:r>
        <w:rPr>
          <w:sz w:val="20"/>
          <w:szCs w:val="20"/>
        </w:rPr>
        <w:t xml:space="preserve"> 4.5%  </w:t>
      </w:r>
      <w:r>
        <w:rPr>
          <w:spacing w:val="4"/>
          <w:sz w:val="20"/>
          <w:szCs w:val="20"/>
        </w:rPr>
        <w:t>之间</w:t>
      </w:r>
      <w:r>
        <w:rPr>
          <w:spacing w:val="-2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。另一方面</w:t>
      </w:r>
      <w:r>
        <w:rPr>
          <w:spacing w:val="-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，计划提高基本工资的公司比例进一步提高</w:t>
      </w:r>
      <w:r>
        <w:rPr>
          <w:spacing w:val="-2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，48.4%的受访</w:t>
      </w:r>
      <w:r>
        <w:rPr>
          <w:spacing w:val="3"/>
          <w:sz w:val="20"/>
          <w:szCs w:val="20"/>
        </w:rPr>
        <w:t>公司</w:t>
      </w:r>
      <w:r>
        <w:rPr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表示他们正在计划提高员工基本工资</w:t>
      </w:r>
      <w:r>
        <w:rPr>
          <w:spacing w:val="-19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 xml:space="preserve">，高于去年同期调查的 </w:t>
      </w:r>
      <w:r>
        <w:rPr>
          <w:spacing w:val="4"/>
          <w:sz w:val="20"/>
          <w:szCs w:val="20"/>
        </w:rPr>
        <w:t>41.6%。</w:t>
      </w:r>
    </w:p>
    <w:p>
      <w:pPr>
        <w:pStyle w:val="BodyText"/>
        <w:spacing w:before="173" w:line="216" w:lineRule="auto"/>
        <w:ind w:left="1134" w:right="2079" w:firstLine="437"/>
        <w:jc w:val="both"/>
        <w:rPr>
          <w:sz w:val="20"/>
          <w:szCs w:val="20"/>
        </w:rPr>
      </w:pPr>
      <w:r>
        <w:rPr>
          <w:spacing w:val="4"/>
          <w:sz w:val="20"/>
          <w:szCs w:val="20"/>
        </w:rPr>
        <w:t>因此，2024 年春季的薪资谈判在“薪资-物价</w:t>
      </w:r>
      <w:r>
        <w:rPr>
          <w:spacing w:val="-27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”正向循环当中扮演着格外重</w:t>
      </w:r>
      <w:r>
        <w:rPr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要角色</w:t>
      </w:r>
      <w:r>
        <w:rPr>
          <w:spacing w:val="-19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，不仅关系到劳动者的收入增速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，进而提高民众的消费和投资欲望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，也</w:t>
      </w:r>
      <w:r>
        <w:rPr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可能对日本的货币政策和经济走向产生影响</w:t>
      </w:r>
      <w:r>
        <w:rPr>
          <w:spacing w:val="-16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。</w:t>
      </w:r>
      <w:r>
        <w:rPr>
          <w:spacing w:val="-1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日本有望逐步走出低通胀的预期，</w:t>
      </w:r>
      <w:r>
        <w:rPr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显著缓解了投资者的一项主要忧虑</w:t>
      </w:r>
      <w:r>
        <w:rPr>
          <w:spacing w:val="-27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。经济增长和企业盈</w:t>
      </w:r>
      <w:r>
        <w:rPr>
          <w:spacing w:val="11"/>
          <w:sz w:val="20"/>
          <w:szCs w:val="20"/>
        </w:rPr>
        <w:t>利的预期也因此向上打</w:t>
      </w:r>
      <w:r>
        <w:rPr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开了空间。</w:t>
      </w:r>
    </w:p>
    <w:p>
      <w:pPr>
        <w:spacing w:line="124" w:lineRule="exact"/>
      </w:pPr>
    </w:p>
    <w:p>
      <w:pPr>
        <w:spacing w:line="124" w:lineRule="exact"/>
        <w:sectPr>
          <w:headerReference w:type="default" r:id="rId16"/>
          <w:footerReference w:type="default" r:id="rId17"/>
          <w:pgSz w:w="11906" w:h="16839"/>
          <w:pgMar w:top="400" w:right="830" w:bottom="1185" w:left="566" w:header="0" w:footer="882" w:gutter="0"/>
          <w:pgNumType w:start="6"/>
          <w:cols w:num="1" w:space="708" w:equalWidth="0">
            <w:col w:w="10509" w:space="0"/>
          </w:cols>
        </w:sectPr>
      </w:pPr>
    </w:p>
    <w:p>
      <w:pPr>
        <w:pStyle w:val="BodyText"/>
        <w:spacing w:before="37" w:line="188" w:lineRule="auto"/>
        <w:ind w:left="304"/>
        <w:rPr>
          <w:sz w:val="16"/>
          <w:szCs w:val="16"/>
        </w:rPr>
      </w:pPr>
      <w:r>
        <w:rPr>
          <w:b/>
          <w:bCs/>
          <w:color w:val="000080"/>
          <w:spacing w:val="1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1"/>
          <w:sz w:val="16"/>
          <w:szCs w:val="16"/>
        </w:rPr>
        <w:t xml:space="preserve"> </w:t>
      </w:r>
      <w:r>
        <w:rPr>
          <w:b/>
          <w:bCs/>
          <w:color w:val="000080"/>
          <w:spacing w:val="1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2：</w:t>
      </w:r>
      <w:r>
        <w:rPr>
          <w:b/>
          <w:bCs/>
          <w:color w:val="000080"/>
          <w:spacing w:val="1"/>
          <w:sz w:val="16"/>
          <w:szCs w:val="16"/>
        </w:rPr>
        <w:t xml:space="preserve"> </w:t>
      </w:r>
      <w:r>
        <w:rPr>
          <w:b/>
          <w:bCs/>
          <w:color w:val="13007C"/>
          <w:spacing w:val="1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日本</w:t>
      </w:r>
      <w:r>
        <w:rPr>
          <w:b/>
          <w:bCs/>
          <w:color w:val="13007C"/>
          <w:spacing w:val="1"/>
          <w:sz w:val="16"/>
          <w:szCs w:val="16"/>
        </w:rPr>
        <w:t xml:space="preserve"> </w:t>
      </w:r>
      <w:r>
        <w:rPr>
          <w:b/>
          <w:bCs/>
          <w:color w:val="13007C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CPI</w:t>
      </w:r>
      <w:r>
        <w:rPr>
          <w:b/>
          <w:bCs/>
          <w:color w:val="13007C"/>
          <w:spacing w:val="1"/>
          <w:sz w:val="16"/>
          <w:szCs w:val="16"/>
        </w:rPr>
        <w:t xml:space="preserve"> </w:t>
      </w:r>
      <w:r>
        <w:rPr>
          <w:b/>
          <w:bCs/>
          <w:color w:val="13007C"/>
          <w:spacing w:val="1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增速和薪资收入增速</w:t>
      </w:r>
    </w:p>
    <w:p>
      <w:pPr>
        <w:spacing w:line="3215" w:lineRule="exact"/>
        <w:ind w:firstLine="284"/>
      </w:pPr>
      <w:r>
        <w:rPr>
          <w:position w:val="-64"/>
        </w:rPr>
        <w:pict>
          <v:group id="_x0000_i1035" style="width:248.85pt;height:160.75pt;mso-position-horizontal-relative:char;mso-position-vertical-relative:line" coordorigin="0,0" coordsize="4977,3215" filled="f" stroked="f">
            <v:rect id="_x0000_s1036" style="width:4977;height:5;position:absolute" filled="t" fillcolor="#13007c" stroked="f"/>
            <v:rect id="_x0000_s1037" style="width:4977;height:5;position:absolute;top:3210" filled="t" fillcolor="#13007c" stroked="f"/>
            <w10:wrap type="none"/>
          </v:group>
        </w:pict>
      </w:r>
    </w:p>
    <w:p>
      <w:pPr>
        <w:pStyle w:val="BodyText"/>
        <w:spacing w:before="25" w:line="162" w:lineRule="exact"/>
        <w:ind w:left="283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6" w:line="188" w:lineRule="auto"/>
        <w:ind w:left="20"/>
        <w:rPr>
          <w:sz w:val="16"/>
          <w:szCs w:val="16"/>
        </w:rPr>
      </w:pPr>
      <w:r>
        <w:rPr>
          <w:b/>
          <w:bCs/>
          <w:color w:val="000080"/>
          <w:spacing w:val="4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4"/>
          <w:sz w:val="16"/>
          <w:szCs w:val="16"/>
        </w:rPr>
        <w:t xml:space="preserve"> </w:t>
      </w:r>
      <w:r>
        <w:rPr>
          <w:b/>
          <w:bCs/>
          <w:color w:val="000080"/>
          <w:spacing w:val="4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3：</w:t>
      </w:r>
      <w:r>
        <w:rPr>
          <w:b/>
          <w:bCs/>
          <w:color w:val="000080"/>
          <w:spacing w:val="4"/>
          <w:sz w:val="16"/>
          <w:szCs w:val="16"/>
        </w:rPr>
        <w:t xml:space="preserve"> </w:t>
      </w:r>
      <w:r>
        <w:rPr>
          <w:b/>
          <w:bCs/>
          <w:color w:val="13007C"/>
          <w:spacing w:val="4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日本私人消费和薪资收入增速</w:t>
      </w:r>
    </w:p>
    <w:p>
      <w:pPr>
        <w:spacing w:line="3214" w:lineRule="exact"/>
        <w:ind w:firstLine="3"/>
      </w:pPr>
      <w:r>
        <w:rPr>
          <w:position w:val="-64"/>
        </w:rPr>
        <w:pict>
          <v:group id="_x0000_i1038" style="width:251.35pt;height:160.75pt;mso-position-horizontal-relative:char;mso-position-vertical-relative:line" coordorigin="0,0" coordsize="5027,3215" filled="f" stroked="f">
            <v:rect id="_x0000_s1039" style="width:5027;height:5;position:absolute" filled="t" fillcolor="#13007c" stroked="f"/>
            <v:rect id="_x0000_s1040" style="width:5027;height:5;position:absolute;top:3210" filled="t" fillcolor="#13007c" stroked="f"/>
            <w10:wrap type="none"/>
          </v:group>
        </w:pict>
      </w:r>
    </w:p>
    <w:p>
      <w:pPr>
        <w:pStyle w:val="BodyText"/>
        <w:spacing w:before="25" w:line="163" w:lineRule="exact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63" w:lineRule="exact"/>
        <w:rPr>
          <w:sz w:val="15"/>
          <w:szCs w:val="15"/>
        </w:rPr>
        <w:sectPr>
          <w:headerReference w:type="default" r:id="rId18"/>
          <w:footerReference w:type="default" r:id="rId19"/>
          <w:type w:val="continuous"/>
          <w:pgSz w:w="11906" w:h="16839"/>
          <w:pgMar w:top="400" w:right="830" w:bottom="1185" w:left="566" w:header="0" w:footer="882" w:gutter="0"/>
          <w:pgNumType w:start="7"/>
          <w:cols w:num="2" w:space="708" w:equalWidth="0">
            <w:col w:w="5361" w:space="100"/>
            <w:col w:w="5049" w:space="0"/>
          </w:cols>
        </w:sectPr>
      </w:pPr>
    </w:p>
    <w:p>
      <w:pPr>
        <w:spacing w:line="363" w:lineRule="auto"/>
        <w:rPr>
          <w:rFonts w:ascii="Arial"/>
          <w:sz w:val="21"/>
        </w:rPr>
        <w:sectPr>
          <w:headerReference w:type="default" r:id="rId20"/>
          <w:footerReference w:type="default" r:id="rId21"/>
          <w:type w:val="continuous"/>
          <w:pgSz w:w="11906" w:h="16839"/>
          <w:pgMar w:top="400" w:right="830" w:bottom="1185" w:left="566" w:header="0" w:footer="882" w:gutter="0"/>
          <w:pgNumType w:start="8"/>
          <w:cols w:num="1" w:space="708" w:equalWidth="0">
            <w:col w:w="10509" w:space="0"/>
          </w:cols>
        </w:sectPr>
      </w:pPr>
    </w:p>
    <w:p>
      <w:pPr>
        <w:pStyle w:val="BodyText"/>
        <w:spacing w:before="86" w:line="207" w:lineRule="auto"/>
        <w:ind w:left="1139" w:right="2142" w:hanging="427"/>
        <w:outlineLvl w:val="1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2.     </w:t>
      </w:r>
      <w:r>
        <w:rPr>
          <w:b/>
          <w:bCs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日本央行的宽松货币政策为股价提供了支撑</w:t>
      </w:r>
      <w:r>
        <w:rPr>
          <w:b/>
          <w:bCs/>
          <w:spacing w:val="-21"/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7"/>
          <w:sz w:val="20"/>
          <w:szCs w:val="20"/>
        </w:rPr>
        <w:t>疫情期间， 日本央行为支持企业</w:t>
      </w:r>
      <w:r>
        <w:rPr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融资主要推出两项政策</w:t>
      </w:r>
      <w:r>
        <w:rPr>
          <w:spacing w:val="-16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，大幅提高购买商业票据和企业债的限额</w:t>
      </w:r>
      <w:r>
        <w:rPr>
          <w:spacing w:val="-1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，并通过公开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市场操作向金融机构提供更多资金以支持银行向中小企业贷款</w:t>
      </w:r>
      <w:r>
        <w:rPr>
          <w:spacing w:val="-22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，总规</w:t>
      </w:r>
      <w:r>
        <w:rPr>
          <w:spacing w:val="6"/>
          <w:sz w:val="20"/>
          <w:szCs w:val="20"/>
        </w:rPr>
        <w:t>模达到 30</w:t>
      </w:r>
      <w:r>
        <w:rPr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万亿日元</w:t>
      </w:r>
      <w:r>
        <w:rPr>
          <w:spacing w:val="-24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。在美联储大幅加息后， 日本央行依</w:t>
      </w:r>
      <w:r>
        <w:rPr>
          <w:spacing w:val="8"/>
          <w:sz w:val="20"/>
          <w:szCs w:val="20"/>
        </w:rPr>
        <w:t>然坚持超级量化宽松</w:t>
      </w:r>
      <w:r>
        <w:rPr>
          <w:spacing w:val="-2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。我们在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1</w:t>
      </w:r>
      <w:r>
        <w:rPr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月发布的报告《日本股市上涨背后的潜在风险》当中</w:t>
      </w:r>
      <w:r>
        <w:rPr>
          <w:spacing w:val="-8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，也已经详细分析了日本</w:t>
      </w:r>
    </w:p>
    <w:p>
      <w:pPr>
        <w:spacing w:line="207" w:lineRule="auto"/>
        <w:rPr>
          <w:sz w:val="20"/>
          <w:szCs w:val="20"/>
        </w:rPr>
        <w:sectPr>
          <w:headerReference w:type="default" r:id="rId22"/>
          <w:footerReference w:type="default" r:id="rId23"/>
          <w:type w:val="nextPage"/>
          <w:pgSz w:w="11906" w:h="16839"/>
          <w:pgMar w:top="400" w:right="830" w:bottom="1185" w:left="566" w:header="0" w:footer="882" w:gutter="0"/>
          <w:pgNumType w:start="9"/>
          <w:cols w:num="1" w:space="708" w:equalWidth="0">
            <w:col w:w="10509" w:space="0"/>
          </w:cols>
          <w:titlePg w:val="0"/>
        </w:sectPr>
      </w:pPr>
    </w:p>
    <w:p>
      <w:pPr>
        <w:spacing w:line="468" w:lineRule="auto"/>
        <w:rPr>
          <w:rFonts w:ascii="Arial"/>
          <w:sz w:val="21"/>
        </w:rPr>
      </w:pPr>
      <w:r>
        <w:pict>
          <v:shape id="_x0000_s1041" style="width:510.25pt;height:0.75pt;margin-top:61.85pt;margin-left:42.55pt;mso-position-horizontal-relative:page;mso-position-vertical-relative:page;position:absolute;z-index:251668480" coordorigin="0,0" coordsize="10205,15" o:allowincell="f" path="m,l10204,l10204,14l,14l,xe" filled="t" fillcolor="#13007c" stroked="f"/>
        </w:pict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597850</wp:posOffset>
            </wp:positionH>
            <wp:positionV relativeFrom="page">
              <wp:posOffset>7413590</wp:posOffset>
            </wp:positionV>
            <wp:extent cx="3056750" cy="172458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56750" cy="1724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3859206</wp:posOffset>
            </wp:positionH>
            <wp:positionV relativeFrom="page">
              <wp:posOffset>7409383</wp:posOffset>
            </wp:positionV>
            <wp:extent cx="3107204" cy="173294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07204" cy="173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179832</wp:posOffset>
            </wp:positionV>
            <wp:extent cx="2880359" cy="576071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57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1106106</wp:posOffset>
            </wp:positionH>
            <wp:positionV relativeFrom="page">
              <wp:posOffset>2400238</wp:posOffset>
            </wp:positionV>
            <wp:extent cx="3192428" cy="216822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92428" cy="216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1" w:line="205" w:lineRule="auto"/>
        <w:ind w:right="23"/>
        <w:jc w:val="right"/>
        <w:rPr>
          <w:sz w:val="19"/>
          <w:szCs w:val="19"/>
        </w:rPr>
      </w:pPr>
      <w:r>
        <w:rPr>
          <w:b/>
          <w:bCs/>
          <w:color w:val="13007C"/>
          <w:spacing w:val="8"/>
          <w:sz w:val="19"/>
          <w:szCs w:val="19"/>
          <w14:textOutline w14:w="3614" w14:cap="sq">
            <w14:solidFill>
              <w14:srgbClr w14:val="13007C"/>
            </w14:solidFill>
            <w14:prstDash w14:val="solid"/>
            <w14:bevel/>
          </w14:textOutline>
        </w:rPr>
        <w:t>宏观研究</w:t>
      </w:r>
    </w:p>
    <w:p>
      <w:pPr>
        <w:pStyle w:val="BodyText"/>
        <w:spacing w:before="228" w:line="205" w:lineRule="auto"/>
        <w:ind w:left="1138"/>
        <w:rPr>
          <w:sz w:val="20"/>
          <w:szCs w:val="20"/>
        </w:rPr>
      </w:pPr>
      <w:r>
        <w:rPr>
          <w:spacing w:val="7"/>
          <w:sz w:val="20"/>
          <w:szCs w:val="20"/>
        </w:rPr>
        <w:t>央行货币政策“正常化</w:t>
      </w:r>
      <w:r>
        <w:rPr>
          <w:spacing w:val="-32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”之路仍然谨慎克制</w:t>
      </w:r>
      <w:r>
        <w:rPr>
          <w:spacing w:val="-2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，流动性难以显著收紧。</w:t>
      </w:r>
    </w:p>
    <w:p>
      <w:pPr>
        <w:pStyle w:val="BodyText"/>
        <w:spacing w:before="19" w:line="218" w:lineRule="auto"/>
        <w:ind w:left="1452"/>
        <w:rPr>
          <w:sz w:val="20"/>
          <w:szCs w:val="20"/>
        </w:rPr>
      </w:pPr>
      <w:r>
        <w:rPr>
          <w:spacing w:val="5"/>
          <w:sz w:val="20"/>
          <w:szCs w:val="20"/>
        </w:rPr>
        <w:t>前瞻来看</w:t>
      </w:r>
      <w:r>
        <w:rPr>
          <w:spacing w:val="-7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，在通胀将逐步企稳的预期之下，</w:t>
      </w:r>
      <w:r>
        <w:rPr>
          <w:spacing w:val="-12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日本央行可能在今年 4 月议息会</w:t>
      </w:r>
    </w:p>
    <w:p>
      <w:pPr>
        <w:pStyle w:val="BodyText"/>
        <w:spacing w:line="200" w:lineRule="auto"/>
        <w:ind w:left="1137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议前后退出 </w:t>
      </w:r>
      <w:r>
        <w:rPr>
          <w:sz w:val="20"/>
          <w:szCs w:val="20"/>
        </w:rPr>
        <w:t>YCC</w:t>
      </w:r>
      <w:r>
        <w:rPr>
          <w:spacing w:val="7"/>
          <w:sz w:val="20"/>
          <w:szCs w:val="20"/>
        </w:rPr>
        <w:t xml:space="preserve">（收益率曲线控制政策）和 </w:t>
      </w:r>
      <w:r>
        <w:rPr>
          <w:sz w:val="20"/>
          <w:szCs w:val="20"/>
        </w:rPr>
        <w:t>NIRP</w:t>
      </w:r>
      <w:r>
        <w:rPr>
          <w:spacing w:val="7"/>
          <w:sz w:val="20"/>
          <w:szCs w:val="20"/>
        </w:rPr>
        <w:t>（负利率政策</w:t>
      </w:r>
      <w:r>
        <w:rPr>
          <w:spacing w:val="-4"/>
          <w:sz w:val="20"/>
          <w:szCs w:val="20"/>
        </w:rPr>
        <w:t>）</w:t>
      </w:r>
      <w:r>
        <w:rPr>
          <w:spacing w:val="-15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，</w:t>
      </w:r>
      <w:r>
        <w:rPr>
          <w:spacing w:val="7"/>
          <w:sz w:val="20"/>
          <w:szCs w:val="20"/>
        </w:rPr>
        <w:t>市场甚至有</w:t>
      </w:r>
    </w:p>
    <w:p>
      <w:pPr>
        <w:pStyle w:val="BodyText"/>
        <w:spacing w:before="26" w:line="204" w:lineRule="auto"/>
        <w:ind w:left="1137"/>
        <w:rPr>
          <w:sz w:val="20"/>
          <w:szCs w:val="20"/>
        </w:rPr>
      </w:pPr>
      <w:r>
        <w:rPr>
          <w:spacing w:val="10"/>
          <w:sz w:val="20"/>
          <w:szCs w:val="20"/>
        </w:rPr>
        <w:t>预测认为最早在 3 月就将启动加息</w:t>
      </w:r>
      <w:r>
        <w:rPr>
          <w:spacing w:val="-29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。但预计仍将强</w:t>
      </w:r>
      <w:r>
        <w:rPr>
          <w:spacing w:val="9"/>
          <w:sz w:val="20"/>
          <w:szCs w:val="20"/>
        </w:rPr>
        <w:t>调维持货币环境整体宽松。</w:t>
      </w:r>
    </w:p>
    <w:p>
      <w:pPr>
        <w:pStyle w:val="BodyText"/>
        <w:spacing w:before="20" w:line="204" w:lineRule="auto"/>
        <w:ind w:left="1140"/>
        <w:rPr>
          <w:sz w:val="20"/>
          <w:szCs w:val="20"/>
        </w:rPr>
      </w:pPr>
      <w:r>
        <w:rPr>
          <w:spacing w:val="11"/>
          <w:sz w:val="20"/>
          <w:szCs w:val="20"/>
        </w:rPr>
        <w:t>虽然今年美国等海外主要央行将启动降息的概率很大</w:t>
      </w:r>
      <w:r>
        <w:rPr>
          <w:spacing w:val="-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，但利率整体水平仍处于</w:t>
      </w:r>
    </w:p>
    <w:p>
      <w:pPr>
        <w:pStyle w:val="BodyText"/>
        <w:spacing w:before="19" w:line="205" w:lineRule="auto"/>
        <w:ind w:left="1137"/>
        <w:rPr>
          <w:sz w:val="20"/>
          <w:szCs w:val="20"/>
        </w:rPr>
      </w:pPr>
      <w:r>
        <w:rPr>
          <w:spacing w:val="6"/>
          <w:sz w:val="20"/>
          <w:szCs w:val="20"/>
        </w:rPr>
        <w:t>较高位置，</w:t>
      </w:r>
      <w:r>
        <w:rPr>
          <w:spacing w:val="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日本在宽松货币政策方面仍具备优势</w:t>
      </w:r>
      <w:r>
        <w:rPr>
          <w:spacing w:val="-21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，流动性仍有支撑。</w:t>
      </w:r>
    </w:p>
    <w:p>
      <w:pPr>
        <w:pStyle w:val="BodyText"/>
        <w:spacing w:before="161" w:line="188" w:lineRule="auto"/>
        <w:ind w:left="1153"/>
        <w:rPr>
          <w:sz w:val="16"/>
          <w:szCs w:val="16"/>
        </w:rPr>
      </w:pPr>
      <w:r>
        <w:rPr>
          <w:b/>
          <w:bCs/>
          <w:color w:val="000080"/>
          <w:spacing w:val="5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5"/>
          <w:sz w:val="16"/>
          <w:szCs w:val="16"/>
        </w:rPr>
        <w:t xml:space="preserve"> </w:t>
      </w:r>
      <w:r>
        <w:rPr>
          <w:b/>
          <w:bCs/>
          <w:color w:val="000080"/>
          <w:spacing w:val="5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4：</w:t>
      </w:r>
      <w:r>
        <w:rPr>
          <w:b/>
          <w:bCs/>
          <w:color w:val="000080"/>
          <w:sz w:val="16"/>
          <w:szCs w:val="16"/>
        </w:rPr>
        <w:t xml:space="preserve"> </w:t>
      </w:r>
      <w:r>
        <w:rPr>
          <w:b/>
          <w:bCs/>
          <w:color w:val="13007C"/>
          <w:spacing w:val="5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当前市场预期日本央行可能最早于</w:t>
      </w:r>
      <w:r>
        <w:rPr>
          <w:b/>
          <w:bCs/>
          <w:color w:val="13007C"/>
          <w:spacing w:val="5"/>
          <w:sz w:val="16"/>
          <w:szCs w:val="16"/>
        </w:rPr>
        <w:t xml:space="preserve"> </w:t>
      </w:r>
      <w:r>
        <w:rPr>
          <w:b/>
          <w:bCs/>
          <w:color w:val="13007C"/>
          <w:spacing w:val="5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3</w:t>
      </w:r>
      <w:r>
        <w:rPr>
          <w:b/>
          <w:bCs/>
          <w:color w:val="13007C"/>
          <w:spacing w:val="5"/>
          <w:sz w:val="16"/>
          <w:szCs w:val="16"/>
        </w:rPr>
        <w:t xml:space="preserve"> </w:t>
      </w:r>
      <w:r>
        <w:rPr>
          <w:b/>
          <w:bCs/>
          <w:color w:val="13007C"/>
          <w:spacing w:val="5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月会议开始加息（%）</w:t>
      </w:r>
    </w:p>
    <w:p>
      <w:pPr>
        <w:spacing w:line="3561" w:lineRule="exact"/>
        <w:ind w:firstLine="1135"/>
      </w:pPr>
      <w:r>
        <w:rPr>
          <w:position w:val="-71"/>
        </w:rPr>
        <w:pict>
          <v:shape id="_x0000_i1042" style="width:264.4pt;height:178.05pt;mso-position-horizontal-relative:char;mso-position-vertical-relative:line" coordorigin="0,0" coordsize="5287,3561" path="m,2l5287,2m,3558l5287,3558e" filled="f" strokecolor="#13007c" strokeweight="0.24pt">
            <v:stroke joinstyle="bevel"/>
            <w10:wrap type="none"/>
          </v:shape>
        </w:pict>
      </w:r>
    </w:p>
    <w:p>
      <w:pPr>
        <w:pStyle w:val="BodyText"/>
        <w:spacing w:before="22" w:line="181" w:lineRule="auto"/>
        <w:ind w:left="1133"/>
        <w:rPr>
          <w:sz w:val="15"/>
          <w:szCs w:val="15"/>
        </w:rPr>
      </w:pPr>
      <w:r>
        <w:rPr>
          <w:i/>
          <w:iCs/>
          <w:color w:val="13007C"/>
          <w:spacing w:val="-2"/>
          <w:sz w:val="15"/>
          <w:szCs w:val="15"/>
        </w:rPr>
        <w:t>资料来源：Bl</w:t>
      </w:r>
      <w:r>
        <w:rPr>
          <w:rFonts w:ascii="Arial" w:eastAsia="Arial" w:hAnsi="Arial" w:cs="Arial"/>
          <w:b/>
          <w:bCs/>
          <w:i/>
          <w:iCs/>
          <w:color w:val="13007C"/>
          <w:spacing w:val="-2"/>
          <w:sz w:val="15"/>
          <w:szCs w:val="15"/>
        </w:rPr>
        <w:t>o</w:t>
      </w:r>
      <w:r>
        <w:rPr>
          <w:i/>
          <w:iCs/>
          <w:color w:val="13007C"/>
          <w:spacing w:val="-2"/>
          <w:sz w:val="15"/>
          <w:szCs w:val="15"/>
        </w:rPr>
        <w:t>mberg，中国银河证券研究院</w:t>
      </w:r>
    </w:p>
    <w:p>
      <w:pPr>
        <w:pStyle w:val="BodyText"/>
        <w:spacing w:before="261" w:line="217" w:lineRule="auto"/>
        <w:ind w:left="1135" w:right="2079" w:hanging="421"/>
        <w:outlineLvl w:val="1"/>
        <w:rPr>
          <w:sz w:val="20"/>
          <w:szCs w:val="20"/>
        </w:rPr>
      </w:pPr>
      <w:r>
        <w:rPr>
          <w:spacing w:val="9"/>
          <w:sz w:val="20"/>
          <w:szCs w:val="20"/>
        </w:rPr>
        <w:t xml:space="preserve">3.     </w:t>
      </w:r>
      <w:r>
        <w:rPr>
          <w:b/>
          <w:bCs/>
          <w:spacing w:val="9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日元汇率疲软有利于日本出口，</w:t>
      </w:r>
      <w:r>
        <w:rPr>
          <w:b/>
          <w:bCs/>
          <w:spacing w:val="-39"/>
          <w:sz w:val="20"/>
          <w:szCs w:val="20"/>
        </w:rPr>
        <w:t xml:space="preserve"> </w:t>
      </w:r>
      <w:r>
        <w:rPr>
          <w:b/>
          <w:bCs/>
          <w:spacing w:val="9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并使日本公司</w:t>
      </w:r>
      <w:r>
        <w:rPr>
          <w:b/>
          <w:bCs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股票对外国投资者更具吸引力</w:t>
      </w:r>
      <w:r>
        <w:rPr>
          <w:b/>
          <w:bCs/>
          <w:spacing w:val="-27"/>
          <w:sz w:val="20"/>
          <w:szCs w:val="20"/>
        </w:rPr>
        <w:t xml:space="preserve"> </w:t>
      </w:r>
      <w:r>
        <w:rPr>
          <w:b/>
          <w:bCs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b/>
          <w:bCs/>
          <w:sz w:val="20"/>
          <w:szCs w:val="20"/>
        </w:rPr>
        <w:t xml:space="preserve">  </w:t>
      </w:r>
      <w:r>
        <w:rPr>
          <w:spacing w:val="7"/>
          <w:sz w:val="20"/>
          <w:szCs w:val="20"/>
        </w:rPr>
        <w:t>我们在过往报告中已经指出</w:t>
      </w:r>
      <w:r>
        <w:rPr>
          <w:spacing w:val="-12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，历史上看日元汇率走弱和日股上行的相关性较强，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日经指数在</w:t>
      </w:r>
      <w:r>
        <w:rPr>
          <w:spacing w:val="4"/>
          <w:sz w:val="20"/>
          <w:szCs w:val="20"/>
        </w:rPr>
        <w:t xml:space="preserve"> </w:t>
      </w:r>
      <w:r>
        <w:rPr>
          <w:sz w:val="20"/>
          <w:szCs w:val="20"/>
        </w:rPr>
        <w:t>2023 年 3 月至</w:t>
      </w:r>
      <w:r>
        <w:rPr>
          <w:spacing w:val="-12"/>
          <w:sz w:val="20"/>
          <w:szCs w:val="20"/>
        </w:rPr>
        <w:t xml:space="preserve"> </w:t>
      </w:r>
      <w:r>
        <w:rPr>
          <w:sz w:val="20"/>
          <w:szCs w:val="20"/>
        </w:rPr>
        <w:t>6 月的集中上涨以及</w:t>
      </w:r>
      <w:r>
        <w:rPr>
          <w:spacing w:val="-12"/>
          <w:sz w:val="20"/>
          <w:szCs w:val="20"/>
        </w:rPr>
        <w:t xml:space="preserve"> </w:t>
      </w:r>
      <w:r>
        <w:rPr>
          <w:sz w:val="20"/>
          <w:szCs w:val="20"/>
        </w:rPr>
        <w:t xml:space="preserve">2024 年初的强劲表现也都与日元  </w:t>
      </w:r>
      <w:r>
        <w:rPr>
          <w:spacing w:val="9"/>
          <w:sz w:val="20"/>
          <w:szCs w:val="20"/>
        </w:rPr>
        <w:t>形成贬值趋势的背景挂钩</w:t>
      </w:r>
      <w:r>
        <w:rPr>
          <w:spacing w:val="-2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。</w:t>
      </w:r>
      <w:r>
        <w:rPr>
          <w:spacing w:val="-30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由于日本央行没有跟随美联储加息，</w:t>
      </w:r>
      <w:r>
        <w:rPr>
          <w:spacing w:val="8"/>
          <w:sz w:val="20"/>
          <w:szCs w:val="20"/>
        </w:rPr>
        <w:t xml:space="preserve"> 日元在近三年</w:t>
      </w:r>
      <w:r>
        <w:rPr>
          <w:sz w:val="20"/>
          <w:szCs w:val="20"/>
        </w:rPr>
        <w:t xml:space="preserve">  </w:t>
      </w:r>
      <w:r>
        <w:rPr>
          <w:spacing w:val="-5"/>
          <w:sz w:val="20"/>
          <w:szCs w:val="20"/>
        </w:rPr>
        <w:t>大幅贬值，美元兑日元 USDJPY 从 2021 年 2 月的</w:t>
      </w:r>
      <w:r>
        <w:rPr>
          <w:spacing w:val="14"/>
          <w:sz w:val="20"/>
          <w:szCs w:val="20"/>
        </w:rPr>
        <w:t xml:space="preserve"> </w:t>
      </w:r>
      <w:r>
        <w:rPr>
          <w:spacing w:val="-5"/>
          <w:sz w:val="20"/>
          <w:szCs w:val="20"/>
        </w:rPr>
        <w:t>106.55 上涨至目前的约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-5"/>
          <w:sz w:val="20"/>
          <w:szCs w:val="20"/>
        </w:rPr>
        <w:t>1</w:t>
      </w:r>
      <w:r>
        <w:rPr>
          <w:spacing w:val="-6"/>
          <w:sz w:val="20"/>
          <w:szCs w:val="20"/>
        </w:rPr>
        <w:t>50.53，</w:t>
      </w:r>
      <w:r>
        <w:rPr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涨幅超过 40%</w:t>
      </w:r>
      <w:r>
        <w:rPr>
          <w:spacing w:val="-32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。</w:t>
      </w:r>
      <w:r>
        <w:rPr>
          <w:spacing w:val="-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日本出口也因此得到利好：</w:t>
      </w:r>
      <w:r>
        <w:rPr>
          <w:spacing w:val="-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以日</w:t>
      </w:r>
      <w:r>
        <w:rPr>
          <w:sz w:val="20"/>
          <w:szCs w:val="20"/>
        </w:rPr>
        <w:t>元计价，</w:t>
      </w:r>
      <w:r>
        <w:rPr>
          <w:spacing w:val="-12"/>
          <w:sz w:val="20"/>
          <w:szCs w:val="20"/>
        </w:rPr>
        <w:t xml:space="preserve"> </w:t>
      </w:r>
      <w:r>
        <w:rPr>
          <w:sz w:val="20"/>
          <w:szCs w:val="20"/>
        </w:rPr>
        <w:t xml:space="preserve">日本 2022 年出口金额  </w:t>
      </w:r>
      <w:r>
        <w:rPr>
          <w:spacing w:val="-5"/>
          <w:sz w:val="20"/>
          <w:szCs w:val="20"/>
        </w:rPr>
        <w:t>为 98.17 万亿日元，同比增长</w:t>
      </w:r>
      <w:r>
        <w:rPr>
          <w:spacing w:val="19"/>
          <w:sz w:val="20"/>
          <w:szCs w:val="20"/>
        </w:rPr>
        <w:t xml:space="preserve"> </w:t>
      </w:r>
      <w:r>
        <w:rPr>
          <w:spacing w:val="-5"/>
          <w:sz w:val="20"/>
          <w:szCs w:val="20"/>
        </w:rPr>
        <w:t>18.15%。2023 年在此基础上又增长 2.76%至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-5"/>
          <w:sz w:val="20"/>
          <w:szCs w:val="20"/>
        </w:rPr>
        <w:t>100</w:t>
      </w:r>
      <w:r>
        <w:rPr>
          <w:spacing w:val="-6"/>
          <w:sz w:val="20"/>
          <w:szCs w:val="20"/>
        </w:rPr>
        <w:t>.88</w:t>
      </w:r>
      <w:r>
        <w:rPr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万亿日元</w:t>
      </w:r>
      <w:r>
        <w:rPr>
          <w:spacing w:val="-2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。强劲的出口托底了日本经济的增长</w:t>
      </w:r>
      <w:r>
        <w:rPr>
          <w:spacing w:val="-2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。美国今年</w:t>
      </w:r>
      <w:r>
        <w:rPr>
          <w:spacing w:val="1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 xml:space="preserve">1 月 </w:t>
      </w:r>
      <w:r>
        <w:rPr>
          <w:sz w:val="20"/>
          <w:szCs w:val="20"/>
        </w:rPr>
        <w:t>CPI</w:t>
      </w:r>
      <w:r>
        <w:rPr>
          <w:spacing w:val="8"/>
          <w:sz w:val="20"/>
          <w:szCs w:val="20"/>
        </w:rPr>
        <w:t xml:space="preserve"> 超预</w:t>
      </w:r>
      <w:r>
        <w:rPr>
          <w:spacing w:val="7"/>
          <w:sz w:val="20"/>
          <w:szCs w:val="20"/>
        </w:rPr>
        <w:t>期的表</w:t>
      </w:r>
      <w:r>
        <w:rPr>
          <w:sz w:val="20"/>
          <w:szCs w:val="20"/>
        </w:rPr>
        <w:t xml:space="preserve">  </w:t>
      </w:r>
      <w:r>
        <w:rPr>
          <w:spacing w:val="10"/>
          <w:sz w:val="20"/>
          <w:szCs w:val="20"/>
        </w:rPr>
        <w:t>现发布后</w:t>
      </w:r>
      <w:r>
        <w:rPr>
          <w:spacing w:val="-10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，又推后了投资者对美联储降息时点的平均预测</w:t>
      </w:r>
      <w:r>
        <w:rPr>
          <w:spacing w:val="-20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，美元走强而美元兑</w:t>
      </w:r>
      <w:r>
        <w:rPr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日元汇率涨幅扩大</w:t>
      </w:r>
      <w:r>
        <w:rPr>
          <w:spacing w:val="-24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。</w:t>
      </w:r>
      <w:r>
        <w:rPr>
          <w:spacing w:val="-14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日元汇率的疲软也吸引外国投资者兑换日元投资日股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，助</w:t>
      </w:r>
      <w:r>
        <w:rPr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推本轮日股创新高。</w:t>
      </w:r>
    </w:p>
    <w:p>
      <w:pPr>
        <w:spacing w:line="124" w:lineRule="exact"/>
      </w:pPr>
    </w:p>
    <w:p>
      <w:pPr>
        <w:spacing w:line="124" w:lineRule="exact"/>
        <w:sectPr>
          <w:headerReference w:type="default" r:id="rId27"/>
          <w:footerReference w:type="default" r:id="rId28"/>
          <w:pgSz w:w="11906" w:h="16839"/>
          <w:pgMar w:top="400" w:right="830" w:bottom="1185" w:left="566" w:header="0" w:footer="882" w:gutter="0"/>
          <w:pgNumType w:start="10"/>
          <w:cols w:num="1" w:space="708" w:equalWidth="0">
            <w:col w:w="10509" w:space="0"/>
          </w:cols>
        </w:sectPr>
      </w:pPr>
    </w:p>
    <w:p>
      <w:pPr>
        <w:pStyle w:val="BodyText"/>
        <w:spacing w:before="37" w:line="188" w:lineRule="auto"/>
        <w:ind w:left="304"/>
        <w:rPr>
          <w:sz w:val="16"/>
          <w:szCs w:val="16"/>
        </w:rPr>
        <w:sectPr>
          <w:headerReference w:type="default" r:id="rId29"/>
          <w:footerReference w:type="default" r:id="rId30"/>
          <w:type w:val="continuous"/>
          <w:pgSz w:w="11906" w:h="16839"/>
          <w:pgMar w:top="400" w:right="830" w:bottom="1185" w:left="566" w:header="0" w:footer="882" w:gutter="0"/>
          <w:pgNumType w:start="11"/>
          <w:cols w:num="2" w:space="708" w:equalWidth="0">
            <w:col w:w="5361" w:space="100"/>
            <w:col w:w="5049" w:space="0"/>
          </w:cols>
        </w:sectPr>
      </w:pPr>
      <w:r>
        <w:rPr>
          <w:b/>
          <w:bCs/>
          <w:color w:val="000080"/>
          <w:spacing w:val="-1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-1"/>
          <w:sz w:val="16"/>
          <w:szCs w:val="16"/>
        </w:rPr>
        <w:t xml:space="preserve"> </w:t>
      </w:r>
      <w:r>
        <w:rPr>
          <w:b/>
          <w:bCs/>
          <w:color w:val="000080"/>
          <w:spacing w:val="-1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5：</w:t>
      </w:r>
      <w:r>
        <w:rPr>
          <w:b/>
          <w:bCs/>
          <w:color w:val="000080"/>
          <w:spacing w:val="-1"/>
          <w:sz w:val="16"/>
          <w:szCs w:val="16"/>
        </w:rPr>
        <w:t xml:space="preserve"> </w:t>
      </w:r>
      <w:r>
        <w:rPr>
          <w:b/>
          <w:bCs/>
          <w:color w:val="13007C"/>
          <w:spacing w:val="-1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日元汇率和日经</w:t>
      </w:r>
      <w:r>
        <w:rPr>
          <w:b/>
          <w:bCs/>
          <w:color w:val="13007C"/>
          <w:spacing w:val="-1"/>
          <w:sz w:val="16"/>
          <w:szCs w:val="16"/>
        </w:rPr>
        <w:t xml:space="preserve"> </w:t>
      </w:r>
      <w:r>
        <w:rPr>
          <w:b/>
          <w:bCs/>
          <w:color w:val="13007C"/>
          <w:spacing w:val="-1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225</w:t>
      </w:r>
      <w:r>
        <w:rPr>
          <w:b/>
          <w:bCs/>
          <w:color w:val="13007C"/>
          <w:spacing w:val="-1"/>
          <w:sz w:val="16"/>
          <w:szCs w:val="16"/>
        </w:rPr>
        <w:t xml:space="preserve"> </w:t>
      </w:r>
      <w:r>
        <w:rPr>
          <w:b/>
          <w:bCs/>
          <w:color w:val="13007C"/>
          <w:spacing w:val="-1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指数表现</w:t>
      </w:r>
    </w:p>
    <w:p>
      <w:pPr>
        <w:spacing w:line="3055" w:lineRule="exact"/>
        <w:ind w:firstLine="284"/>
      </w:pPr>
      <w:r>
        <w:rPr>
          <w:position w:val="-61"/>
        </w:rPr>
        <w:pict>
          <v:group id="_x0000_i1043" style="width:248.85pt;height:152.75pt;mso-position-horizontal-relative:char;mso-position-vertical-relative:line" coordorigin="0,0" coordsize="4977,3055" filled="f" stroked="f">
            <v:rect id="_x0000_s1044" style="width:4977;height:5;position:absolute" filled="t" fillcolor="#13007c" stroked="f"/>
            <v:rect id="_x0000_s1045" style="width:4977;height:5;position:absolute;top:3050" filled="t" fillcolor="#13007c" stroked="f"/>
            <w10:wrap type="none"/>
          </v:group>
        </w:pict>
      </w:r>
    </w:p>
    <w:p>
      <w:pPr>
        <w:pStyle w:val="BodyText"/>
        <w:spacing w:before="24" w:line="163" w:lineRule="exact"/>
        <w:ind w:left="283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188" w:lineRule="auto"/>
        <w:ind w:left="20"/>
        <w:rPr>
          <w:sz w:val="16"/>
          <w:szCs w:val="16"/>
        </w:rPr>
      </w:pPr>
      <w:r>
        <w:rPr>
          <w:b/>
          <w:bCs/>
          <w:color w:val="000080"/>
          <w:spacing w:val="2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2"/>
          <w:sz w:val="16"/>
          <w:szCs w:val="16"/>
        </w:rPr>
        <w:t xml:space="preserve"> </w:t>
      </w:r>
      <w:r>
        <w:rPr>
          <w:b/>
          <w:bCs/>
          <w:color w:val="000080"/>
          <w:spacing w:val="2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6：</w:t>
      </w:r>
      <w:r>
        <w:rPr>
          <w:b/>
          <w:bCs/>
          <w:color w:val="000080"/>
          <w:spacing w:val="2"/>
          <w:sz w:val="16"/>
          <w:szCs w:val="16"/>
        </w:rPr>
        <w:t xml:space="preserve"> </w:t>
      </w:r>
      <w:r>
        <w:rPr>
          <w:b/>
          <w:bCs/>
          <w:color w:val="13007C"/>
          <w:spacing w:val="2"/>
          <w:sz w:val="16"/>
          <w:szCs w:val="16"/>
          <w14:textOutline w14:w="3087" w14:cap="sq">
            <w14:solidFill>
              <w14:srgbClr w14:val="13007C"/>
            </w14:solidFill>
            <w14:prstDash w14:val="solid"/>
            <w14:bevel/>
          </w14:textOutline>
        </w:rPr>
        <w:t>日元汇率和出口金额</w:t>
      </w:r>
    </w:p>
    <w:p>
      <w:pPr>
        <w:spacing w:line="3055" w:lineRule="exact"/>
        <w:ind w:firstLine="3"/>
      </w:pPr>
      <w:r>
        <w:rPr>
          <w:position w:val="-61"/>
        </w:rPr>
        <w:pict>
          <v:group id="_x0000_i1046" style="width:251.35pt;height:152.75pt;mso-position-horizontal-relative:char;mso-position-vertical-relative:line" coordorigin="0,0" coordsize="5027,3055" filled="f" stroked="f">
            <v:rect id="_x0000_s1047" style="width:5027;height:5;position:absolute" filled="t" fillcolor="#13007c" stroked="f"/>
            <v:rect id="_x0000_s1048" style="width:5027;height:5;position:absolute;top:3050" filled="t" fillcolor="#13007c" stroked="f"/>
            <w10:wrap type="none"/>
          </v:group>
        </w:pict>
      </w:r>
    </w:p>
    <w:p>
      <w:pPr>
        <w:pStyle w:val="BodyText"/>
        <w:spacing w:before="24" w:line="163" w:lineRule="exact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63" w:lineRule="exact"/>
        <w:rPr>
          <w:sz w:val="15"/>
          <w:szCs w:val="15"/>
        </w:rPr>
        <w:sectPr>
          <w:headerReference w:type="default" r:id="rId31"/>
          <w:footerReference w:type="default" r:id="rId32"/>
          <w:type w:val="nextPage"/>
          <w:pgSz w:w="11906" w:h="16839"/>
          <w:pgMar w:top="400" w:right="830" w:bottom="1185" w:left="566" w:header="0" w:footer="882" w:gutter="0"/>
          <w:pgNumType w:start="12"/>
          <w:cols w:num="2" w:space="708" w:equalWidth="0">
            <w:col w:w="5361" w:space="100"/>
            <w:col w:w="5049" w:space="0"/>
          </w:cols>
          <w:titlePg w:val="0"/>
        </w:sectPr>
      </w:pPr>
    </w:p>
    <w:p>
      <w:pPr>
        <w:pStyle w:val="BodyText"/>
        <w:spacing w:before="255" w:line="189" w:lineRule="auto"/>
        <w:ind w:left="1135" w:right="2142" w:hanging="427"/>
        <w:outlineLvl w:val="1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4.    </w:t>
      </w:r>
      <w:r>
        <w:rPr>
          <w:b/>
          <w:bCs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海外环境趋于稳定</w:t>
      </w:r>
      <w:r>
        <w:rPr>
          <w:b/>
          <w:bCs/>
          <w:spacing w:val="-22"/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，投资气氛有利</w:t>
      </w:r>
      <w:r>
        <w:rPr>
          <w:b/>
          <w:bCs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日股</w:t>
      </w:r>
      <w:r>
        <w:rPr>
          <w:b/>
          <w:bCs/>
          <w:spacing w:val="-30"/>
          <w:sz w:val="20"/>
          <w:szCs w:val="20"/>
        </w:rPr>
        <w:t xml:space="preserve"> </w:t>
      </w:r>
      <w:r>
        <w:rPr>
          <w:b/>
          <w:bCs/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6"/>
          <w:sz w:val="20"/>
          <w:szCs w:val="20"/>
        </w:rPr>
        <w:t>（1）从近期的高频和前瞻经济数据来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看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，美国经济在今年硬着陆或衰退的风险在</w:t>
      </w:r>
      <w:r>
        <w:rPr>
          <w:spacing w:val="8"/>
          <w:sz w:val="20"/>
          <w:szCs w:val="20"/>
        </w:rPr>
        <w:t>下降</w:t>
      </w:r>
      <w:r>
        <w:rPr>
          <w:spacing w:val="-2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。</w:t>
      </w:r>
      <w:r>
        <w:rPr>
          <w:spacing w:val="-3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同时</w:t>
      </w:r>
      <w:r>
        <w:rPr>
          <w:spacing w:val="-1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，美联储等众多海外央</w:t>
      </w:r>
    </w:p>
    <w:p>
      <w:pPr>
        <w:spacing w:line="189" w:lineRule="auto"/>
        <w:rPr>
          <w:sz w:val="20"/>
          <w:szCs w:val="20"/>
        </w:rPr>
        <w:sectPr>
          <w:headerReference w:type="default" r:id="rId33"/>
          <w:footerReference w:type="default" r:id="rId34"/>
          <w:type w:val="continuous"/>
          <w:pgSz w:w="11906" w:h="16839"/>
          <w:pgMar w:top="400" w:right="830" w:bottom="1185" w:left="566" w:header="0" w:footer="882" w:gutter="0"/>
          <w:pgNumType w:start="13"/>
          <w:cols w:num="1" w:space="708" w:equalWidth="0">
            <w:col w:w="10509" w:space="0"/>
          </w:cols>
        </w:sectPr>
      </w:pPr>
    </w:p>
    <w:p>
      <w:pPr>
        <w:spacing w:line="468" w:lineRule="auto"/>
        <w:rPr>
          <w:rFonts w:ascii="Arial"/>
          <w:sz w:val="21"/>
        </w:rPr>
      </w:pPr>
      <w:r>
        <w:pict>
          <v:rect id="_x0000_s1049" style="width:255.25pt;height:0.25pt;margin-top:192.2pt;margin-left:42.55pt;mso-position-horizontal-relative:page;mso-position-vertical-relative:page;position:absolute;z-index:251672576" o:allowincell="f" filled="t" fillcolor="#13007c" stroked="f"/>
        </w:pict>
      </w:r>
      <w:r>
        <w:pict>
          <v:rect id="_x0000_s1050" style="width:255.25pt;height:0.25pt;margin-top:345.5pt;margin-left:42.55pt;mso-position-horizontal-relative:page;mso-position-vertical-relative:page;position:absolute;z-index:251673600" o:allowincell="f" filled="t" fillcolor="#13007c" stroked="f"/>
        </w:pict>
      </w:r>
      <w:r>
        <w:pict>
          <v:shape id="_x0000_s1051" style="width:510.25pt;height:0.75pt;margin-top:61.85pt;margin-left:42.55pt;mso-position-horizontal-relative:page;mso-position-vertical-relative:page;position:absolute;z-index:251671552" coordorigin="0,0" coordsize="10205,15" o:allowincell="f" path="m,l10204,l10204,14l,14l,xe" filled="t" fillcolor="#13007c" stroked="f"/>
        </w:pict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4054292</wp:posOffset>
            </wp:positionH>
            <wp:positionV relativeFrom="page">
              <wp:posOffset>2442971</wp:posOffset>
            </wp:positionV>
            <wp:extent cx="3057352" cy="184215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57352" cy="1842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359663</wp:posOffset>
            </wp:positionH>
            <wp:positionV relativeFrom="page">
              <wp:posOffset>179832</wp:posOffset>
            </wp:positionV>
            <wp:extent cx="2880359" cy="576071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80359" cy="57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1" w:line="205" w:lineRule="auto"/>
        <w:ind w:left="9691"/>
        <w:rPr>
          <w:sz w:val="19"/>
          <w:szCs w:val="19"/>
        </w:rPr>
      </w:pPr>
      <w:r>
        <w:rPr>
          <w:b/>
          <w:bCs/>
          <w:color w:val="13007C"/>
          <w:spacing w:val="8"/>
          <w:sz w:val="19"/>
          <w:szCs w:val="19"/>
          <w14:textOutline w14:w="3614" w14:cap="sq">
            <w14:solidFill>
              <w14:srgbClr w14:val="13007C"/>
            </w14:solidFill>
            <w14:prstDash w14:val="solid"/>
            <w14:bevel/>
          </w14:textOutline>
        </w:rPr>
        <w:t>宏观研究</w:t>
      </w:r>
    </w:p>
    <w:p>
      <w:pPr>
        <w:pStyle w:val="BodyText"/>
        <w:spacing w:before="228" w:line="218" w:lineRule="auto"/>
        <w:ind w:left="1136"/>
        <w:rPr>
          <w:sz w:val="20"/>
          <w:szCs w:val="20"/>
        </w:rPr>
      </w:pPr>
      <w:r>
        <w:rPr>
          <w:spacing w:val="10"/>
          <w:sz w:val="20"/>
          <w:szCs w:val="20"/>
        </w:rPr>
        <w:t>行已经站在利率顶端</w:t>
      </w:r>
      <w:r>
        <w:rPr>
          <w:spacing w:val="-13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，将在今年逐步降息的概率较大</w:t>
      </w:r>
      <w:r>
        <w:rPr>
          <w:spacing w:val="-1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，将减轻风险资产市场的</w:t>
      </w:r>
    </w:p>
    <w:p>
      <w:pPr>
        <w:pStyle w:val="BodyText"/>
        <w:spacing w:line="200" w:lineRule="auto"/>
        <w:ind w:left="1138"/>
        <w:rPr>
          <w:sz w:val="20"/>
          <w:szCs w:val="20"/>
        </w:rPr>
      </w:pPr>
      <w:r>
        <w:rPr>
          <w:spacing w:val="9"/>
          <w:sz w:val="20"/>
          <w:szCs w:val="20"/>
        </w:rPr>
        <w:t>流动性压力</w:t>
      </w:r>
      <w:r>
        <w:rPr>
          <w:spacing w:val="-2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。（2）在此背景下</w:t>
      </w:r>
      <w:r>
        <w:rPr>
          <w:spacing w:val="-1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 xml:space="preserve">，美国等股票市场在科技股特别是 </w:t>
      </w:r>
      <w:r>
        <w:rPr>
          <w:sz w:val="20"/>
          <w:szCs w:val="20"/>
        </w:rPr>
        <w:t>AI</w:t>
      </w:r>
      <w:r>
        <w:rPr>
          <w:spacing w:val="9"/>
          <w:sz w:val="20"/>
          <w:szCs w:val="20"/>
        </w:rPr>
        <w:t xml:space="preserve"> 热潮推动</w:t>
      </w:r>
    </w:p>
    <w:p>
      <w:pPr>
        <w:pStyle w:val="BodyText"/>
        <w:spacing w:before="26" w:line="200" w:lineRule="auto"/>
        <w:ind w:left="1140"/>
        <w:rPr>
          <w:sz w:val="20"/>
          <w:szCs w:val="20"/>
        </w:rPr>
      </w:pPr>
      <w:r>
        <w:rPr>
          <w:spacing w:val="5"/>
          <w:sz w:val="20"/>
          <w:szCs w:val="20"/>
        </w:rPr>
        <w:t>下屡创新高</w:t>
      </w:r>
      <w:r>
        <w:rPr>
          <w:spacing w:val="-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，带动海外市场的投资气氛，</w:t>
      </w:r>
      <w:r>
        <w:rPr>
          <w:spacing w:val="-10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日股从中受益</w:t>
      </w:r>
      <w:r>
        <w:rPr>
          <w:spacing w:val="-29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。（3）一些代表性的长</w:t>
      </w:r>
    </w:p>
    <w:p>
      <w:pPr>
        <w:pStyle w:val="BodyText"/>
        <w:spacing w:before="25" w:line="205" w:lineRule="auto"/>
        <w:ind w:left="1137"/>
        <w:rPr>
          <w:sz w:val="20"/>
          <w:szCs w:val="20"/>
        </w:rPr>
      </w:pPr>
      <w:r>
        <w:rPr>
          <w:spacing w:val="12"/>
          <w:sz w:val="20"/>
          <w:szCs w:val="20"/>
        </w:rPr>
        <w:t>线资金进入也带动投资者对于日股的信心提升</w:t>
      </w:r>
      <w:r>
        <w:rPr>
          <w:spacing w:val="-27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。</w:t>
      </w:r>
      <w:r>
        <w:rPr>
          <w:spacing w:val="11"/>
          <w:sz w:val="20"/>
          <w:szCs w:val="20"/>
        </w:rPr>
        <w:t>跟随巴菲特加码日股投资的步</w:t>
      </w:r>
    </w:p>
    <w:p>
      <w:pPr>
        <w:pStyle w:val="BodyText"/>
        <w:spacing w:before="19" w:line="200" w:lineRule="auto"/>
        <w:ind w:left="1136"/>
        <w:rPr>
          <w:sz w:val="20"/>
          <w:szCs w:val="20"/>
        </w:rPr>
      </w:pPr>
      <w:r>
        <w:rPr>
          <w:spacing w:val="4"/>
          <w:sz w:val="20"/>
          <w:szCs w:val="20"/>
        </w:rPr>
        <w:t>伐，</w:t>
      </w:r>
      <w:r>
        <w:rPr>
          <w:spacing w:val="-24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贝莱德等外资持续涌入</w:t>
      </w:r>
      <w:r>
        <w:rPr>
          <w:spacing w:val="-1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，助推日本股市走高</w:t>
      </w:r>
      <w:r>
        <w:rPr>
          <w:spacing w:val="-29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。（4） 日股受益于国际资金在</w:t>
      </w:r>
    </w:p>
    <w:p>
      <w:pPr>
        <w:pStyle w:val="BodyText"/>
        <w:spacing w:before="27" w:line="204" w:lineRule="auto"/>
        <w:ind w:left="1138"/>
        <w:rPr>
          <w:sz w:val="20"/>
          <w:szCs w:val="20"/>
        </w:rPr>
      </w:pPr>
      <w:r>
        <w:rPr>
          <w:spacing w:val="11"/>
          <w:sz w:val="20"/>
          <w:szCs w:val="20"/>
        </w:rPr>
        <w:t>亚洲投资的多元化布局</w:t>
      </w:r>
      <w:r>
        <w:rPr>
          <w:spacing w:val="-2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。近期亚洲主要股市</w:t>
      </w:r>
      <w:r>
        <w:rPr>
          <w:spacing w:val="10"/>
          <w:sz w:val="20"/>
          <w:szCs w:val="20"/>
        </w:rPr>
        <w:t>当中，</w:t>
      </w:r>
      <w:r>
        <w:rPr>
          <w:spacing w:val="-33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印度股市估值相对比较高，</w:t>
      </w:r>
    </w:p>
    <w:p>
      <w:pPr>
        <w:pStyle w:val="BodyText"/>
        <w:spacing w:before="20" w:line="182" w:lineRule="auto"/>
        <w:ind w:left="1155"/>
        <w:rPr>
          <w:sz w:val="20"/>
          <w:szCs w:val="20"/>
        </w:rPr>
      </w:pPr>
      <w:r>
        <w:rPr>
          <w:spacing w:val="8"/>
          <w:sz w:val="20"/>
          <w:szCs w:val="20"/>
        </w:rPr>
        <w:t>中国股市仍在等待更多催化剂和确定性</w:t>
      </w:r>
      <w:r>
        <w:rPr>
          <w:spacing w:val="-2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，使得更</w:t>
      </w:r>
      <w:r>
        <w:rPr>
          <w:spacing w:val="7"/>
          <w:sz w:val="20"/>
          <w:szCs w:val="20"/>
        </w:rPr>
        <w:t>多海外资金考虑布局日本股市。</w:t>
      </w:r>
    </w:p>
    <w:p>
      <w:pPr>
        <w:spacing w:line="182" w:lineRule="auto"/>
        <w:rPr>
          <w:sz w:val="20"/>
          <w:szCs w:val="20"/>
        </w:rPr>
        <w:sectPr>
          <w:headerReference w:type="default" r:id="rId36"/>
          <w:footerReference w:type="default" r:id="rId37"/>
          <w:pgSz w:w="11906" w:h="16839"/>
          <w:pgMar w:top="400" w:right="380" w:bottom="1185" w:left="566" w:header="0" w:footer="882" w:gutter="0"/>
          <w:pgNumType w:start="14"/>
          <w:cols w:num="1" w:space="708" w:equalWidth="0">
            <w:col w:w="10960" w:space="0"/>
          </w:cols>
        </w:sectPr>
      </w:pPr>
    </w:p>
    <w:p>
      <w:pPr>
        <w:pStyle w:val="BodyText"/>
        <w:spacing w:before="37" w:line="208" w:lineRule="auto"/>
        <w:ind w:left="304"/>
        <w:rPr>
          <w:sz w:val="16"/>
          <w:szCs w:val="16"/>
        </w:rPr>
      </w:pPr>
      <w:r>
        <w:rPr>
          <w:b/>
          <w:bCs/>
          <w:color w:val="000080"/>
          <w:spacing w:val="4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4"/>
          <w:sz w:val="16"/>
          <w:szCs w:val="16"/>
        </w:rPr>
        <w:t xml:space="preserve"> </w:t>
      </w:r>
      <w:r>
        <w:rPr>
          <w:b/>
          <w:bCs/>
          <w:color w:val="000080"/>
          <w:spacing w:val="4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7：</w:t>
      </w:r>
      <w:r>
        <w:rPr>
          <w:b/>
          <w:bCs/>
          <w:color w:val="000080"/>
          <w:spacing w:val="-22"/>
          <w:sz w:val="16"/>
          <w:szCs w:val="16"/>
        </w:rPr>
        <w:t xml:space="preserve"> </w:t>
      </w:r>
      <w:r>
        <w:rPr>
          <w:b/>
          <w:bCs/>
          <w:color w:val="000080"/>
          <w:spacing w:val="4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主要经济体政策利率</w:t>
      </w:r>
    </w:p>
    <w:p>
      <w:pPr>
        <w:spacing w:before="159" w:line="2806" w:lineRule="exact"/>
        <w:ind w:firstLine="433"/>
      </w:pPr>
      <w:r>
        <w:rPr>
          <w:position w:val="-56"/>
        </w:rPr>
        <w:drawing>
          <wp:inline distT="0" distB="0" distL="0" distR="0">
            <wp:extent cx="2977220" cy="178150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77220" cy="178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6" w:line="163" w:lineRule="exact"/>
        <w:ind w:left="283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188" w:lineRule="auto"/>
        <w:ind w:left="20"/>
        <w:rPr>
          <w:sz w:val="16"/>
          <w:szCs w:val="16"/>
        </w:rPr>
      </w:pP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图</w:t>
      </w:r>
      <w:r>
        <w:rPr>
          <w:b/>
          <w:bCs/>
          <w:color w:val="000080"/>
          <w:spacing w:val="-3"/>
          <w:sz w:val="16"/>
          <w:szCs w:val="16"/>
        </w:rPr>
        <w:t xml:space="preserve"> </w:t>
      </w: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8：海外主要股市表现（2023</w:t>
      </w:r>
      <w:r>
        <w:rPr>
          <w:b/>
          <w:bCs/>
          <w:color w:val="000080"/>
          <w:spacing w:val="-3"/>
          <w:sz w:val="16"/>
          <w:szCs w:val="16"/>
        </w:rPr>
        <w:t xml:space="preserve"> </w:t>
      </w: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年</w:t>
      </w:r>
      <w:r>
        <w:rPr>
          <w:b/>
          <w:bCs/>
          <w:color w:val="000080"/>
          <w:spacing w:val="12"/>
          <w:sz w:val="16"/>
          <w:szCs w:val="16"/>
        </w:rPr>
        <w:t xml:space="preserve"> </w:t>
      </w: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1</w:t>
      </w:r>
      <w:r>
        <w:rPr>
          <w:b/>
          <w:bCs/>
          <w:color w:val="000080"/>
          <w:spacing w:val="-3"/>
          <w:sz w:val="16"/>
          <w:szCs w:val="16"/>
        </w:rPr>
        <w:t xml:space="preserve"> </w:t>
      </w: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月=</w:t>
      </w:r>
      <w:r>
        <w:rPr>
          <w:b/>
          <w:bCs/>
          <w:color w:val="000080"/>
          <w:spacing w:val="-26"/>
          <w:sz w:val="16"/>
          <w:szCs w:val="16"/>
        </w:rPr>
        <w:t xml:space="preserve"> </w:t>
      </w:r>
      <w:r>
        <w:rPr>
          <w:b/>
          <w:bCs/>
          <w:color w:val="000080"/>
          <w:spacing w:val="-3"/>
          <w:sz w:val="16"/>
          <w:szCs w:val="16"/>
          <w14:textOutline w14:w="3087" w14:cap="sq">
            <w14:solidFill>
              <w14:srgbClr w14:val="000080"/>
            </w14:solidFill>
            <w14:prstDash w14:val="solid"/>
            <w14:bevel/>
          </w14:textOutline>
        </w:rPr>
        <w:t>100）</w:t>
      </w:r>
    </w:p>
    <w:p>
      <w:pPr>
        <w:spacing w:line="3071" w:lineRule="exact"/>
        <w:ind w:firstLine="1"/>
      </w:pPr>
      <w:r>
        <w:rPr>
          <w:position w:val="-61"/>
        </w:rPr>
        <w:pict>
          <v:group id="_x0000_i1052" style="width:266.5pt;height:153.55pt;mso-position-horizontal-relative:char;mso-position-vertical-relative:line" coordorigin="0,0" coordsize="5330,3071" filled="f" stroked="f">
            <v:rect id="_x0000_s1053" style="width:5330;height:5;position:absolute" filled="t" fillcolor="#13007c" stroked="f"/>
            <v:rect id="_x0000_s1054" style="width:5330;height:5;position:absolute;top:3065" filled="t" fillcolor="#13007c" stroked="f"/>
            <w10:wrap type="none"/>
          </v:group>
        </w:pict>
      </w:r>
    </w:p>
    <w:p>
      <w:pPr>
        <w:pStyle w:val="BodyText"/>
        <w:spacing w:before="23" w:line="163" w:lineRule="exact"/>
        <w:rPr>
          <w:sz w:val="15"/>
          <w:szCs w:val="15"/>
        </w:rPr>
      </w:pPr>
      <w:r>
        <w:rPr>
          <w:i/>
          <w:iCs/>
          <w:color w:val="13007C"/>
          <w:spacing w:val="-1"/>
          <w:sz w:val="15"/>
          <w:szCs w:val="15"/>
        </w:rPr>
        <w:t>资料来源：Wind，中国银河证券研究院</w:t>
      </w:r>
    </w:p>
    <w:p>
      <w:pPr>
        <w:spacing w:line="163" w:lineRule="exact"/>
        <w:rPr>
          <w:sz w:val="15"/>
          <w:szCs w:val="15"/>
        </w:rPr>
        <w:sectPr>
          <w:headerReference w:type="default" r:id="rId39"/>
          <w:footerReference w:type="default" r:id="rId40"/>
          <w:type w:val="continuous"/>
          <w:pgSz w:w="11906" w:h="16839"/>
          <w:pgMar w:top="400" w:right="380" w:bottom="1185" w:left="566" w:header="0" w:footer="882" w:gutter="0"/>
          <w:pgNumType w:start="15"/>
          <w:cols w:num="2" w:space="708" w:equalWidth="0">
            <w:col w:w="5529" w:space="100"/>
            <w:col w:w="5332" w:space="0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3" w:line="193" w:lineRule="auto"/>
        <w:ind w:left="699"/>
        <w:outlineLvl w:val="0"/>
        <w:rPr>
          <w:sz w:val="24"/>
          <w:szCs w:val="24"/>
        </w:rPr>
      </w:pPr>
      <w:bookmarkStart w:id="2" w:name="bookmark3"/>
      <w:bookmarkEnd w:id="2"/>
      <w:r>
        <w:rPr>
          <w:color w:val="FF0000"/>
          <w:spacing w:val="-7"/>
          <w:sz w:val="24"/>
          <w:szCs w:val="24"/>
        </w:rPr>
        <w:t>（</w:t>
      </w:r>
      <w:r>
        <w:rPr>
          <w:color w:val="FF0000"/>
          <w:sz w:val="24"/>
          <w:szCs w:val="24"/>
        </w:rPr>
        <w:t xml:space="preserve"> </w:t>
      </w:r>
      <w:r>
        <w:rPr>
          <w:color w:val="FF0000"/>
          <w:spacing w:val="-7"/>
          <w:sz w:val="24"/>
          <w:szCs w:val="24"/>
        </w:rPr>
        <w:t>二</w:t>
      </w:r>
      <w:r>
        <w:rPr>
          <w:color w:val="FF0000"/>
          <w:spacing w:val="-26"/>
          <w:sz w:val="24"/>
          <w:szCs w:val="24"/>
        </w:rPr>
        <w:t xml:space="preserve"> </w:t>
      </w:r>
      <w:r>
        <w:rPr>
          <w:color w:val="FF0000"/>
          <w:spacing w:val="-7"/>
          <w:sz w:val="24"/>
          <w:szCs w:val="24"/>
        </w:rPr>
        <w:t>）市场层面：盈利改善</w:t>
      </w:r>
      <w:r>
        <w:rPr>
          <w:color w:val="FF0000"/>
          <w:spacing w:val="-28"/>
          <w:sz w:val="24"/>
          <w:szCs w:val="24"/>
        </w:rPr>
        <w:t xml:space="preserve"> </w:t>
      </w:r>
      <w:r>
        <w:rPr>
          <w:color w:val="FF0000"/>
          <w:spacing w:val="-7"/>
          <w:sz w:val="24"/>
          <w:szCs w:val="24"/>
        </w:rPr>
        <w:t>，资金流入，估值提升</w:t>
      </w:r>
    </w:p>
    <w:p>
      <w:pPr>
        <w:pStyle w:val="BodyText"/>
        <w:spacing w:before="153" w:line="216" w:lineRule="auto"/>
        <w:ind w:left="1136" w:right="2519" w:hanging="408"/>
        <w:outlineLvl w:val="1"/>
        <w:rPr>
          <w:sz w:val="20"/>
          <w:szCs w:val="20"/>
        </w:rPr>
      </w:pPr>
      <w:r>
        <w:rPr>
          <w:spacing w:val="8"/>
          <w:sz w:val="20"/>
          <w:szCs w:val="20"/>
        </w:rPr>
        <w:t xml:space="preserve">1.     </w:t>
      </w:r>
      <w:r>
        <w:rPr>
          <w:b/>
          <w:bCs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日本企业的盈利持续改善，</w:t>
      </w:r>
      <w:r>
        <w:rPr>
          <w:b/>
          <w:bCs/>
          <w:spacing w:val="-38"/>
          <w:sz w:val="20"/>
          <w:szCs w:val="20"/>
        </w:rPr>
        <w:t xml:space="preserve"> </w:t>
      </w:r>
      <w:r>
        <w:rPr>
          <w:b/>
          <w:bCs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这是推动日股上涨的核心基本面利好</w:t>
      </w:r>
      <w:r>
        <w:rPr>
          <w:b/>
          <w:bCs/>
          <w:spacing w:val="-30"/>
          <w:sz w:val="20"/>
          <w:szCs w:val="20"/>
        </w:rPr>
        <w:t xml:space="preserve"> </w:t>
      </w:r>
      <w:r>
        <w:rPr>
          <w:b/>
          <w:bCs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8"/>
          <w:sz w:val="20"/>
          <w:szCs w:val="20"/>
        </w:rPr>
        <w:t>在</w:t>
      </w:r>
      <w:r>
        <w:rPr>
          <w:spacing w:val="7"/>
          <w:sz w:val="20"/>
          <w:szCs w:val="20"/>
        </w:rPr>
        <w:t>过去的十</w:t>
      </w:r>
      <w:r>
        <w:rPr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年中， 日本企业的利润率持续上升到历史高位</w:t>
      </w:r>
      <w:r>
        <w:rPr>
          <w:spacing w:val="-5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，得益于日本企业在提高生产效</w:t>
      </w:r>
      <w:r>
        <w:rPr>
          <w:sz w:val="20"/>
          <w:szCs w:val="20"/>
        </w:rPr>
        <w:t xml:space="preserve">  </w:t>
      </w:r>
      <w:r>
        <w:rPr>
          <w:spacing w:val="6"/>
          <w:sz w:val="20"/>
          <w:szCs w:val="20"/>
        </w:rPr>
        <w:t>率和成本控制方面的努力</w:t>
      </w:r>
      <w:r>
        <w:rPr>
          <w:spacing w:val="-3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。</w:t>
      </w:r>
      <w:r>
        <w:rPr>
          <w:spacing w:val="-21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日本企业通过进行结</w:t>
      </w:r>
      <w:r>
        <w:rPr>
          <w:spacing w:val="5"/>
          <w:sz w:val="20"/>
          <w:szCs w:val="20"/>
        </w:rPr>
        <w:t>构调整</w:t>
      </w:r>
      <w:r>
        <w:rPr>
          <w:spacing w:val="-19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，包括剥离非核心业务、</w:t>
      </w:r>
      <w:r>
        <w:rPr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专注于高附加值产品和市场，</w:t>
      </w:r>
      <w:r>
        <w:rPr>
          <w:spacing w:val="-3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以及通过技术创新和业务模式创新来提高竞争</w:t>
      </w:r>
      <w:r>
        <w:rPr>
          <w:spacing w:val="7"/>
          <w:sz w:val="20"/>
          <w:szCs w:val="20"/>
        </w:rPr>
        <w:t>力。</w:t>
      </w:r>
      <w:r>
        <w:rPr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同时日本国内也在大力推动吸引高端制造落地，</w:t>
      </w:r>
      <w:r>
        <w:rPr>
          <w:spacing w:val="-31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台积电将于</w:t>
      </w:r>
      <w:r>
        <w:rPr>
          <w:spacing w:val="11"/>
          <w:sz w:val="20"/>
          <w:szCs w:val="20"/>
        </w:rPr>
        <w:t>近期正式启用其熊</w:t>
      </w:r>
      <w:r>
        <w:rPr>
          <w:sz w:val="20"/>
          <w:szCs w:val="20"/>
        </w:rPr>
        <w:t xml:space="preserve">  </w:t>
      </w:r>
      <w:r>
        <w:rPr>
          <w:spacing w:val="7"/>
          <w:sz w:val="20"/>
          <w:szCs w:val="20"/>
        </w:rPr>
        <w:t>本工厂</w:t>
      </w:r>
      <w:r>
        <w:rPr>
          <w:spacing w:val="-16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，有望在今年晚些时候开始大规模生产。</w:t>
      </w:r>
    </w:p>
    <w:p>
      <w:pPr>
        <w:pStyle w:val="BodyText"/>
        <w:spacing w:before="181" w:line="216" w:lineRule="auto"/>
        <w:ind w:left="1125" w:right="2530" w:firstLine="430"/>
        <w:outlineLvl w:val="1"/>
        <w:rPr>
          <w:sz w:val="20"/>
          <w:szCs w:val="20"/>
        </w:rPr>
      </w:pPr>
      <w:r>
        <w:rPr>
          <w:spacing w:val="10"/>
          <w:sz w:val="20"/>
          <w:szCs w:val="20"/>
        </w:rPr>
        <w:t>疫情之后日本汽车和零售等行业的海外销售复苏加快</w:t>
      </w:r>
      <w:r>
        <w:rPr>
          <w:spacing w:val="-2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，盈利能力提升</w:t>
      </w:r>
      <w:r>
        <w:rPr>
          <w:spacing w:val="-2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。而</w:t>
      </w:r>
      <w:r>
        <w:rPr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 xml:space="preserve">且高科技相关的产品和服务，尤其是在 </w:t>
      </w:r>
      <w:r>
        <w:rPr>
          <w:sz w:val="20"/>
          <w:szCs w:val="20"/>
        </w:rPr>
        <w:t>AI</w:t>
      </w:r>
      <w:r>
        <w:rPr>
          <w:spacing w:val="-28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、</w:t>
      </w:r>
      <w:r>
        <w:rPr>
          <w:spacing w:val="4"/>
          <w:sz w:val="20"/>
          <w:szCs w:val="20"/>
        </w:rPr>
        <w:t>5G 通信</w:t>
      </w:r>
      <w:r>
        <w:rPr>
          <w:spacing w:val="-26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、</w:t>
      </w:r>
      <w:r>
        <w:rPr>
          <w:spacing w:val="-3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自动驾驶汽车等领域的龙</w:t>
      </w:r>
      <w:r>
        <w:rPr>
          <w:sz w:val="20"/>
          <w:szCs w:val="20"/>
        </w:rPr>
        <w:t xml:space="preserve">  </w:t>
      </w:r>
      <w:r>
        <w:rPr>
          <w:spacing w:val="3"/>
          <w:sz w:val="20"/>
          <w:szCs w:val="20"/>
        </w:rPr>
        <w:t>头科技股表现亮眼</w:t>
      </w:r>
      <w:r>
        <w:rPr>
          <w:spacing w:val="-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，领涨股市</w:t>
      </w:r>
      <w:r>
        <w:rPr>
          <w:spacing w:val="-2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。例如东京电子（</w:t>
      </w:r>
      <w:r>
        <w:rPr>
          <w:sz w:val="20"/>
          <w:szCs w:val="20"/>
        </w:rPr>
        <w:t>Tokyo</w:t>
      </w:r>
      <w:r>
        <w:rPr>
          <w:spacing w:val="21"/>
          <w:sz w:val="20"/>
          <w:szCs w:val="20"/>
        </w:rPr>
        <w:t xml:space="preserve"> </w:t>
      </w:r>
      <w:r>
        <w:rPr>
          <w:sz w:val="20"/>
          <w:szCs w:val="20"/>
        </w:rPr>
        <w:t>Electron</w:t>
      </w:r>
      <w:r>
        <w:rPr>
          <w:spacing w:val="3"/>
          <w:sz w:val="20"/>
          <w:szCs w:val="20"/>
        </w:rPr>
        <w:t>）</w:t>
      </w:r>
      <w:r>
        <w:rPr>
          <w:spacing w:val="-3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和爱德万测试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>（Advantest）等芯片股，股价显著上涨。考虑到科技行业在日经 225 指数当中的</w:t>
      </w:r>
      <w:r>
        <w:rPr>
          <w:spacing w:val="3"/>
          <w:sz w:val="20"/>
          <w:szCs w:val="20"/>
        </w:rPr>
        <w:t xml:space="preserve">  </w:t>
      </w:r>
      <w:r>
        <w:rPr>
          <w:spacing w:val="4"/>
          <w:sz w:val="20"/>
          <w:szCs w:val="20"/>
        </w:rPr>
        <w:t>占比达到 49.14%，是最大的板块，且前十大成分股中有七家都</w:t>
      </w:r>
      <w:r>
        <w:rPr>
          <w:spacing w:val="3"/>
          <w:sz w:val="20"/>
          <w:szCs w:val="20"/>
        </w:rPr>
        <w:t>是科技相关企业，</w:t>
      </w:r>
      <w:r>
        <w:rPr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其强劲表现拉动大盘上涨</w:t>
      </w:r>
      <w:r>
        <w:rPr>
          <w:spacing w:val="-30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。2024 年至今日股中</w:t>
      </w:r>
      <w:r>
        <w:rPr>
          <w:spacing w:val="7"/>
          <w:sz w:val="20"/>
          <w:szCs w:val="20"/>
        </w:rPr>
        <w:t>其他涨幅较高的板块还包括耐用</w:t>
      </w:r>
      <w:r>
        <w:rPr>
          <w:sz w:val="20"/>
          <w:szCs w:val="20"/>
        </w:rPr>
        <w:t xml:space="preserve">  </w:t>
      </w:r>
      <w:r>
        <w:rPr>
          <w:spacing w:val="-3"/>
          <w:sz w:val="20"/>
          <w:szCs w:val="20"/>
        </w:rPr>
        <w:t>消费品</w:t>
      </w:r>
      <w:r>
        <w:rPr>
          <w:spacing w:val="-20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、配送服务和零售行业</w:t>
      </w:r>
      <w:r>
        <w:rPr>
          <w:spacing w:val="-20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，涨幅分别达到 22.96%</w:t>
      </w:r>
      <w:r>
        <w:rPr>
          <w:spacing w:val="-28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、22.58%和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15.91%</w:t>
      </w:r>
      <w:r>
        <w:rPr>
          <w:spacing w:val="-20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，显示</w:t>
      </w:r>
      <w:r>
        <w:rPr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了投资者对经济内外需求稳步提升的预期。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https://d.book118.com/416100123014010053</w:t>
        </w:r>
      </w:hyperlink>
    </w:p>
    <w:p>
      <w:pPr>
        <w:pStyle w:val="BodyText"/>
        <w:spacing w:before="181" w:line="216" w:lineRule="auto"/>
        <w:ind w:left="1125" w:right="2530" w:firstLine="430"/>
        <w:outlineLvl w:val="1"/>
        <w:rPr>
          <w:sz w:val="20"/>
          <w:szCs w:val="20"/>
        </w:rPr>
      </w:pPr>
    </w:p>
    <w:sectPr>
      <w:headerReference w:type="default" r:id="rId42"/>
      <w:footerReference w:type="default" r:id="rId43"/>
      <w:type w:val="continuous"/>
      <w:pgSz w:w="11906" w:h="16839"/>
      <w:pgMar w:top="400" w:right="380" w:bottom="1185" w:left="566" w:header="0" w:footer="882" w:gutter="0"/>
      <w:pgNumType w:start="16"/>
      <w:cols w:num="1" w:space="708" w:equalWidth="0">
        <w:col w:w="109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50" style="width:511.2pt;height:0.75pt;margin-top:782.6pt;margin-left:42.55pt;mso-position-horizontal-relative:page;mso-position-vertical-relative:page;position:absolute;z-index:251658240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.7pt;height:14.35pt;margin-top:0.67pt;margin-left:511.78pt;position:absolute;z-index:251659264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6" w:line="164" w:lineRule="auto"/>
                  <w:ind w:left="101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2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52" style="width:511.2pt;height:0.75pt;margin-top:782.6pt;margin-left:42.55pt;mso-position-horizontal-relative:page;mso-position-vertical-relative:page;position:absolute;z-index:251660288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3.7pt;height:14.35pt;margin-top:0.67pt;margin-left:511.78pt;position:absolute;z-index:251661312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7" w:line="164" w:lineRule="auto"/>
                  <w:ind w:left="103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3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55" style="width:511.2pt;height:0.75pt;margin-top:782.6pt;margin-left:42.55pt;mso-position-horizontal-relative:page;mso-position-vertical-relative:page;position:absolute;z-index:251662336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.7pt;height:14.35pt;margin-top:0.67pt;margin-left:511.78pt;position:absolute;z-index:251663360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6" w:line="166" w:lineRule="auto"/>
                  <w:ind w:left="98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4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57" style="width:511.2pt;height:0.75pt;margin-top:782.6pt;margin-left:42.55pt;mso-position-horizontal-relative:page;mso-position-vertical-relative:page;position:absolute;z-index:251664384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.7pt;height:14.35pt;margin-top:0.67pt;margin-left:511.78pt;position:absolute;z-index:251665408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6" w:line="166" w:lineRule="auto"/>
                  <w:ind w:left="98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4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59" style="width:511.2pt;height:0.75pt;margin-top:782.6pt;margin-left:42.55pt;mso-position-horizontal-relative:page;mso-position-vertical-relative:page;position:absolute;z-index:251666432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.7pt;height:14.35pt;margin-top:0.67pt;margin-left:511.78pt;position:absolute;z-index:251667456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6" w:line="166" w:lineRule="auto"/>
                  <w:ind w:left="98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4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61" style="width:511.2pt;height:0.75pt;margin-top:782.6pt;margin-left:42.55pt;mso-position-horizontal-relative:page;mso-position-vertical-relative:page;position:absolute;z-index:251668480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3.7pt;height:14.35pt;margin-top:0.67pt;margin-left:511.78pt;position:absolute;z-index:251669504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6" w:line="166" w:lineRule="auto"/>
                  <w:ind w:left="98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4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63" style="width:511.2pt;height:0.75pt;margin-top:782.6pt;margin-left:42.55pt;mso-position-horizontal-relative:page;mso-position-vertical-relative:page;position:absolute;z-index:251670528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3.7pt;height:14.35pt;margin-top:0.67pt;margin-left:511.78pt;position:absolute;z-index:251671552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9" w:line="162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5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65" style="width:511.2pt;height:0.75pt;margin-top:782.6pt;margin-left:42.55pt;mso-position-horizontal-relative:page;mso-position-vertical-relative:page;position:absolute;z-index:251672576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3.7pt;height:14.35pt;margin-top:0.67pt;margin-left:511.78pt;position:absolute;z-index:251673600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9" w:line="162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5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67" style="width:511.2pt;height:0.75pt;margin-top:782.6pt;margin-left:42.55pt;mso-position-horizontal-relative:page;mso-position-vertical-relative:page;position:absolute;z-index:251674624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.7pt;height:14.35pt;margin-top:0.67pt;margin-left:511.78pt;position:absolute;z-index:251675648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9" w:line="162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5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69" style="width:511.2pt;height:0.75pt;margin-top:782.6pt;margin-left:42.55pt;mso-position-horizontal-relative:page;mso-position-vertical-relative:page;position:absolute;z-index:251676672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3.7pt;height:14.35pt;margin-top:0.67pt;margin-left:511.78pt;position:absolute;z-index:251677696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9" w:line="162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5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71" style="width:511.2pt;height:0.75pt;margin-top:782.6pt;margin-left:42.55pt;mso-position-horizontal-relative:page;mso-position-vertical-relative:page;position:absolute;z-index:251678720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3.7pt;height:14.35pt;margin-top:0.67pt;margin-left:511.78pt;position:absolute;z-index:251679744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7" w:line="164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6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73" style="width:511.2pt;height:0.75pt;margin-top:782.6pt;margin-left:42.55pt;mso-position-horizontal-relative:page;mso-position-vertical-relative:page;position:absolute;z-index:251680768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3.7pt;height:14.35pt;margin-top:0.67pt;margin-left:511.78pt;position:absolute;z-index:251681792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7" w:line="164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6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line="198" w:lineRule="auto"/>
      <w:ind w:left="291"/>
      <w:rPr>
        <w:sz w:val="16"/>
        <w:szCs w:val="16"/>
      </w:rPr>
    </w:pPr>
    <w:r>
      <w:pict>
        <v:rect id="_x0000_s2075" style="width:511.2pt;height:0.75pt;margin-top:782.6pt;margin-left:42.55pt;mso-position-horizontal-relative:page;mso-position-vertical-relative:page;position:absolute;z-index:251682816" o:allowincell="f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3.7pt;height:14.35pt;margin-top:0.67pt;margin-left:511.78pt;position:absolute;z-index:251683840" filled="t" fillcolor="#13007c" stroked="f">
          <o:lock v:ext="edit" aspectratio="f"/>
          <v:textbox inset="0,0,0,0">
            <w:txbxContent>
              <w:p>
                <w:pPr>
                  <w:pStyle w:val="BodyText"/>
                  <w:spacing w:before="77" w:line="164" w:lineRule="auto"/>
                  <w:ind w:left="102"/>
                  <w:rPr>
                    <w:sz w:val="16"/>
                    <w:szCs w:val="16"/>
                  </w:rPr>
                </w:pPr>
                <w:r>
                  <w:rPr>
                    <w:color w:val="FFFFFF"/>
                    <w:sz w:val="16"/>
                    <w:szCs w:val="16"/>
                  </w:rPr>
                  <w:t>6</w:t>
                </w:r>
              </w:p>
            </w:txbxContent>
          </v:textbox>
        </v:shape>
      </w:pict>
    </w:r>
    <w:r>
      <w:rPr>
        <w:color w:val="13007C"/>
        <w:sz w:val="16"/>
        <w:szCs w:val="16"/>
      </w:rPr>
      <w:t>请务必阅读正文最后的中国银河证券股份有限公司</w:t>
    </w:r>
    <w:r>
      <w:rPr>
        <w:color w:val="13007C"/>
        <w:spacing w:val="-1"/>
        <w:sz w:val="16"/>
        <w:szCs w:val="16"/>
      </w:rPr>
      <w:t>免责声明。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2" w:lineRule="auto"/>
      <w:rPr>
        <w:rFonts w:ascii="Arial"/>
        <w:sz w:val="21"/>
      </w:rPr>
    </w:pPr>
    <w:r>
      <w:pict>
        <v:shape id="_x0000_s2049" style="width:510.25pt;height:0.75pt;margin-top:61.85pt;margin-left:42.55pt;mso-position-horizontal-relative:page;mso-position-vertical-relative:page;position:absolute;z-index:251659264" coordorigin="0,0" coordsize="10205,15" o:allowincell="f" path="m,l10204,l10204,14l,14l,xe" filled="t" fillcolor="#13007c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359663</wp:posOffset>
          </wp:positionH>
          <wp:positionV relativeFrom="page">
            <wp:posOffset>179832</wp:posOffset>
          </wp:positionV>
          <wp:extent cx="2880359" cy="576071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80359" cy="5760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92" w:lineRule="auto"/>
      <w:rPr>
        <w:rFonts w:ascii="Arial"/>
        <w:sz w:val="21"/>
      </w:rPr>
    </w:pPr>
  </w:p>
  <w:p>
    <w:pPr>
      <w:pStyle w:val="BodyText"/>
      <w:spacing w:before="81" w:line="205" w:lineRule="auto"/>
      <w:ind w:right="23"/>
      <w:jc w:val="right"/>
      <w:rPr>
        <w:sz w:val="19"/>
        <w:szCs w:val="19"/>
      </w:rPr>
    </w:pPr>
    <w:r>
      <w:rPr>
        <w:b/>
        <w:bCs/>
        <w:color w:val="13007C"/>
        <w:spacing w:val="8"/>
        <w:sz w:val="19"/>
        <w:szCs w:val="19"/>
        <w14:textOutline w14:w="3614" w14:cap="sq">
          <w14:solidFill>
            <w14:srgbClr w14:val="13007C"/>
          </w14:solidFill>
          <w14:prstDash w14:val="solid"/>
          <w14:bevel/>
        </w14:textOutline>
      </w:rPr>
      <w:t>宏观研究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2" w:lineRule="auto"/>
      <w:rPr>
        <w:rFonts w:ascii="Arial"/>
        <w:sz w:val="21"/>
      </w:rPr>
    </w:pPr>
    <w:r>
      <w:pict>
        <v:shape id="_x0000_s2054" style="width:510.25pt;height:0.75pt;margin-top:61.85pt;margin-left:42.55pt;mso-position-horizontal-relative:page;mso-position-vertical-relative:page;position:absolute;z-index:251661312" coordorigin="0,0" coordsize="10205,15" o:allowincell="f" path="m,l10204,l10204,14l,14l,xe" filled="t" fillcolor="#13007c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359663</wp:posOffset>
          </wp:positionH>
          <wp:positionV relativeFrom="page">
            <wp:posOffset>179832</wp:posOffset>
          </wp:positionV>
          <wp:extent cx="2880359" cy="576071"/>
          <wp:effectExtent l="0" t="0" r="0" b="0"/>
          <wp:wrapNone/>
          <wp:docPr id="2117207701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207701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80359" cy="5760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92" w:lineRule="auto"/>
      <w:rPr>
        <w:rFonts w:ascii="Arial"/>
        <w:sz w:val="21"/>
      </w:rPr>
    </w:pPr>
  </w:p>
  <w:p>
    <w:pPr>
      <w:pStyle w:val="BodyText"/>
      <w:spacing w:before="81" w:line="205" w:lineRule="auto"/>
      <w:ind w:right="23"/>
      <w:jc w:val="right"/>
      <w:rPr>
        <w:sz w:val="19"/>
        <w:szCs w:val="19"/>
      </w:rPr>
    </w:pPr>
    <w:r>
      <w:rPr>
        <w:b/>
        <w:bCs/>
        <w:color w:val="13007C"/>
        <w:spacing w:val="8"/>
        <w:sz w:val="19"/>
        <w:szCs w:val="19"/>
        <w14:textOutline w14:w="3614" w14:cap="sq">
          <w14:solidFill>
            <w14:srgbClr w14:val="13007C"/>
          </w14:solidFill>
          <w14:prstDash w14:val="solid"/>
          <w14:bevel/>
        </w14:textOutline>
      </w:rPr>
      <w:t>宏观研究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5.jpeg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2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3.png" /><Relationship Id="rId39" Type="http://schemas.openxmlformats.org/officeDocument/2006/relationships/header" Target="header12.xml" /><Relationship Id="rId4" Type="http://schemas.openxmlformats.org/officeDocument/2006/relationships/image" Target="media/image1.jpeg" /><Relationship Id="rId40" Type="http://schemas.openxmlformats.org/officeDocument/2006/relationships/footer" Target="footer12.xml" /><Relationship Id="rId41" Type="http://schemas.openxmlformats.org/officeDocument/2006/relationships/hyperlink" Target="https://d.book118.com/416100123014010053" TargetMode="Externa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Sinitek</dc:creator>
  <cp:revision>0</cp:revision>
  <dcterms:created xsi:type="dcterms:W3CDTF">2024-02-28T21:38:43Z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2024-02-28T22:07:25Z</vt:filetime>
  </property>
  <property fmtid="{D5CDD505-2E9C-101B-9397-08002B2CF9AE}" pid="3" name="CRO">
    <vt:lpwstr>wqlLaW5nc29mdCBQREYgdG8gV1BTIDkw</vt:lpwstr>
  </property>
</Properties>
</file>