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饲料级磷酸氢钙项目规划设计蓝图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24" w:history="1">
        <w:r>
          <w:rPr>
            <w:rFonts w:ascii="仿宋" w:eastAsia="仿宋" w:hAnsi="仿宋" w:cs="仿宋" w:hint="eastAsia"/>
            <w:lang w:eastAsia="zh-CN"/>
          </w:rPr>
          <w:t>前言</w:t>
        </w:r>
        <w:r>
          <w:tab/>
        </w:r>
        <w:r>
          <w:fldChar w:fldCharType="begin"/>
        </w:r>
        <w:r>
          <w:instrText xml:space="preserve"> PAGEREF _Toc5824 \h </w:instrText>
        </w:r>
        <w:r>
          <w:fldChar w:fldCharType="separate"/>
        </w:r>
        <w:r>
          <w:t>3</w:t>
        </w:r>
        <w:r>
          <w:fldChar w:fldCharType="end"/>
        </w:r>
      </w:hyperlink>
    </w:p>
    <w:p>
      <w:pPr>
        <w:pStyle w:val="TOC1"/>
        <w:tabs>
          <w:tab w:val="right" w:leader="dot" w:pos="8306"/>
        </w:tabs>
      </w:pPr>
      <w:hyperlink w:anchor="_Toc14924" w:history="1">
        <w:r>
          <w:rPr>
            <w:rFonts w:ascii="仿宋" w:eastAsia="仿宋" w:hAnsi="仿宋" w:cs="仿宋" w:hint="eastAsia"/>
            <w:lang w:eastAsia="zh-CN"/>
          </w:rPr>
          <w:t>一、饲料级磷酸氢钙项目危机管理</w:t>
        </w:r>
        <w:r>
          <w:tab/>
        </w:r>
        <w:r>
          <w:fldChar w:fldCharType="begin"/>
        </w:r>
        <w:r>
          <w:instrText xml:space="preserve"> PAGEREF _Toc14924 \h </w:instrText>
        </w:r>
        <w:r>
          <w:fldChar w:fldCharType="separate"/>
        </w:r>
        <w:r>
          <w:t>3</w:t>
        </w:r>
        <w:r>
          <w:fldChar w:fldCharType="end"/>
        </w:r>
      </w:hyperlink>
    </w:p>
    <w:p>
      <w:pPr>
        <w:pStyle w:val="TOC2"/>
        <w:tabs>
          <w:tab w:val="right" w:leader="dot" w:pos="8306"/>
        </w:tabs>
      </w:pPr>
      <w:hyperlink w:anchor="_Toc14580" w:history="1">
        <w:r>
          <w:rPr>
            <w:rFonts w:ascii="仿宋" w:eastAsia="仿宋" w:hAnsi="仿宋" w:cs="仿宋" w:hint="eastAsia"/>
            <w:lang w:eastAsia="zh-CN"/>
          </w:rPr>
          <w:t>(一)、危机预警与识别</w:t>
        </w:r>
        <w:r>
          <w:tab/>
        </w:r>
        <w:r>
          <w:fldChar w:fldCharType="begin"/>
        </w:r>
        <w:r>
          <w:instrText xml:space="preserve"> PAGEREF _Toc14580 \h </w:instrText>
        </w:r>
        <w:r>
          <w:fldChar w:fldCharType="separate"/>
        </w:r>
        <w:r>
          <w:t>3</w:t>
        </w:r>
        <w:r>
          <w:fldChar w:fldCharType="end"/>
        </w:r>
      </w:hyperlink>
    </w:p>
    <w:p>
      <w:pPr>
        <w:pStyle w:val="TOC2"/>
        <w:tabs>
          <w:tab w:val="right" w:leader="dot" w:pos="8306"/>
        </w:tabs>
      </w:pPr>
      <w:hyperlink w:anchor="_Toc6537" w:history="1">
        <w:r>
          <w:rPr>
            <w:rFonts w:ascii="仿宋" w:eastAsia="仿宋" w:hAnsi="仿宋" w:cs="仿宋" w:hint="eastAsia"/>
            <w:lang w:eastAsia="zh-CN"/>
          </w:rPr>
          <w:t>(二)、危机应对与恢复</w:t>
        </w:r>
        <w:r>
          <w:tab/>
        </w:r>
        <w:r>
          <w:fldChar w:fldCharType="begin"/>
        </w:r>
        <w:r>
          <w:instrText xml:space="preserve"> PAGEREF _Toc6537 \h </w:instrText>
        </w:r>
        <w:r>
          <w:fldChar w:fldCharType="separate"/>
        </w:r>
        <w:r>
          <w:t>4</w:t>
        </w:r>
        <w:r>
          <w:fldChar w:fldCharType="end"/>
        </w:r>
      </w:hyperlink>
    </w:p>
    <w:p>
      <w:pPr>
        <w:pStyle w:val="TOC1"/>
        <w:tabs>
          <w:tab w:val="right" w:leader="dot" w:pos="8306"/>
        </w:tabs>
      </w:pPr>
      <w:hyperlink w:anchor="_Toc22734" w:history="1">
        <w:r>
          <w:rPr>
            <w:rFonts w:ascii="仿宋" w:eastAsia="仿宋" w:hAnsi="仿宋" w:cs="仿宋" w:hint="eastAsia"/>
            <w:lang w:eastAsia="zh-CN"/>
          </w:rPr>
          <w:t>二、饲料级磷酸氢钙项目文档管理</w:t>
        </w:r>
        <w:r>
          <w:tab/>
        </w:r>
        <w:r>
          <w:fldChar w:fldCharType="begin"/>
        </w:r>
        <w:r>
          <w:instrText xml:space="preserve"> PAGEREF _Toc22734 \h </w:instrText>
        </w:r>
        <w:r>
          <w:fldChar w:fldCharType="separate"/>
        </w:r>
        <w:r>
          <w:t>6</w:t>
        </w:r>
        <w:r>
          <w:fldChar w:fldCharType="end"/>
        </w:r>
      </w:hyperlink>
    </w:p>
    <w:p>
      <w:pPr>
        <w:pStyle w:val="TOC2"/>
        <w:tabs>
          <w:tab w:val="right" w:leader="dot" w:pos="8306"/>
        </w:tabs>
      </w:pPr>
      <w:hyperlink w:anchor="_Toc21468" w:history="1">
        <w:r>
          <w:rPr>
            <w:rFonts w:ascii="仿宋" w:eastAsia="仿宋" w:hAnsi="仿宋" w:cs="仿宋" w:hint="eastAsia"/>
            <w:lang w:eastAsia="zh-CN"/>
          </w:rPr>
          <w:t>(一)、文档编制与审查</w:t>
        </w:r>
        <w:r>
          <w:tab/>
        </w:r>
        <w:r>
          <w:fldChar w:fldCharType="begin"/>
        </w:r>
        <w:r>
          <w:instrText xml:space="preserve"> PAGEREF _Toc21468 \h </w:instrText>
        </w:r>
        <w:r>
          <w:fldChar w:fldCharType="separate"/>
        </w:r>
        <w:r>
          <w:t>6</w:t>
        </w:r>
        <w:r>
          <w:fldChar w:fldCharType="end"/>
        </w:r>
      </w:hyperlink>
    </w:p>
    <w:p>
      <w:pPr>
        <w:pStyle w:val="TOC2"/>
        <w:tabs>
          <w:tab w:val="right" w:leader="dot" w:pos="8306"/>
        </w:tabs>
      </w:pPr>
      <w:hyperlink w:anchor="_Toc25675" w:history="1">
        <w:r>
          <w:rPr>
            <w:rFonts w:ascii="仿宋" w:eastAsia="仿宋" w:hAnsi="仿宋" w:cs="仿宋" w:hint="eastAsia"/>
            <w:lang w:eastAsia="zh-CN"/>
          </w:rPr>
          <w:t>(二)、文档发布与分发</w:t>
        </w:r>
        <w:r>
          <w:tab/>
        </w:r>
        <w:r>
          <w:fldChar w:fldCharType="begin"/>
        </w:r>
        <w:r>
          <w:instrText xml:space="preserve"> PAGEREF _Toc25675 \h </w:instrText>
        </w:r>
        <w:r>
          <w:fldChar w:fldCharType="separate"/>
        </w:r>
        <w:r>
          <w:t>7</w:t>
        </w:r>
        <w:r>
          <w:fldChar w:fldCharType="end"/>
        </w:r>
      </w:hyperlink>
    </w:p>
    <w:p>
      <w:pPr>
        <w:pStyle w:val="TOC2"/>
        <w:tabs>
          <w:tab w:val="right" w:leader="dot" w:pos="8306"/>
        </w:tabs>
      </w:pPr>
      <w:hyperlink w:anchor="_Toc27047" w:history="1">
        <w:r>
          <w:rPr>
            <w:rFonts w:ascii="仿宋" w:eastAsia="仿宋" w:hAnsi="仿宋" w:cs="仿宋" w:hint="eastAsia"/>
            <w:lang w:eastAsia="zh-CN"/>
          </w:rPr>
          <w:t>(三)、文档存档与归档</w:t>
        </w:r>
        <w:r>
          <w:tab/>
        </w:r>
        <w:r>
          <w:fldChar w:fldCharType="begin"/>
        </w:r>
        <w:r>
          <w:instrText xml:space="preserve"> PAGEREF _Toc27047 \h </w:instrText>
        </w:r>
        <w:r>
          <w:fldChar w:fldCharType="separate"/>
        </w:r>
        <w:r>
          <w:t>8</w:t>
        </w:r>
        <w:r>
          <w:fldChar w:fldCharType="end"/>
        </w:r>
      </w:hyperlink>
    </w:p>
    <w:p>
      <w:pPr>
        <w:pStyle w:val="TOC1"/>
        <w:tabs>
          <w:tab w:val="right" w:leader="dot" w:pos="8306"/>
        </w:tabs>
      </w:pPr>
      <w:hyperlink w:anchor="_Toc17226" w:history="1">
        <w:r>
          <w:rPr>
            <w:rFonts w:ascii="仿宋" w:eastAsia="仿宋" w:hAnsi="仿宋" w:cs="仿宋" w:hint="eastAsia"/>
            <w:lang w:eastAsia="zh-CN"/>
          </w:rPr>
          <w:t>三、饲料级磷酸氢钙项目绩效评估</w:t>
        </w:r>
        <w:r>
          <w:tab/>
        </w:r>
        <w:r>
          <w:fldChar w:fldCharType="begin"/>
        </w:r>
        <w:r>
          <w:instrText xml:space="preserve"> PAGEREF _Toc17226 \h </w:instrText>
        </w:r>
        <w:r>
          <w:fldChar w:fldCharType="separate"/>
        </w:r>
        <w:r>
          <w:t>9</w:t>
        </w:r>
        <w:r>
          <w:fldChar w:fldCharType="end"/>
        </w:r>
      </w:hyperlink>
    </w:p>
    <w:p>
      <w:pPr>
        <w:pStyle w:val="TOC2"/>
        <w:tabs>
          <w:tab w:val="right" w:leader="dot" w:pos="8306"/>
        </w:tabs>
      </w:pPr>
      <w:hyperlink w:anchor="_Toc4135" w:history="1">
        <w:r>
          <w:rPr>
            <w:rFonts w:ascii="仿宋" w:eastAsia="仿宋" w:hAnsi="仿宋" w:cs="仿宋" w:hint="eastAsia"/>
            <w:lang w:eastAsia="zh-CN"/>
          </w:rPr>
          <w:t>(一)、绩效评估指标</w:t>
        </w:r>
        <w:r>
          <w:tab/>
        </w:r>
        <w:r>
          <w:fldChar w:fldCharType="begin"/>
        </w:r>
        <w:r>
          <w:instrText xml:space="preserve"> PAGEREF _Toc4135 \h </w:instrText>
        </w:r>
        <w:r>
          <w:fldChar w:fldCharType="separate"/>
        </w:r>
        <w:r>
          <w:t>9</w:t>
        </w:r>
        <w:r>
          <w:fldChar w:fldCharType="end"/>
        </w:r>
      </w:hyperlink>
    </w:p>
    <w:p>
      <w:pPr>
        <w:pStyle w:val="TOC2"/>
        <w:tabs>
          <w:tab w:val="right" w:leader="dot" w:pos="8306"/>
        </w:tabs>
      </w:pPr>
      <w:hyperlink w:anchor="_Toc6001" w:history="1">
        <w:r>
          <w:rPr>
            <w:rFonts w:ascii="仿宋" w:eastAsia="仿宋" w:hAnsi="仿宋" w:cs="仿宋" w:hint="eastAsia"/>
            <w:lang w:eastAsia="zh-CN"/>
          </w:rPr>
          <w:t>(二)、绩效评估方法</w:t>
        </w:r>
        <w:r>
          <w:tab/>
        </w:r>
        <w:r>
          <w:fldChar w:fldCharType="begin"/>
        </w:r>
        <w:r>
          <w:instrText xml:space="preserve"> PAGEREF _Toc6001 \h </w:instrText>
        </w:r>
        <w:r>
          <w:fldChar w:fldCharType="separate"/>
        </w:r>
        <w:r>
          <w:t>10</w:t>
        </w:r>
        <w:r>
          <w:fldChar w:fldCharType="end"/>
        </w:r>
      </w:hyperlink>
    </w:p>
    <w:p>
      <w:pPr>
        <w:pStyle w:val="TOC2"/>
        <w:tabs>
          <w:tab w:val="right" w:leader="dot" w:pos="8306"/>
        </w:tabs>
      </w:pPr>
      <w:hyperlink w:anchor="_Toc1632" w:history="1">
        <w:r>
          <w:rPr>
            <w:rFonts w:ascii="仿宋" w:eastAsia="仿宋" w:hAnsi="仿宋" w:cs="仿宋" w:hint="eastAsia"/>
            <w:lang w:eastAsia="zh-CN"/>
          </w:rPr>
          <w:t>(三)、绩效评估周期</w:t>
        </w:r>
        <w:r>
          <w:tab/>
        </w:r>
        <w:r>
          <w:fldChar w:fldCharType="begin"/>
        </w:r>
        <w:r>
          <w:instrText xml:space="preserve"> PAGEREF _Toc1632 \h </w:instrText>
        </w:r>
        <w:r>
          <w:fldChar w:fldCharType="separate"/>
        </w:r>
        <w:r>
          <w:t>11</w:t>
        </w:r>
        <w:r>
          <w:fldChar w:fldCharType="end"/>
        </w:r>
      </w:hyperlink>
    </w:p>
    <w:p>
      <w:pPr>
        <w:pStyle w:val="TOC1"/>
        <w:tabs>
          <w:tab w:val="right" w:leader="dot" w:pos="8306"/>
        </w:tabs>
      </w:pPr>
      <w:hyperlink w:anchor="_Toc32731" w:history="1">
        <w:r>
          <w:rPr>
            <w:rFonts w:ascii="仿宋" w:eastAsia="仿宋" w:hAnsi="仿宋" w:cs="仿宋" w:hint="eastAsia"/>
            <w:lang w:eastAsia="zh-CN"/>
          </w:rPr>
          <w:t>四、饲料级磷酸氢钙项目可持续发展</w:t>
        </w:r>
        <w:r>
          <w:tab/>
        </w:r>
        <w:r>
          <w:fldChar w:fldCharType="begin"/>
        </w:r>
        <w:r>
          <w:instrText xml:space="preserve"> PAGEREF _Toc32731 \h </w:instrText>
        </w:r>
        <w:r>
          <w:fldChar w:fldCharType="separate"/>
        </w:r>
        <w:r>
          <w:t>12</w:t>
        </w:r>
        <w:r>
          <w:fldChar w:fldCharType="end"/>
        </w:r>
      </w:hyperlink>
    </w:p>
    <w:p>
      <w:pPr>
        <w:pStyle w:val="TOC2"/>
        <w:tabs>
          <w:tab w:val="right" w:leader="dot" w:pos="8306"/>
        </w:tabs>
      </w:pPr>
      <w:hyperlink w:anchor="_Toc644" w:history="1">
        <w:r>
          <w:rPr>
            <w:rFonts w:ascii="仿宋" w:eastAsia="仿宋" w:hAnsi="仿宋" w:cs="仿宋" w:hint="eastAsia"/>
            <w:lang w:eastAsia="zh-CN"/>
          </w:rPr>
          <w:t>(一)、可持续战略与实践</w:t>
        </w:r>
        <w:r>
          <w:tab/>
        </w:r>
        <w:r>
          <w:fldChar w:fldCharType="begin"/>
        </w:r>
        <w:r>
          <w:instrText xml:space="preserve"> PAGEREF _Toc644 \h </w:instrText>
        </w:r>
        <w:r>
          <w:fldChar w:fldCharType="separate"/>
        </w:r>
        <w:r>
          <w:t>12</w:t>
        </w:r>
        <w:r>
          <w:fldChar w:fldCharType="end"/>
        </w:r>
      </w:hyperlink>
    </w:p>
    <w:p>
      <w:pPr>
        <w:pStyle w:val="TOC2"/>
        <w:tabs>
          <w:tab w:val="right" w:leader="dot" w:pos="8306"/>
        </w:tabs>
      </w:pPr>
      <w:hyperlink w:anchor="_Toc10094" w:history="1">
        <w:r>
          <w:rPr>
            <w:rFonts w:ascii="仿宋" w:eastAsia="仿宋" w:hAnsi="仿宋" w:cs="仿宋" w:hint="eastAsia"/>
            <w:lang w:eastAsia="zh-CN"/>
          </w:rPr>
          <w:t>(二)、环保与社会责任</w:t>
        </w:r>
        <w:r>
          <w:tab/>
        </w:r>
        <w:r>
          <w:fldChar w:fldCharType="begin"/>
        </w:r>
        <w:r>
          <w:instrText xml:space="preserve"> PAGEREF _Toc10094 \h </w:instrText>
        </w:r>
        <w:r>
          <w:fldChar w:fldCharType="separate"/>
        </w:r>
        <w:r>
          <w:t>13</w:t>
        </w:r>
        <w:r>
          <w:fldChar w:fldCharType="end"/>
        </w:r>
      </w:hyperlink>
    </w:p>
    <w:p>
      <w:pPr>
        <w:pStyle w:val="TOC1"/>
        <w:tabs>
          <w:tab w:val="right" w:leader="dot" w:pos="8306"/>
        </w:tabs>
      </w:pPr>
      <w:hyperlink w:anchor="_Toc880" w:history="1">
        <w:r>
          <w:rPr>
            <w:rFonts w:ascii="仿宋" w:eastAsia="仿宋" w:hAnsi="仿宋" w:cs="仿宋" w:hint="eastAsia"/>
            <w:lang w:eastAsia="zh-CN"/>
          </w:rPr>
          <w:t>五、饲料级磷酸氢钙项目建设单位说明</w:t>
        </w:r>
        <w:r>
          <w:tab/>
        </w:r>
        <w:r>
          <w:fldChar w:fldCharType="begin"/>
        </w:r>
        <w:r>
          <w:instrText xml:space="preserve"> PAGEREF _Toc880 \h </w:instrText>
        </w:r>
        <w:r>
          <w:fldChar w:fldCharType="separate"/>
        </w:r>
        <w:r>
          <w:t>14</w:t>
        </w:r>
        <w:r>
          <w:fldChar w:fldCharType="end"/>
        </w:r>
      </w:hyperlink>
    </w:p>
    <w:p>
      <w:pPr>
        <w:pStyle w:val="TOC2"/>
        <w:tabs>
          <w:tab w:val="right" w:leader="dot" w:pos="8306"/>
        </w:tabs>
      </w:pPr>
      <w:hyperlink w:anchor="_Toc23258" w:history="1">
        <w:r>
          <w:rPr>
            <w:rFonts w:ascii="仿宋" w:eastAsia="仿宋" w:hAnsi="仿宋" w:cs="仿宋" w:hint="eastAsia"/>
            <w:lang w:eastAsia="zh-CN"/>
          </w:rPr>
          <w:t>(一)、饲料级磷酸氢钙项目承办单位基本情况</w:t>
        </w:r>
        <w:r>
          <w:tab/>
        </w:r>
        <w:r>
          <w:fldChar w:fldCharType="begin"/>
        </w:r>
        <w:r>
          <w:instrText xml:space="preserve"> PAGEREF _Toc23258 \h </w:instrText>
        </w:r>
        <w:r>
          <w:fldChar w:fldCharType="separate"/>
        </w:r>
        <w:r>
          <w:t>14</w:t>
        </w:r>
        <w:r>
          <w:fldChar w:fldCharType="end"/>
        </w:r>
      </w:hyperlink>
    </w:p>
    <w:p>
      <w:pPr>
        <w:pStyle w:val="TOC2"/>
        <w:tabs>
          <w:tab w:val="right" w:leader="dot" w:pos="8306"/>
        </w:tabs>
      </w:pPr>
      <w:hyperlink w:anchor="_Toc28469" w:history="1">
        <w:r>
          <w:rPr>
            <w:rFonts w:ascii="仿宋" w:eastAsia="仿宋" w:hAnsi="仿宋" w:cs="仿宋" w:hint="eastAsia"/>
            <w:lang w:eastAsia="zh-CN"/>
          </w:rPr>
          <w:t>(二)、公司经济效益分析</w:t>
        </w:r>
        <w:r>
          <w:tab/>
        </w:r>
        <w:r>
          <w:fldChar w:fldCharType="begin"/>
        </w:r>
        <w:r>
          <w:instrText xml:space="preserve"> PAGEREF _Toc28469 \h </w:instrText>
        </w:r>
        <w:r>
          <w:fldChar w:fldCharType="separate"/>
        </w:r>
        <w:r>
          <w:t>15</w:t>
        </w:r>
        <w:r>
          <w:fldChar w:fldCharType="end"/>
        </w:r>
      </w:hyperlink>
    </w:p>
    <w:p>
      <w:pPr>
        <w:pStyle w:val="TOC1"/>
        <w:tabs>
          <w:tab w:val="right" w:leader="dot" w:pos="8306"/>
        </w:tabs>
      </w:pPr>
      <w:hyperlink w:anchor="_Toc2955" w:history="1">
        <w:r>
          <w:rPr>
            <w:rFonts w:ascii="仿宋" w:eastAsia="仿宋" w:hAnsi="仿宋" w:cs="仿宋" w:hint="eastAsia"/>
            <w:lang w:eastAsia="zh-CN"/>
          </w:rPr>
          <w:t>六、饲料级磷酸氢钙项目土建工程</w:t>
        </w:r>
        <w:r>
          <w:tab/>
        </w:r>
        <w:r>
          <w:fldChar w:fldCharType="begin"/>
        </w:r>
        <w:r>
          <w:instrText xml:space="preserve"> PAGEREF _Toc2955 \h </w:instrText>
        </w:r>
        <w:r>
          <w:fldChar w:fldCharType="separate"/>
        </w:r>
        <w:r>
          <w:t>16</w:t>
        </w:r>
        <w:r>
          <w:fldChar w:fldCharType="end"/>
        </w:r>
      </w:hyperlink>
    </w:p>
    <w:p>
      <w:pPr>
        <w:pStyle w:val="TOC2"/>
        <w:tabs>
          <w:tab w:val="right" w:leader="dot" w:pos="8306"/>
        </w:tabs>
      </w:pPr>
      <w:hyperlink w:anchor="_Toc28360" w:history="1">
        <w:r>
          <w:rPr>
            <w:rFonts w:ascii="仿宋" w:eastAsia="仿宋" w:hAnsi="仿宋" w:cs="仿宋" w:hint="eastAsia"/>
            <w:lang w:eastAsia="zh-CN"/>
          </w:rPr>
          <w:t>(一)、建筑工程设计原则</w:t>
        </w:r>
        <w:r>
          <w:tab/>
        </w:r>
        <w:r>
          <w:fldChar w:fldCharType="begin"/>
        </w:r>
        <w:r>
          <w:instrText xml:space="preserve"> PAGEREF _Toc28360 \h </w:instrText>
        </w:r>
        <w:r>
          <w:fldChar w:fldCharType="separate"/>
        </w:r>
        <w:r>
          <w:t>16</w:t>
        </w:r>
        <w:r>
          <w:fldChar w:fldCharType="end"/>
        </w:r>
      </w:hyperlink>
    </w:p>
    <w:p>
      <w:pPr>
        <w:pStyle w:val="TOC2"/>
        <w:tabs>
          <w:tab w:val="right" w:leader="dot" w:pos="8306"/>
        </w:tabs>
      </w:pPr>
      <w:hyperlink w:anchor="_Toc3849" w:history="1">
        <w:r>
          <w:rPr>
            <w:rFonts w:ascii="仿宋" w:eastAsia="仿宋" w:hAnsi="仿宋" w:cs="仿宋" w:hint="eastAsia"/>
            <w:lang w:eastAsia="zh-CN"/>
          </w:rPr>
          <w:t>(二)、土建工程设计年限及安全等级</w:t>
        </w:r>
        <w:r>
          <w:tab/>
        </w:r>
        <w:r>
          <w:fldChar w:fldCharType="begin"/>
        </w:r>
        <w:r>
          <w:instrText xml:space="preserve"> PAGEREF _Toc3849 \h </w:instrText>
        </w:r>
        <w:r>
          <w:fldChar w:fldCharType="separate"/>
        </w:r>
        <w:r>
          <w:t>17</w:t>
        </w:r>
        <w:r>
          <w:fldChar w:fldCharType="end"/>
        </w:r>
      </w:hyperlink>
    </w:p>
    <w:p>
      <w:pPr>
        <w:pStyle w:val="TOC2"/>
        <w:tabs>
          <w:tab w:val="right" w:leader="dot" w:pos="8306"/>
        </w:tabs>
      </w:pPr>
      <w:hyperlink w:anchor="_Toc14410" w:history="1">
        <w:r>
          <w:rPr>
            <w:rFonts w:ascii="仿宋" w:eastAsia="仿宋" w:hAnsi="仿宋" w:cs="仿宋" w:hint="eastAsia"/>
            <w:lang w:eastAsia="zh-CN"/>
          </w:rPr>
          <w:t>(三)、建筑工程设计总体要求</w:t>
        </w:r>
        <w:r>
          <w:tab/>
        </w:r>
        <w:r>
          <w:fldChar w:fldCharType="begin"/>
        </w:r>
        <w:r>
          <w:instrText xml:space="preserve"> PAGEREF _Toc14410 \h </w:instrText>
        </w:r>
        <w:r>
          <w:fldChar w:fldCharType="separate"/>
        </w:r>
        <w:r>
          <w:t>18</w:t>
        </w:r>
        <w:r>
          <w:fldChar w:fldCharType="end"/>
        </w:r>
      </w:hyperlink>
    </w:p>
    <w:p>
      <w:pPr>
        <w:pStyle w:val="TOC2"/>
        <w:tabs>
          <w:tab w:val="right" w:leader="dot" w:pos="8306"/>
        </w:tabs>
      </w:pPr>
      <w:hyperlink w:anchor="_Toc9899" w:history="1">
        <w:r>
          <w:rPr>
            <w:rFonts w:ascii="仿宋" w:eastAsia="仿宋" w:hAnsi="仿宋" w:cs="仿宋" w:hint="eastAsia"/>
            <w:lang w:eastAsia="zh-CN"/>
          </w:rPr>
          <w:t>(四)、土建工程建设指标</w:t>
        </w:r>
        <w:r>
          <w:tab/>
        </w:r>
        <w:r>
          <w:fldChar w:fldCharType="begin"/>
        </w:r>
        <w:r>
          <w:instrText xml:space="preserve"> PAGEREF _Toc9899 \h </w:instrText>
        </w:r>
        <w:r>
          <w:fldChar w:fldCharType="separate"/>
        </w:r>
        <w:r>
          <w:t>19</w:t>
        </w:r>
        <w:r>
          <w:fldChar w:fldCharType="end"/>
        </w:r>
      </w:hyperlink>
    </w:p>
    <w:p>
      <w:pPr>
        <w:pStyle w:val="TOC1"/>
        <w:tabs>
          <w:tab w:val="right" w:leader="dot" w:pos="8306"/>
        </w:tabs>
      </w:pPr>
      <w:hyperlink w:anchor="_Toc17550" w:history="1">
        <w:r>
          <w:rPr>
            <w:rFonts w:ascii="仿宋" w:eastAsia="仿宋" w:hAnsi="仿宋" w:cs="仿宋" w:hint="eastAsia"/>
            <w:lang w:eastAsia="zh-CN"/>
          </w:rPr>
          <w:t>七、饲料级磷酸氢钙项目投资规划</w:t>
        </w:r>
        <w:r>
          <w:tab/>
        </w:r>
        <w:r>
          <w:fldChar w:fldCharType="begin"/>
        </w:r>
        <w:r>
          <w:instrText xml:space="preserve"> PAGEREF _Toc17550 \h </w:instrText>
        </w:r>
        <w:r>
          <w:fldChar w:fldCharType="separate"/>
        </w:r>
        <w:r>
          <w:t>19</w:t>
        </w:r>
        <w:r>
          <w:fldChar w:fldCharType="end"/>
        </w:r>
      </w:hyperlink>
    </w:p>
    <w:p>
      <w:pPr>
        <w:pStyle w:val="TOC2"/>
        <w:tabs>
          <w:tab w:val="right" w:leader="dot" w:pos="8306"/>
        </w:tabs>
      </w:pPr>
      <w:hyperlink w:anchor="_Toc31106" w:history="1">
        <w:r>
          <w:rPr>
            <w:rFonts w:ascii="仿宋" w:eastAsia="仿宋" w:hAnsi="仿宋" w:cs="仿宋" w:hint="eastAsia"/>
            <w:lang w:eastAsia="zh-CN"/>
          </w:rPr>
          <w:t>(一)、饲料级磷酸氢钙项目总投资估算</w:t>
        </w:r>
        <w:r>
          <w:tab/>
        </w:r>
        <w:r>
          <w:fldChar w:fldCharType="begin"/>
        </w:r>
        <w:r>
          <w:instrText xml:space="preserve"> PAGEREF _Toc31106 \h </w:instrText>
        </w:r>
        <w:r>
          <w:fldChar w:fldCharType="separate"/>
        </w:r>
        <w:r>
          <w:t>19</w:t>
        </w:r>
        <w:r>
          <w:fldChar w:fldCharType="end"/>
        </w:r>
      </w:hyperlink>
    </w:p>
    <w:p>
      <w:pPr>
        <w:pStyle w:val="TOC2"/>
        <w:tabs>
          <w:tab w:val="right" w:leader="dot" w:pos="8306"/>
        </w:tabs>
      </w:pPr>
      <w:hyperlink w:anchor="_Toc4545" w:history="1">
        <w:r>
          <w:rPr>
            <w:rFonts w:ascii="仿宋" w:eastAsia="仿宋" w:hAnsi="仿宋" w:cs="仿宋" w:hint="eastAsia"/>
            <w:lang w:eastAsia="zh-CN"/>
          </w:rPr>
          <w:t>(二)、资金筹措</w:t>
        </w:r>
        <w:r>
          <w:tab/>
        </w:r>
        <w:r>
          <w:fldChar w:fldCharType="begin"/>
        </w:r>
        <w:r>
          <w:instrText xml:space="preserve"> PAGEREF _Toc4545 \h </w:instrText>
        </w:r>
        <w:r>
          <w:fldChar w:fldCharType="separate"/>
        </w:r>
        <w:r>
          <w:t>20</w:t>
        </w:r>
        <w:r>
          <w:fldChar w:fldCharType="end"/>
        </w:r>
      </w:hyperlink>
    </w:p>
    <w:p>
      <w:pPr>
        <w:pStyle w:val="TOC1"/>
        <w:tabs>
          <w:tab w:val="right" w:leader="dot" w:pos="8306"/>
        </w:tabs>
      </w:pPr>
      <w:hyperlink w:anchor="_Toc15070" w:history="1">
        <w:r>
          <w:rPr>
            <w:rFonts w:ascii="仿宋" w:eastAsia="仿宋" w:hAnsi="仿宋" w:cs="仿宋" w:hint="eastAsia"/>
            <w:lang w:eastAsia="zh-CN"/>
          </w:rPr>
          <w:t>八、饲料级磷酸氢钙项目技术管理</w:t>
        </w:r>
        <w:r>
          <w:tab/>
        </w:r>
        <w:r>
          <w:fldChar w:fldCharType="begin"/>
        </w:r>
        <w:r>
          <w:instrText xml:space="preserve"> PAGEREF _Toc15070 \h </w:instrText>
        </w:r>
        <w:r>
          <w:fldChar w:fldCharType="separate"/>
        </w:r>
        <w:r>
          <w:t>21</w:t>
        </w:r>
        <w:r>
          <w:fldChar w:fldCharType="end"/>
        </w:r>
      </w:hyperlink>
    </w:p>
    <w:p>
      <w:pPr>
        <w:pStyle w:val="TOC2"/>
        <w:tabs>
          <w:tab w:val="right" w:leader="dot" w:pos="8306"/>
        </w:tabs>
      </w:pPr>
      <w:hyperlink w:anchor="_Toc25700" w:history="1">
        <w:r>
          <w:rPr>
            <w:rFonts w:ascii="仿宋" w:eastAsia="仿宋" w:hAnsi="仿宋" w:cs="仿宋" w:hint="eastAsia"/>
            <w:lang w:eastAsia="zh-CN"/>
          </w:rPr>
          <w:t>(一)、技术方案选用方向</w:t>
        </w:r>
        <w:r>
          <w:tab/>
        </w:r>
        <w:r>
          <w:fldChar w:fldCharType="begin"/>
        </w:r>
        <w:r>
          <w:instrText xml:space="preserve"> PAGEREF _Toc25700 \h </w:instrText>
        </w:r>
        <w:r>
          <w:fldChar w:fldCharType="separate"/>
        </w:r>
        <w:r>
          <w:t>21</w:t>
        </w:r>
        <w:r>
          <w:fldChar w:fldCharType="end"/>
        </w:r>
      </w:hyperlink>
    </w:p>
    <w:p>
      <w:pPr>
        <w:pStyle w:val="TOC2"/>
        <w:tabs>
          <w:tab w:val="right" w:leader="dot" w:pos="8306"/>
        </w:tabs>
      </w:pPr>
      <w:hyperlink w:anchor="_Toc18925" w:history="1">
        <w:r>
          <w:rPr>
            <w:rFonts w:ascii="仿宋" w:eastAsia="仿宋" w:hAnsi="仿宋" w:cs="仿宋" w:hint="eastAsia"/>
            <w:lang w:eastAsia="zh-CN"/>
          </w:rPr>
          <w:t>(二)、工艺技术方案选用原则</w:t>
        </w:r>
        <w:r>
          <w:tab/>
        </w:r>
        <w:r>
          <w:fldChar w:fldCharType="begin"/>
        </w:r>
        <w:r>
          <w:instrText xml:space="preserve"> PAGEREF _Toc18925 \h </w:instrText>
        </w:r>
        <w:r>
          <w:fldChar w:fldCharType="separate"/>
        </w:r>
        <w:r>
          <w:t>23</w:t>
        </w:r>
        <w:r>
          <w:fldChar w:fldCharType="end"/>
        </w:r>
      </w:hyperlink>
    </w:p>
    <w:p>
      <w:pPr>
        <w:pStyle w:val="TOC2"/>
        <w:tabs>
          <w:tab w:val="right" w:leader="dot" w:pos="8306"/>
        </w:tabs>
      </w:pPr>
      <w:hyperlink w:anchor="_Toc16626" w:history="1">
        <w:r>
          <w:rPr>
            <w:rFonts w:ascii="仿宋" w:eastAsia="仿宋" w:hAnsi="仿宋" w:cs="仿宋" w:hint="eastAsia"/>
            <w:lang w:eastAsia="zh-CN"/>
          </w:rPr>
          <w:t>(三)、工艺技术方案要求</w:t>
        </w:r>
        <w:r>
          <w:tab/>
        </w:r>
        <w:r>
          <w:fldChar w:fldCharType="begin"/>
        </w:r>
        <w:r>
          <w:instrText xml:space="preserve"> PAGEREF _Toc16626 \h </w:instrText>
        </w:r>
        <w:r>
          <w:fldChar w:fldCharType="separate"/>
        </w:r>
        <w:r>
          <w:t>25</w:t>
        </w:r>
        <w:r>
          <w:fldChar w:fldCharType="end"/>
        </w:r>
      </w:hyperlink>
    </w:p>
    <w:p>
      <w:pPr>
        <w:pStyle w:val="TOC1"/>
        <w:tabs>
          <w:tab w:val="right" w:leader="dot" w:pos="8306"/>
        </w:tabs>
      </w:pPr>
      <w:hyperlink w:anchor="_Toc15156" w:history="1">
        <w:r>
          <w:rPr>
            <w:rFonts w:ascii="仿宋" w:eastAsia="仿宋" w:hAnsi="仿宋" w:cs="仿宋" w:hint="eastAsia"/>
            <w:lang w:eastAsia="zh-CN"/>
          </w:rPr>
          <w:t>九、饲料级磷酸氢钙项目创新与研发</w:t>
        </w:r>
        <w:r>
          <w:tab/>
        </w:r>
        <w:r>
          <w:fldChar w:fldCharType="begin"/>
        </w:r>
        <w:r>
          <w:instrText xml:space="preserve"> PAGEREF _Toc15156 \h </w:instrText>
        </w:r>
        <w:r>
          <w:fldChar w:fldCharType="separate"/>
        </w:r>
        <w:r>
          <w:t>27</w:t>
        </w:r>
        <w:r>
          <w:fldChar w:fldCharType="end"/>
        </w:r>
      </w:hyperlink>
    </w:p>
    <w:p>
      <w:pPr>
        <w:pStyle w:val="TOC2"/>
        <w:tabs>
          <w:tab w:val="right" w:leader="dot" w:pos="8306"/>
        </w:tabs>
      </w:pPr>
      <w:hyperlink w:anchor="_Toc27629" w:history="1">
        <w:r>
          <w:rPr>
            <w:rFonts w:ascii="仿宋" w:eastAsia="仿宋" w:hAnsi="仿宋" w:cs="仿宋" w:hint="eastAsia"/>
            <w:lang w:eastAsia="zh-CN"/>
          </w:rPr>
          <w:t>(一)、创新策略与方向</w:t>
        </w:r>
        <w:r>
          <w:tab/>
        </w:r>
        <w:r>
          <w:fldChar w:fldCharType="begin"/>
        </w:r>
        <w:r>
          <w:instrText xml:space="preserve"> PAGEREF _Toc27629 \h </w:instrText>
        </w:r>
        <w:r>
          <w:fldChar w:fldCharType="separate"/>
        </w:r>
        <w:r>
          <w:t>27</w:t>
        </w:r>
        <w:r>
          <w:fldChar w:fldCharType="end"/>
        </w:r>
      </w:hyperlink>
    </w:p>
    <w:p>
      <w:pPr>
        <w:pStyle w:val="TOC2"/>
        <w:tabs>
          <w:tab w:val="right" w:leader="dot" w:pos="8306"/>
        </w:tabs>
      </w:pPr>
      <w:hyperlink w:anchor="_Toc758" w:history="1">
        <w:r>
          <w:rPr>
            <w:rFonts w:ascii="仿宋" w:eastAsia="仿宋" w:hAnsi="仿宋" w:cs="仿宋" w:hint="eastAsia"/>
            <w:lang w:eastAsia="zh-CN"/>
          </w:rPr>
          <w:t>(二)、研发规划与投入</w:t>
        </w:r>
        <w:r>
          <w:tab/>
        </w:r>
        <w:r>
          <w:fldChar w:fldCharType="begin"/>
        </w:r>
        <w:r>
          <w:instrText xml:space="preserve"> PAGEREF _Toc758 \h </w:instrText>
        </w:r>
        <w:r>
          <w:fldChar w:fldCharType="separate"/>
        </w:r>
        <w:r>
          <w:t>29</w:t>
        </w:r>
        <w:r>
          <w:fldChar w:fldCharType="end"/>
        </w:r>
      </w:hyperlink>
    </w:p>
    <w:p>
      <w:pPr>
        <w:pStyle w:val="TOC1"/>
        <w:tabs>
          <w:tab w:val="right" w:leader="dot" w:pos="8306"/>
        </w:tabs>
      </w:pPr>
      <w:hyperlink w:anchor="_Toc27435" w:history="1">
        <w:r>
          <w:rPr>
            <w:rFonts w:ascii="仿宋" w:eastAsia="仿宋" w:hAnsi="仿宋" w:cs="仿宋" w:hint="eastAsia"/>
            <w:lang w:eastAsia="zh-CN"/>
          </w:rPr>
          <w:t>十、饲料级磷酸氢钙项目财务管理</w:t>
        </w:r>
        <w:r>
          <w:tab/>
        </w:r>
        <w:r>
          <w:fldChar w:fldCharType="begin"/>
        </w:r>
        <w:r>
          <w:instrText xml:space="preserve"> PAGEREF _Toc27435 \h </w:instrText>
        </w:r>
        <w:r>
          <w:fldChar w:fldCharType="separate"/>
        </w:r>
        <w:r>
          <w:t>30</w:t>
        </w:r>
        <w:r>
          <w:fldChar w:fldCharType="end"/>
        </w:r>
      </w:hyperlink>
    </w:p>
    <w:p>
      <w:pPr>
        <w:pStyle w:val="TOC2"/>
        <w:tabs>
          <w:tab w:val="right" w:leader="dot" w:pos="8306"/>
        </w:tabs>
      </w:pPr>
      <w:hyperlink w:anchor="_Toc28623" w:history="1">
        <w:r>
          <w:rPr>
            <w:rFonts w:ascii="仿宋" w:eastAsia="仿宋" w:hAnsi="仿宋" w:cs="仿宋" w:hint="eastAsia"/>
            <w:lang w:eastAsia="zh-CN"/>
          </w:rPr>
          <w:t>(一)、资金需求大</w:t>
        </w:r>
        <w:r>
          <w:tab/>
        </w:r>
        <w:r>
          <w:fldChar w:fldCharType="begin"/>
        </w:r>
        <w:r>
          <w:instrText xml:space="preserve"> PAGEREF _Toc28623 \h </w:instrText>
        </w:r>
        <w:r>
          <w:fldChar w:fldCharType="separate"/>
        </w:r>
        <w:r>
          <w:t>30</w:t>
        </w:r>
        <w:r>
          <w:fldChar w:fldCharType="end"/>
        </w:r>
      </w:hyperlink>
    </w:p>
    <w:p>
      <w:pPr>
        <w:pStyle w:val="TOC2"/>
        <w:tabs>
          <w:tab w:val="right" w:leader="dot" w:pos="8306"/>
        </w:tabs>
      </w:pPr>
      <w:hyperlink w:anchor="_Toc6797" w:history="1">
        <w:r>
          <w:rPr>
            <w:rFonts w:ascii="仿宋" w:eastAsia="仿宋" w:hAnsi="仿宋" w:cs="仿宋" w:hint="eastAsia"/>
            <w:lang w:eastAsia="zh-CN"/>
          </w:rPr>
          <w:t>(二)、研发周期长</w:t>
        </w:r>
        <w:r>
          <w:tab/>
        </w:r>
        <w:r>
          <w:fldChar w:fldCharType="begin"/>
        </w:r>
        <w:r>
          <w:instrText xml:space="preserve"> PAGEREF _Toc6797 \h </w:instrText>
        </w:r>
        <w:r>
          <w:fldChar w:fldCharType="separate"/>
        </w:r>
        <w:r>
          <w:t>32</w:t>
        </w:r>
        <w:r>
          <w:fldChar w:fldCharType="end"/>
        </w:r>
      </w:hyperlink>
    </w:p>
    <w:p>
      <w:pPr>
        <w:pStyle w:val="TOC2"/>
        <w:tabs>
          <w:tab w:val="right" w:leader="dot" w:pos="8306"/>
        </w:tabs>
      </w:pPr>
      <w:hyperlink w:anchor="_Toc24319" w:history="1">
        <w:r>
          <w:rPr>
            <w:rFonts w:ascii="仿宋" w:eastAsia="仿宋" w:hAnsi="仿宋" w:cs="仿宋" w:hint="eastAsia"/>
            <w:lang w:eastAsia="zh-CN"/>
          </w:rPr>
          <w:t>(三)、市场风险大</w:t>
        </w:r>
        <w:r>
          <w:tab/>
        </w:r>
        <w:r>
          <w:fldChar w:fldCharType="begin"/>
        </w:r>
        <w:r>
          <w:instrText xml:space="preserve"> PAGEREF _Toc24319 \h </w:instrText>
        </w:r>
        <w:r>
          <w:fldChar w:fldCharType="separate"/>
        </w:r>
        <w:r>
          <w:t>33</w:t>
        </w:r>
        <w:r>
          <w:fldChar w:fldCharType="end"/>
        </w:r>
      </w:hyperlink>
    </w:p>
    <w:p>
      <w:pPr>
        <w:pStyle w:val="TOC2"/>
        <w:tabs>
          <w:tab w:val="right" w:leader="dot" w:pos="8306"/>
        </w:tabs>
      </w:pPr>
      <w:hyperlink w:anchor="_Toc14231" w:history="1">
        <w:r>
          <w:rPr>
            <w:rFonts w:ascii="仿宋" w:eastAsia="仿宋" w:hAnsi="仿宋" w:cs="仿宋" w:hint="eastAsia"/>
            <w:lang w:eastAsia="zh-CN"/>
          </w:rPr>
          <w:t>(四)、利润率高</w:t>
        </w:r>
        <w:r>
          <w:tab/>
        </w:r>
        <w:r>
          <w:fldChar w:fldCharType="begin"/>
        </w:r>
        <w:r>
          <w:instrText xml:space="preserve"> PAGEREF _Toc14231 \h </w:instrText>
        </w:r>
        <w:r>
          <w:fldChar w:fldCharType="separate"/>
        </w:r>
        <w:r>
          <w:t>36</w:t>
        </w:r>
        <w:r>
          <w:fldChar w:fldCharType="end"/>
        </w:r>
      </w:hyperlink>
    </w:p>
    <w:p>
      <w:pPr>
        <w:pStyle w:val="TOC1"/>
        <w:tabs>
          <w:tab w:val="right" w:leader="dot" w:pos="8306"/>
        </w:tabs>
      </w:pPr>
      <w:hyperlink w:anchor="_Toc8252" w:history="1">
        <w:r>
          <w:rPr>
            <w:rFonts w:ascii="仿宋" w:eastAsia="仿宋" w:hAnsi="仿宋" w:cs="仿宋" w:hint="eastAsia"/>
            <w:lang w:eastAsia="zh-CN"/>
          </w:rPr>
          <w:t>十一、饲料级磷酸氢钙项目人力资源管理</w:t>
        </w:r>
        <w:r>
          <w:tab/>
        </w:r>
        <w:r>
          <w:fldChar w:fldCharType="begin"/>
        </w:r>
        <w:r>
          <w:instrText xml:space="preserve"> PAGEREF _Toc8252 \h </w:instrText>
        </w:r>
        <w:r>
          <w:fldChar w:fldCharType="separate"/>
        </w:r>
        <w:r>
          <w:t>38</w:t>
        </w:r>
        <w:r>
          <w:fldChar w:fldCharType="end"/>
        </w:r>
      </w:hyperlink>
    </w:p>
    <w:p>
      <w:pPr>
        <w:pStyle w:val="TOC2"/>
        <w:tabs>
          <w:tab w:val="right" w:leader="dot" w:pos="8306"/>
        </w:tabs>
      </w:pPr>
      <w:hyperlink w:anchor="_Toc8817" w:history="1">
        <w:r>
          <w:rPr>
            <w:rFonts w:ascii="仿宋" w:eastAsia="仿宋" w:hAnsi="仿宋" w:cs="仿宋" w:hint="eastAsia"/>
            <w:lang w:eastAsia="zh-CN"/>
          </w:rPr>
          <w:t>(一)、建立健全的预算管理制度</w:t>
        </w:r>
        <w:r>
          <w:tab/>
        </w:r>
        <w:r>
          <w:fldChar w:fldCharType="begin"/>
        </w:r>
        <w:r>
          <w:instrText xml:space="preserve"> PAGEREF _Toc8817 \h </w:instrText>
        </w:r>
        <w:r>
          <w:fldChar w:fldCharType="separate"/>
        </w:r>
        <w:r>
          <w:t>38</w:t>
        </w:r>
        <w:r>
          <w:fldChar w:fldCharType="end"/>
        </w:r>
      </w:hyperlink>
    </w:p>
    <w:p>
      <w:pPr>
        <w:pStyle w:val="TOC2"/>
        <w:tabs>
          <w:tab w:val="right" w:leader="dot" w:pos="8306"/>
        </w:tabs>
      </w:pPr>
      <w:hyperlink w:anchor="_Toc27921" w:history="1">
        <w:r>
          <w:rPr>
            <w:rFonts w:ascii="仿宋" w:eastAsia="仿宋" w:hAnsi="仿宋" w:cs="仿宋" w:hint="eastAsia"/>
            <w:lang w:eastAsia="zh-CN"/>
          </w:rPr>
          <w:t>(二)、加强资金流动监控</w:t>
        </w:r>
        <w:r>
          <w:tab/>
        </w:r>
        <w:r>
          <w:fldChar w:fldCharType="begin"/>
        </w:r>
        <w:r>
          <w:instrText xml:space="preserve"> PAGEREF _Toc27921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2" w:history="1">
        <w:r>
          <w:rPr>
            <w:rFonts w:ascii="仿宋" w:eastAsia="仿宋" w:hAnsi="仿宋" w:cs="仿宋" w:hint="eastAsia"/>
            <w:lang w:eastAsia="zh-CN"/>
          </w:rPr>
          <w:t>(三)、制定完善的风险控制机制</w:t>
        </w:r>
        <w:r>
          <w:tab/>
        </w:r>
        <w:r>
          <w:fldChar w:fldCharType="begin"/>
        </w:r>
        <w:r>
          <w:instrText xml:space="preserve"> PAGEREF _Toc18532 \h </w:instrText>
        </w:r>
        <w:r>
          <w:fldChar w:fldCharType="separate"/>
        </w:r>
        <w:r>
          <w:t>41</w:t>
        </w:r>
        <w:r>
          <w:fldChar w:fldCharType="end"/>
        </w:r>
      </w:hyperlink>
    </w:p>
    <w:p>
      <w:pPr>
        <w:pStyle w:val="TOC2"/>
        <w:tabs>
          <w:tab w:val="right" w:leader="dot" w:pos="8306"/>
        </w:tabs>
      </w:pPr>
      <w:hyperlink w:anchor="_Toc14340" w:history="1">
        <w:r>
          <w:rPr>
            <w:rFonts w:ascii="仿宋" w:eastAsia="仿宋" w:hAnsi="仿宋" w:cs="仿宋" w:hint="eastAsia"/>
            <w:lang w:eastAsia="zh-CN"/>
          </w:rPr>
          <w:t>(四)、优化成本管理</w:t>
        </w:r>
        <w:r>
          <w:tab/>
        </w:r>
        <w:r>
          <w:fldChar w:fldCharType="begin"/>
        </w:r>
        <w:r>
          <w:instrText xml:space="preserve"> PAGEREF _Toc14340 \h </w:instrText>
        </w:r>
        <w:r>
          <w:fldChar w:fldCharType="separate"/>
        </w:r>
        <w:r>
          <w:t>42</w:t>
        </w:r>
        <w:r>
          <w:fldChar w:fldCharType="end"/>
        </w:r>
      </w:hyperlink>
    </w:p>
    <w:p>
      <w:pPr>
        <w:pStyle w:val="TOC1"/>
        <w:tabs>
          <w:tab w:val="right" w:leader="dot" w:pos="8306"/>
        </w:tabs>
      </w:pPr>
      <w:hyperlink w:anchor="_Toc2768" w:history="1">
        <w:r>
          <w:rPr>
            <w:rFonts w:ascii="仿宋" w:eastAsia="仿宋" w:hAnsi="仿宋" w:cs="仿宋" w:hint="eastAsia"/>
            <w:lang w:eastAsia="zh-CN"/>
          </w:rPr>
          <w:t>十二、生产安全保护</w:t>
        </w:r>
        <w:r>
          <w:tab/>
        </w:r>
        <w:r>
          <w:fldChar w:fldCharType="begin"/>
        </w:r>
        <w:r>
          <w:instrText xml:space="preserve"> PAGEREF _Toc2768 \h </w:instrText>
        </w:r>
        <w:r>
          <w:fldChar w:fldCharType="separate"/>
        </w:r>
        <w:r>
          <w:t>43</w:t>
        </w:r>
        <w:r>
          <w:fldChar w:fldCharType="end"/>
        </w:r>
      </w:hyperlink>
    </w:p>
    <w:p>
      <w:pPr>
        <w:pStyle w:val="TOC2"/>
        <w:tabs>
          <w:tab w:val="right" w:leader="dot" w:pos="8306"/>
        </w:tabs>
      </w:pPr>
      <w:hyperlink w:anchor="_Toc31257" w:history="1">
        <w:r>
          <w:rPr>
            <w:rFonts w:ascii="仿宋" w:eastAsia="仿宋" w:hAnsi="仿宋" w:cs="仿宋" w:hint="eastAsia"/>
            <w:lang w:eastAsia="zh-CN"/>
          </w:rPr>
          <w:t>(一)、消防安全</w:t>
        </w:r>
        <w:r>
          <w:tab/>
        </w:r>
        <w:r>
          <w:fldChar w:fldCharType="begin"/>
        </w:r>
        <w:r>
          <w:instrText xml:space="preserve"> PAGEREF _Toc31257 \h </w:instrText>
        </w:r>
        <w:r>
          <w:fldChar w:fldCharType="separate"/>
        </w:r>
        <w:r>
          <w:t>43</w:t>
        </w:r>
        <w:r>
          <w:fldChar w:fldCharType="end"/>
        </w:r>
      </w:hyperlink>
    </w:p>
    <w:p>
      <w:pPr>
        <w:pStyle w:val="TOC2"/>
        <w:tabs>
          <w:tab w:val="right" w:leader="dot" w:pos="8306"/>
        </w:tabs>
      </w:pPr>
      <w:hyperlink w:anchor="_Toc20260" w:history="1">
        <w:r>
          <w:rPr>
            <w:rFonts w:ascii="仿宋" w:eastAsia="仿宋" w:hAnsi="仿宋" w:cs="仿宋" w:hint="eastAsia"/>
            <w:lang w:eastAsia="zh-CN"/>
          </w:rPr>
          <w:t>(二)、防火防爆总图布置措施</w:t>
        </w:r>
        <w:r>
          <w:tab/>
        </w:r>
        <w:r>
          <w:fldChar w:fldCharType="begin"/>
        </w:r>
        <w:r>
          <w:instrText xml:space="preserve"> PAGEREF _Toc20260 \h </w:instrText>
        </w:r>
        <w:r>
          <w:fldChar w:fldCharType="separate"/>
        </w:r>
        <w:r>
          <w:t>45</w:t>
        </w:r>
        <w:r>
          <w:fldChar w:fldCharType="end"/>
        </w:r>
      </w:hyperlink>
    </w:p>
    <w:p>
      <w:pPr>
        <w:pStyle w:val="TOC2"/>
        <w:tabs>
          <w:tab w:val="right" w:leader="dot" w:pos="8306"/>
        </w:tabs>
      </w:pPr>
      <w:hyperlink w:anchor="_Toc6525" w:history="1">
        <w:r>
          <w:rPr>
            <w:rFonts w:ascii="仿宋" w:eastAsia="仿宋" w:hAnsi="仿宋" w:cs="仿宋" w:hint="eastAsia"/>
            <w:lang w:eastAsia="zh-CN"/>
          </w:rPr>
          <w:t>(三)、自然灾害防范措施</w:t>
        </w:r>
        <w:r>
          <w:tab/>
        </w:r>
        <w:r>
          <w:fldChar w:fldCharType="begin"/>
        </w:r>
        <w:r>
          <w:instrText xml:space="preserve"> PAGEREF _Toc6525 \h </w:instrText>
        </w:r>
        <w:r>
          <w:fldChar w:fldCharType="separate"/>
        </w:r>
        <w:r>
          <w:t>46</w:t>
        </w:r>
        <w:r>
          <w:fldChar w:fldCharType="end"/>
        </w:r>
      </w:hyperlink>
    </w:p>
    <w:p>
      <w:pPr>
        <w:pStyle w:val="TOC2"/>
        <w:tabs>
          <w:tab w:val="right" w:leader="dot" w:pos="8306"/>
        </w:tabs>
      </w:pPr>
      <w:hyperlink w:anchor="_Toc1904" w:history="1">
        <w:r>
          <w:rPr>
            <w:rFonts w:ascii="仿宋" w:eastAsia="仿宋" w:hAnsi="仿宋" w:cs="仿宋" w:hint="eastAsia"/>
            <w:lang w:eastAsia="zh-CN"/>
          </w:rPr>
          <w:t>(四)、安全色及安全标志使用要求</w:t>
        </w:r>
        <w:r>
          <w:tab/>
        </w:r>
        <w:r>
          <w:fldChar w:fldCharType="begin"/>
        </w:r>
        <w:r>
          <w:instrText xml:space="preserve"> PAGEREF _Toc1904 \h </w:instrText>
        </w:r>
        <w:r>
          <w:fldChar w:fldCharType="separate"/>
        </w:r>
        <w:r>
          <w:t>47</w:t>
        </w:r>
        <w:r>
          <w:fldChar w:fldCharType="end"/>
        </w:r>
      </w:hyperlink>
    </w:p>
    <w:p>
      <w:pPr>
        <w:pStyle w:val="TOC2"/>
        <w:tabs>
          <w:tab w:val="right" w:leader="dot" w:pos="8306"/>
        </w:tabs>
      </w:pPr>
      <w:hyperlink w:anchor="_Toc6737" w:history="1">
        <w:r>
          <w:rPr>
            <w:rFonts w:ascii="仿宋" w:eastAsia="仿宋" w:hAnsi="仿宋" w:cs="仿宋" w:hint="eastAsia"/>
            <w:lang w:eastAsia="zh-CN"/>
          </w:rPr>
          <w:t>(五)、防尘防毒措施</w:t>
        </w:r>
        <w:r>
          <w:tab/>
        </w:r>
        <w:r>
          <w:fldChar w:fldCharType="begin"/>
        </w:r>
        <w:r>
          <w:instrText xml:space="preserve"> PAGEREF _Toc6737 \h </w:instrText>
        </w:r>
        <w:r>
          <w:fldChar w:fldCharType="separate"/>
        </w:r>
        <w:r>
          <w:t>48</w:t>
        </w:r>
        <w:r>
          <w:fldChar w:fldCharType="end"/>
        </w:r>
      </w:hyperlink>
    </w:p>
    <w:p>
      <w:pPr>
        <w:pStyle w:val="TOC2"/>
        <w:tabs>
          <w:tab w:val="right" w:leader="dot" w:pos="8306"/>
        </w:tabs>
      </w:pPr>
      <w:hyperlink w:anchor="_Toc16500" w:history="1">
        <w:r>
          <w:rPr>
            <w:rFonts w:ascii="仿宋" w:eastAsia="仿宋" w:hAnsi="仿宋" w:cs="仿宋" w:hint="eastAsia"/>
            <w:lang w:eastAsia="zh-CN"/>
          </w:rPr>
          <w:t>(六)、防静电、触电防护及防雷措施</w:t>
        </w:r>
        <w:r>
          <w:tab/>
        </w:r>
        <w:r>
          <w:fldChar w:fldCharType="begin"/>
        </w:r>
        <w:r>
          <w:instrText xml:space="preserve"> PAGEREF _Toc16500 \h </w:instrText>
        </w:r>
        <w:r>
          <w:fldChar w:fldCharType="separate"/>
        </w:r>
        <w:r>
          <w:t>49</w:t>
        </w:r>
        <w:r>
          <w:fldChar w:fldCharType="end"/>
        </w:r>
      </w:hyperlink>
    </w:p>
    <w:p>
      <w:pPr>
        <w:pStyle w:val="TOC2"/>
        <w:tabs>
          <w:tab w:val="right" w:leader="dot" w:pos="8306"/>
        </w:tabs>
      </w:pPr>
      <w:hyperlink w:anchor="_Toc4838" w:history="1">
        <w:r>
          <w:rPr>
            <w:rFonts w:ascii="仿宋" w:eastAsia="仿宋" w:hAnsi="仿宋" w:cs="仿宋" w:hint="eastAsia"/>
            <w:lang w:eastAsia="zh-CN"/>
          </w:rPr>
          <w:t>(七)、机械设备安全保障措施</w:t>
        </w:r>
        <w:r>
          <w:tab/>
        </w:r>
        <w:r>
          <w:fldChar w:fldCharType="begin"/>
        </w:r>
        <w:r>
          <w:instrText xml:space="preserve"> PAGEREF _Toc4838 \h </w:instrText>
        </w:r>
        <w:r>
          <w:fldChar w:fldCharType="separate"/>
        </w:r>
        <w:r>
          <w:t>50</w:t>
        </w:r>
        <w:r>
          <w:fldChar w:fldCharType="end"/>
        </w:r>
      </w:hyperlink>
    </w:p>
    <w:p>
      <w:pPr>
        <w:pStyle w:val="TOC1"/>
        <w:tabs>
          <w:tab w:val="right" w:leader="dot" w:pos="8306"/>
        </w:tabs>
      </w:pPr>
      <w:hyperlink w:anchor="_Toc26987" w:history="1">
        <w:r>
          <w:rPr>
            <w:rFonts w:ascii="仿宋" w:eastAsia="仿宋" w:hAnsi="仿宋" w:cs="仿宋" w:hint="eastAsia"/>
            <w:lang w:eastAsia="zh-CN"/>
          </w:rPr>
          <w:t>十三、营销与推广策略</w:t>
        </w:r>
        <w:r>
          <w:tab/>
        </w:r>
        <w:r>
          <w:fldChar w:fldCharType="begin"/>
        </w:r>
        <w:r>
          <w:instrText xml:space="preserve"> PAGEREF _Toc26987 \h </w:instrText>
        </w:r>
        <w:r>
          <w:fldChar w:fldCharType="separate"/>
        </w:r>
        <w:r>
          <w:t>52</w:t>
        </w:r>
        <w:r>
          <w:fldChar w:fldCharType="end"/>
        </w:r>
      </w:hyperlink>
    </w:p>
    <w:p>
      <w:pPr>
        <w:pStyle w:val="TOC2"/>
        <w:tabs>
          <w:tab w:val="right" w:leader="dot" w:pos="8306"/>
        </w:tabs>
      </w:pPr>
      <w:hyperlink w:anchor="_Toc26364" w:history="1">
        <w:r>
          <w:rPr>
            <w:rFonts w:ascii="仿宋" w:eastAsia="仿宋" w:hAnsi="仿宋" w:cs="仿宋" w:hint="eastAsia"/>
            <w:lang w:eastAsia="zh-CN"/>
          </w:rPr>
          <w:t>(一)、产品/服务定位与特点</w:t>
        </w:r>
        <w:r>
          <w:tab/>
        </w:r>
        <w:r>
          <w:fldChar w:fldCharType="begin"/>
        </w:r>
        <w:r>
          <w:instrText xml:space="preserve"> PAGEREF _Toc26364 \h </w:instrText>
        </w:r>
        <w:r>
          <w:fldChar w:fldCharType="separate"/>
        </w:r>
        <w:r>
          <w:t>52</w:t>
        </w:r>
        <w:r>
          <w:fldChar w:fldCharType="end"/>
        </w:r>
      </w:hyperlink>
    </w:p>
    <w:p>
      <w:pPr>
        <w:pStyle w:val="TOC2"/>
        <w:tabs>
          <w:tab w:val="right" w:leader="dot" w:pos="8306"/>
        </w:tabs>
      </w:pPr>
      <w:hyperlink w:anchor="_Toc27356" w:history="1">
        <w:r>
          <w:rPr>
            <w:rFonts w:ascii="仿宋" w:eastAsia="仿宋" w:hAnsi="仿宋" w:cs="仿宋" w:hint="eastAsia"/>
            <w:lang w:eastAsia="zh-CN"/>
          </w:rPr>
          <w:t>(二)、市场定位与竞争分析</w:t>
        </w:r>
        <w:r>
          <w:tab/>
        </w:r>
        <w:r>
          <w:fldChar w:fldCharType="begin"/>
        </w:r>
        <w:r>
          <w:instrText xml:space="preserve"> PAGEREF _Toc27356 \h </w:instrText>
        </w:r>
        <w:r>
          <w:fldChar w:fldCharType="separate"/>
        </w:r>
        <w:r>
          <w:t>53</w:t>
        </w:r>
        <w:r>
          <w:fldChar w:fldCharType="end"/>
        </w:r>
      </w:hyperlink>
    </w:p>
    <w:p>
      <w:pPr>
        <w:pStyle w:val="TOC2"/>
        <w:tabs>
          <w:tab w:val="right" w:leader="dot" w:pos="8306"/>
        </w:tabs>
      </w:pPr>
      <w:hyperlink w:anchor="_Toc10675" w:history="1">
        <w:r>
          <w:rPr>
            <w:rFonts w:ascii="仿宋" w:eastAsia="仿宋" w:hAnsi="仿宋" w:cs="仿宋" w:hint="eastAsia"/>
            <w:lang w:eastAsia="zh-CN"/>
          </w:rPr>
          <w:t>(三)、营销渠道与策略</w:t>
        </w:r>
        <w:r>
          <w:tab/>
        </w:r>
        <w:r>
          <w:fldChar w:fldCharType="begin"/>
        </w:r>
        <w:r>
          <w:instrText xml:space="preserve"> PAGEREF _Toc10675 \h </w:instrText>
        </w:r>
        <w:r>
          <w:fldChar w:fldCharType="separate"/>
        </w:r>
        <w:r>
          <w:t>55</w:t>
        </w:r>
        <w:r>
          <w:fldChar w:fldCharType="end"/>
        </w:r>
      </w:hyperlink>
    </w:p>
    <w:p>
      <w:pPr>
        <w:pStyle w:val="TOC2"/>
        <w:tabs>
          <w:tab w:val="right" w:leader="dot" w:pos="8306"/>
        </w:tabs>
      </w:pPr>
      <w:hyperlink w:anchor="_Toc3379" w:history="1">
        <w:r>
          <w:rPr>
            <w:rFonts w:ascii="仿宋" w:eastAsia="仿宋" w:hAnsi="仿宋" w:cs="仿宋" w:hint="eastAsia"/>
            <w:lang w:eastAsia="zh-CN"/>
          </w:rPr>
          <w:t>(四)、推广与宣传活动</w:t>
        </w:r>
        <w:r>
          <w:tab/>
        </w:r>
        <w:r>
          <w:fldChar w:fldCharType="begin"/>
        </w:r>
        <w:r>
          <w:instrText xml:space="preserve"> PAGEREF _Toc3379 \h </w:instrText>
        </w:r>
        <w:r>
          <w:fldChar w:fldCharType="separate"/>
        </w:r>
        <w:r>
          <w:t>56</w:t>
        </w:r>
        <w:r>
          <w:fldChar w:fldCharType="end"/>
        </w:r>
      </w:hyperlink>
    </w:p>
    <w:p>
      <w:pPr>
        <w:pStyle w:val="TOC1"/>
        <w:tabs>
          <w:tab w:val="right" w:leader="dot" w:pos="8306"/>
        </w:tabs>
      </w:pPr>
      <w:hyperlink w:anchor="_Toc17494" w:history="1">
        <w:r>
          <w:rPr>
            <w:rFonts w:ascii="仿宋" w:eastAsia="仿宋" w:hAnsi="仿宋" w:cs="仿宋" w:hint="eastAsia"/>
            <w:lang w:eastAsia="zh-CN"/>
          </w:rPr>
          <w:t>十四、饲料级磷酸氢钙项目工程方案分析</w:t>
        </w:r>
        <w:r>
          <w:tab/>
        </w:r>
        <w:r>
          <w:fldChar w:fldCharType="begin"/>
        </w:r>
        <w:r>
          <w:instrText xml:space="preserve"> PAGEREF _Toc17494 \h </w:instrText>
        </w:r>
        <w:r>
          <w:fldChar w:fldCharType="separate"/>
        </w:r>
        <w:r>
          <w:t>61</w:t>
        </w:r>
        <w:r>
          <w:fldChar w:fldCharType="end"/>
        </w:r>
      </w:hyperlink>
    </w:p>
    <w:p>
      <w:pPr>
        <w:pStyle w:val="TOC2"/>
        <w:tabs>
          <w:tab w:val="right" w:leader="dot" w:pos="8306"/>
        </w:tabs>
      </w:pPr>
      <w:hyperlink w:anchor="_Toc29943" w:history="1">
        <w:r>
          <w:rPr>
            <w:rFonts w:ascii="仿宋" w:eastAsia="仿宋" w:hAnsi="仿宋" w:cs="仿宋" w:hint="eastAsia"/>
            <w:lang w:eastAsia="zh-CN"/>
          </w:rPr>
          <w:t>(一)、建筑工程设计原则</w:t>
        </w:r>
        <w:r>
          <w:tab/>
        </w:r>
        <w:r>
          <w:fldChar w:fldCharType="begin"/>
        </w:r>
        <w:r>
          <w:instrText xml:space="preserve"> PAGEREF _Toc29943 \h </w:instrText>
        </w:r>
        <w:r>
          <w:fldChar w:fldCharType="separate"/>
        </w:r>
        <w:r>
          <w:t>61</w:t>
        </w:r>
        <w:r>
          <w:fldChar w:fldCharType="end"/>
        </w:r>
      </w:hyperlink>
    </w:p>
    <w:p>
      <w:pPr>
        <w:pStyle w:val="TOC2"/>
        <w:tabs>
          <w:tab w:val="right" w:leader="dot" w:pos="8306"/>
        </w:tabs>
      </w:pPr>
      <w:hyperlink w:anchor="_Toc12326" w:history="1">
        <w:r>
          <w:rPr>
            <w:rFonts w:ascii="仿宋" w:eastAsia="仿宋" w:hAnsi="仿宋" w:cs="仿宋" w:hint="eastAsia"/>
            <w:lang w:eastAsia="zh-CN"/>
          </w:rPr>
          <w:t>(二)、土建工程建设指标</w:t>
        </w:r>
        <w:r>
          <w:tab/>
        </w:r>
        <w:r>
          <w:fldChar w:fldCharType="begin"/>
        </w:r>
        <w:r>
          <w:instrText xml:space="preserve"> PAGEREF _Toc12326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24"/>
      <w:r>
        <w:rPr>
          <w:rFonts w:ascii="仿宋" w:eastAsia="仿宋" w:hAnsi="仿宋" w:cs="仿宋" w:hint="eastAsia"/>
          <w:sz w:val="28"/>
          <w:lang w:eastAsia="zh-CN"/>
        </w:rPr>
        <w:t>一、饲料级磷酸氢钙项目危机管理</w:t>
      </w:r>
      <w:bookmarkEnd w:id="2"/>
    </w:p>
    <w:p>
      <w:pPr>
        <w:pStyle w:val="Heading2"/>
        <w:rPr>
          <w:rFonts w:ascii="仿宋" w:eastAsia="仿宋" w:hAnsi="仿宋" w:cs="仿宋" w:hint="eastAsia"/>
          <w:lang w:eastAsia="zh-CN"/>
        </w:rPr>
      </w:pPr>
      <w:bookmarkStart w:id="3" w:name="_Toc145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危机管理中，危机预警与识别是确保饲料级磷酸氢钙项目稳健运行的核心步骤。通过建立全面的监测机制，饲料级磷酸氢钙项目团队旨在及时发现和理解潜在的风险和危机因素，以便采取及时的预防和应对措施，确保饲料级磷酸氢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饲料级磷酸氢钙项目团队全面分析了整个饲料级磷酸氢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饲料级磷酸氢钙项目团队着重于明确定义饲料级磷酸氢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饲料级磷酸氢钙项目进展的持续监控，团队能够及时发现潜在问题并作出迅速反应。饲料级磷酸氢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在这一阶段，团队的专业素养和反应速度将发挥至关重要的作用，以确保潜在危机能够在初期得到有效的处理，最大程度地减轻负面影响。通过危机预警与识别，饲料级磷酸氢钙项目得以更有序、可控地推进。</w:t>
      </w:r>
    </w:p>
    <w:p>
      <w:pPr>
        <w:pStyle w:val="Heading2"/>
        <w:ind w:firstLine="560" w:firstLineChars="200"/>
        <w:rPr>
          <w:rFonts w:ascii="仿宋" w:eastAsia="仿宋" w:hAnsi="仿宋" w:cs="仿宋" w:hint="eastAsia"/>
          <w:sz w:val="28"/>
          <w:lang w:eastAsia="zh-CN"/>
        </w:rPr>
      </w:pPr>
      <w:bookmarkStart w:id="4" w:name="_Toc653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在危机发生时，饲料级磷酸氢钙项目团队立即行动，成立了应急小组。该小组的任务是迅速制定并实施紧急应对措施，以最小化潜在损失。以下是采取的主要措施：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暂停饲料级磷酸氢钙项目进度：为遏制危机蔓延，饲料级磷酸氢钙项目暂时停止进行，以便全面评估当前状况。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资源重新分配：重新评估饲料级磷酸氢钙项目资源的分配，确保最大限度地减小损失。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实时沟通：与关键利益相关者建立实时沟通机制，向他们传递饲料级磷酸氢钙项目危机的实际状况，保障饲料级磷酸氢钙项目核心利益。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在紧急应对的同时，饲料级磷酸氢钙项目团队强调了团队协作和有效沟通的重要性。以下是团队协作的关键举措：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信息共享机制：建立了信息共享平台，确保团队成员能够及时获取饲料级磷酸氢钙项目危机的实时信息。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领导者沟通：饲料级磷酸氢钙项目领导者通过定期会议和即时沟通工具，指导团队应对危机，保持团队稳定运行。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随着危机得到初步控制，饲料级磷酸氢钙项目团队转向制定恢复计划，以确保饲料级磷酸氢钙项目能够从中迅速恢复。主要恢复计划包括：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修复受损的进度计划：重新评估饲料级磷酸氢钙项目进度，制定修复计划，确保饲料级磷酸氢钙项目尽快回归正常进程。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重新调整资源分配：优化资源分配，确保饲料级磷酸氢钙项目在有限资源下高效运转。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风险管理机制加强：对饲料级磷酸氢钙项目风险进行全面评估，制定更强化的风险管理策略，以预防未来可能的危机。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734"/>
      <w:r>
        <w:rPr>
          <w:rFonts w:ascii="仿宋" w:eastAsia="仿宋" w:hAnsi="仿宋" w:cs="仿宋" w:hint="eastAsia"/>
          <w:sz w:val="28"/>
          <w:lang w:eastAsia="zh-CN"/>
        </w:rPr>
        <w:t>二、饲料级磷酸氢钙项目文档管理</w:t>
      </w:r>
      <w:bookmarkEnd w:id="5"/>
    </w:p>
    <w:p>
      <w:pPr>
        <w:pStyle w:val="Heading2"/>
        <w:rPr>
          <w:rFonts w:ascii="仿宋" w:eastAsia="仿宋" w:hAnsi="仿宋" w:cs="仿宋" w:hint="eastAsia"/>
          <w:lang w:eastAsia="zh-CN"/>
        </w:rPr>
      </w:pPr>
      <w:bookmarkStart w:id="6" w:name="_Toc2146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饲料级磷酸氢钙项目高度重视文档的质量和准确性，以支持饲料级磷酸氢钙项目的各项活动和决策。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文档的编制始于饲料级磷酸氢钙项目计划的初期，我们制定了详细的文档编制计划，明确了每个文档的内容、格式和编写责任人。在饲料级磷酸氢钙项目启动阶段，我们首先编制了饲料级磷酸氢钙项目章程，明确定义了饲料级磷酸氢钙项目的目标、范围、风险等关键要素。随后，饲料级磷酸氢钙项目团队根据计划陆续编制了需求文档、设计文档、测试文档等各类文档，确保饲料级磷酸氢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饲料级磷酸氢钙项目管理中的重要环节，旨在确保饲料级磷酸氢钙项目文档符合质量标准和饲料级磷酸氢钙项目需求。在饲料级磷酸氢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饲料级磷酸氢钙项目相关利益方和专业领域的专家对文档进行独立审查。这有助于获取更全面、客观的反馈，确保饲料级磷酸氢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饲料级磷酸氢钙项目在文档编制与审查方面建立了严格的管理机制，通过规范的流程和多维度的审查，确保饲料级磷酸氢钙项目文档的质量、准确性和可靠性，为饲料级磷酸氢钙项目的顺利推进提供了有力支持。</w:t>
      </w:r>
    </w:p>
    <w:p>
      <w:pPr>
        <w:pStyle w:val="Heading2"/>
        <w:ind w:firstLine="560" w:firstLineChars="200"/>
        <w:rPr>
          <w:rFonts w:ascii="仿宋" w:eastAsia="仿宋" w:hAnsi="仿宋" w:cs="仿宋" w:hint="eastAsia"/>
          <w:sz w:val="28"/>
          <w:lang w:eastAsia="zh-CN"/>
        </w:rPr>
      </w:pPr>
      <w:bookmarkStart w:id="7" w:name="_Toc2567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我们通过多渠道发布文档，包括电子邮件、饲料级磷酸氢钙项目管理平台、内部网站等，以满足不同团队成员的偏好和需求。多渠道发布确保了信息的全面覆盖。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我们采用了精细的权限控制，确保只有授权人员可以访问敏感信息。这种安全措施保护了饲料级磷酸氢钙项目文档的机密性，防止了未经授权的信息泄露。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04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饲料级磷酸氢钙项目生命周期中一个至关重要的环节，直接关系到饲料级磷酸氢钙项目信息的长期保存和历史记录的完整性。在饲料级磷酸氢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226"/>
      <w:r>
        <w:rPr>
          <w:rFonts w:ascii="仿宋" w:eastAsia="仿宋" w:hAnsi="仿宋" w:cs="仿宋" w:hint="eastAsia"/>
          <w:sz w:val="28"/>
          <w:lang w:eastAsia="zh-CN"/>
        </w:rPr>
        <w:t>三、饲料级磷酸氢钙项目绩效评估</w:t>
      </w:r>
      <w:bookmarkEnd w:id="9"/>
    </w:p>
    <w:p>
      <w:pPr>
        <w:pStyle w:val="Heading2"/>
        <w:rPr>
          <w:rFonts w:ascii="仿宋" w:eastAsia="仿宋" w:hAnsi="仿宋" w:cs="仿宋" w:hint="eastAsia"/>
          <w:lang w:eastAsia="zh-CN"/>
        </w:rPr>
      </w:pPr>
      <w:bookmarkStart w:id="10" w:name="_Toc413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中，我们设计了一套全面的绩效评估指标，以确保饲料级磷酸氢钙项目的可控和成功交付。这些指标跨足饲料级磷酸氢钙项目目标、成本、进度和质量等多个维度，为我们提供了全面洞察饲料级磷酸氢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目标达成率是我们关注的首要指标。我们设定了明确的目标，并通过定期监测和评估，迅速发现并应对潜在的目标偏差。这为饲料级磷酸氢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成本绩效是另一个核心关注点。通过实际成本与预算成本的对比分析，我们深入了解成本差异的原因，及时调整资源分配，保持饲料级磷酸氢钙项目在经济效益方面的合理水平。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进度作为关键的绩效指标之一，得到了精心的关注。我们制定了详细的饲料级磷酸氢钙项目进度计划，并设立了进度符合度指标，确保实际进度与计划进度保持一致。这使我们能够快速发现和解决潜在的进度问题，保持饲料级磷酸氢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饲料级磷酸氢钙项目绩效的不可或缺的一环。我们引入了一系列的质量标准和客户满意度指标，以确保饲料级磷酸氢钙项目交付的成果在质量上达到或超越预期水平。通过持续监测这些指标，我们努力提升饲料级磷酸氢钙项目整体质量水平，为饲料级磷酸氢钙项目的成功交付提供有力保障。通过这些科学且全面的绩效评估，我们能够更好地引导饲料级磷酸氢钙项目的持续改进，确保饲料级磷酸氢钙项目目标的顺利达成。</w:t>
      </w:r>
    </w:p>
    <w:p>
      <w:pPr>
        <w:pStyle w:val="Heading2"/>
        <w:ind w:firstLine="560" w:firstLineChars="200"/>
        <w:rPr>
          <w:rFonts w:ascii="仿宋" w:eastAsia="仿宋" w:hAnsi="仿宋" w:cs="仿宋" w:hint="eastAsia"/>
          <w:sz w:val="28"/>
          <w:lang w:eastAsia="zh-CN"/>
        </w:rPr>
      </w:pPr>
      <w:bookmarkStart w:id="11" w:name="_Toc600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绩效评估是饲料级磷酸氢钙项目中的关键环节，为确保饲料级磷酸氢钙项目达到预期目标，我们采用了多层次、多维度的绩效评估方法。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饲料级磷酸氢钙项目的战略目标对齐，确保每个决策和行动都与饲料级磷酸氢钙项目整体目标保持一致。团队会定期召开战略对齐会议，审视当前工作与饲料级磷酸氢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饲料级磷酸氢钙项目进度、质量、成本和风险等方面。这些指标通过数据收集和分析，为饲料级磷酸氢钙项目管理团队提供了客观的评估依据。例如，我们通过饲料级磷酸氢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饲料级磷酸氢钙项目内部，还考虑了饲料级磷酸氢钙项目对外部环境的影响。我们定期进行干系人满意度调查，以了解各利益相关方对饲料级磷酸氢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这种多层次、多角度的绩效评估方法，使得我们能够全面了解饲料级磷酸氢钙项目的运行状态，及时做出调整，确保饲料级磷酸氢钙项目在不断变化的环境中保持稳健前行。</w:t>
      </w:r>
    </w:p>
    <w:p>
      <w:pPr>
        <w:pStyle w:val="Heading2"/>
        <w:ind w:firstLine="560" w:firstLineChars="200"/>
        <w:rPr>
          <w:rFonts w:ascii="仿宋" w:eastAsia="仿宋" w:hAnsi="仿宋" w:cs="仿宋" w:hint="eastAsia"/>
          <w:sz w:val="28"/>
          <w:lang w:eastAsia="zh-CN"/>
        </w:rPr>
      </w:pPr>
      <w:bookmarkStart w:id="12" w:name="_Toc1632"/>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为了确保饲料级磷酸氢钙项目的有效管理和不断优化，我们采用了精心设计的绩效评估周期。这个周期旨在实现灵活、实时和全面的评估，以适应饲料级磷酸氢钙项目执行中的各种挑战。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饲料级磷酸氢钙项目的不同需求，分为短期、中期和长期。短期评估关注每个迭代或工作周期，以及时发现和解决当前任务中的问题。中期评估涵盖几个迭代，深入了解整体饲料级磷酸氢钙项目的趋势和性能。长期评估则着眼于整个饲料级磷酸氢钙项目阶段，确保饲料级磷酸氢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饲料级磷酸氢钙项目管理工具和协作平台，团队成员能够随时更新和分享饲料级磷酸氢钙项目数据。这种实时性的反馈机制使我们能够及时察觉潜在问题，快速调整，保持饲料级磷酸氢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饲料级磷酸氢钙项目的决策制定密不可分。每个周期的饲料级磷酸氢钙项目回顾会议成为集体总结经验、识别问题深层次原因并找到创新解决方案的平台。这种定期的反思与调整机制使饲料级磷酸氢钙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2731"/>
      <w:r>
        <w:rPr>
          <w:rFonts w:ascii="仿宋" w:eastAsia="仿宋" w:hAnsi="仿宋" w:cs="仿宋" w:hint="eastAsia"/>
          <w:sz w:val="28"/>
          <w:lang w:eastAsia="zh-CN"/>
        </w:rPr>
        <w:t>四、饲料级磷酸氢钙项目可持续发展</w:t>
      </w:r>
      <w:bookmarkEnd w:id="13"/>
    </w:p>
    <w:p>
      <w:pPr>
        <w:pStyle w:val="Heading2"/>
        <w:rPr>
          <w:rFonts w:ascii="仿宋" w:eastAsia="仿宋" w:hAnsi="仿宋" w:cs="仿宋" w:hint="eastAsia"/>
          <w:lang w:eastAsia="zh-CN"/>
        </w:rPr>
      </w:pPr>
      <w:bookmarkStart w:id="14" w:name="_Toc64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中，饲料级磷酸氢钙项目团队着眼于未来，明确了可持续发展的战略方向。制定的具体可持续发展目标包括降低资源使用、采用环保技术、最大化社会效益等。这一步骤不仅有助于饲料级磷酸氢钙项目在环保和社会责任方面达到最高标准，也为未来提供了明确的指引，确保饲料级磷酸氢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可持续实践的融入饲料级磷酸氢钙项目管理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饲料级磷酸氢钙项目管理周期。从饲料级磷酸氢钙项目规划开始，饲料级磷酸氢钙项目团队就考虑了环境和社会的因素。在执行阶段，饲料级磷酸氢钙项目团队积极推动绿色技术的应用，优化资源利用。此外，关注员工的社会责任，通过培训和沟通活动提高员工对可持续发展的认知，使他们能够在日常工作中践行可持续实践。这些举措不仅为饲料级磷酸氢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009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扎根于饲料级磷酸氢钙项目的可持续发展理念，我们深信环保与社会责任是饲料级磷酸氢钙项目成功的关键支柱。在饲料级磷酸氢钙项目的每一步，我们都致力于通过创新和实践，履行对环境和社会的坚定责任。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团队通过引入先进的环保技术、建立高效的废物处理系统以及推动能源节约措施，积极履行环保责任。定期的环保监测和评估确保饲料级磷酸氢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氢钙项目不仅致力于自身可持续发展，还注重对社会的回馈。通过支持社区饲料级磷酸氢钙项目、参与慈善事业、提供培训机会等方式，饲料级磷酸氢钙项目积极履行社会责任。与当地社区建立积极互动，关注员工的工作与生活平衡，以及员工的身心健康，是饲料级磷酸氢钙项目在社会责任层面的关键举措。这样的实践不仅增强了饲料级磷酸氢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880"/>
      <w:r>
        <w:rPr>
          <w:rFonts w:ascii="仿宋" w:eastAsia="仿宋" w:hAnsi="仿宋" w:cs="仿宋" w:hint="eastAsia"/>
          <w:sz w:val="28"/>
          <w:lang w:eastAsia="zh-CN"/>
        </w:rPr>
        <w:t>五、饲料级磷酸氢钙项目建设单位说明</w:t>
      </w:r>
      <w:bookmarkEnd w:id="16"/>
    </w:p>
    <w:p>
      <w:pPr>
        <w:pStyle w:val="Heading2"/>
        <w:rPr>
          <w:rFonts w:ascii="仿宋" w:eastAsia="仿宋" w:hAnsi="仿宋" w:cs="仿宋" w:hint="eastAsia"/>
          <w:lang w:eastAsia="zh-CN"/>
        </w:rPr>
      </w:pPr>
      <w:bookmarkStart w:id="17" w:name="_Toc23258"/>
      <w:r>
        <w:rPr>
          <w:rFonts w:ascii="仿宋" w:eastAsia="仿宋" w:hAnsi="仿宋" w:cs="仿宋" w:hint="eastAsia"/>
          <w:lang w:eastAsia="zh-CN"/>
        </w:rPr>
        <w:t>(一)、饲料级磷酸氢钙项目承办单位基本情况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846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饲料级磷酸氢钙项目承办单位的XXXX，我们着眼于实现可持续的经济效益。通过技术创新和解决方案的提供，公司预计在饲料级磷酸氢钙项目执行期间将获得可观的收入增长。这一收入来源主要包括饲料级磷酸氢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同时，我们注重成本控制和效率提升，以确保饲料级磷酸氢钙项目的可持续盈利。透过精细的管理和资源优化，公司期望实现饲料级磷酸氢钙项目利润最大化。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饲料级磷酸氢钙项目实施进行全面的投资评估，包括饲料级磷酸氢钙项目启动阶段的资金投入和后续运营成本。通过对饲料级磷酸氢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饲料级磷酸氢钙项目实施过程中具备足够的资金流动性，公司将进行详尽的现金流分析。这包括资金需求的合理预测、饲料级磷酸氢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955"/>
      <w:r>
        <w:rPr>
          <w:rFonts w:ascii="仿宋" w:eastAsia="仿宋" w:hAnsi="仿宋" w:cs="仿宋" w:hint="eastAsia"/>
          <w:sz w:val="28"/>
          <w:lang w:eastAsia="zh-CN"/>
        </w:rPr>
        <w:t>六、饲料级磷酸氢钙项目土建工程</w:t>
      </w:r>
      <w:bookmarkEnd w:id="19"/>
    </w:p>
    <w:p>
      <w:pPr>
        <w:pStyle w:val="Heading2"/>
        <w:rPr>
          <w:rFonts w:ascii="仿宋" w:eastAsia="仿宋" w:hAnsi="仿宋" w:cs="仿宋" w:hint="eastAsia"/>
          <w:lang w:eastAsia="zh-CN"/>
        </w:rPr>
      </w:pPr>
      <w:bookmarkStart w:id="20" w:name="_Toc28360"/>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在饲料级磷酸氢钙项目的建筑工程设计中，我们将秉承一系列重要的设计原则，以确保饲料级磷酸氢钙项目建筑在功能、美观、可持续性等方面达到最佳效果。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首要原则是确保建筑的功能性得到最大化的发挥。我们将充分理解饲料级磷酸氢钙项目的实际需求，合理布局各个功能区域，保证建筑在满足业务需求的同时，提供高效的工作环境。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https://d.book118.com/416113240155010042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饲料级磷酸氢钙项目规划设计蓝图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65066C"/>
    <w:rsid w:val="24650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11324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2024-01-30T14:43:00Z</dcterms:created>
  <dcterms:modified xsi:type="dcterms:W3CDTF">2024-01-30T14:43:15Z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5BB5A9290DF64633BEDD7C6A5364EB15_11</vt:lpwstr>
  </property>
  <property fmtid="{D5CDD505-2E9C-101B-9397-08002B2CF9AE}" pid="3" name="KSOProductBuildVer">
    <vt:lpwstr>2052-12.1.0.16250</vt:lpwstr>
  </property>
</Properties>
</file>