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175"/>
        <w:ind w:left="0" w:right="8620" w:firstLine="0"/>
        <w:jc w:val="right"/>
        <w:rPr>
          <w:rFonts w:ascii="黑体" w:eastAsia="黑体" w:hint="eastAsia"/>
          <w:b/>
          <w:sz w:val="29"/>
        </w:rPr>
      </w:pPr>
      <w:r>
        <w:rPr>
          <w:rFonts w:ascii="黑体" w:eastAsia="黑体" w:hint="eastAsia"/>
          <w:b/>
          <w:w w:val="95"/>
          <w:sz w:val="29"/>
        </w:rPr>
        <w:t>车用尿素水溶液工程</w:t>
      </w: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spacing w:before="10"/>
        <w:rPr>
          <w:rFonts w:ascii="黑体"/>
          <w:b/>
          <w:sz w:val="36"/>
        </w:rPr>
      </w:pPr>
    </w:p>
    <w:p>
      <w:pPr>
        <w:spacing w:before="0"/>
        <w:ind w:left="0" w:right="8587" w:firstLine="0"/>
        <w:jc w:val="right"/>
        <w:rPr>
          <w:rFonts w:ascii="黑体" w:eastAsia="黑体" w:hint="eastAsia"/>
          <w:b/>
          <w:sz w:val="29"/>
        </w:rPr>
      </w:pPr>
      <w:r>
        <w:rPr>
          <w:rFonts w:ascii="黑体" w:eastAsia="黑体" w:hint="eastAsia"/>
          <w:b/>
          <w:w w:val="95"/>
          <w:sz w:val="29"/>
        </w:rPr>
        <w:t>投资合作方案</w:t>
      </w: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rPr>
          <w:rFonts w:ascii="黑体"/>
          <w:b/>
          <w:sz w:val="28"/>
        </w:rPr>
      </w:pPr>
    </w:p>
    <w:p>
      <w:pPr>
        <w:pStyle w:val="BodyText"/>
        <w:spacing w:before="3"/>
        <w:rPr>
          <w:rFonts w:ascii="黑体"/>
          <w:b/>
          <w:sz w:val="21"/>
        </w:rPr>
      </w:pPr>
    </w:p>
    <w:p>
      <w:pPr>
        <w:spacing w:before="0"/>
        <w:ind w:left="4060" w:right="0" w:firstLine="0"/>
        <w:jc w:val="left"/>
        <w:rPr>
          <w:sz w:val="29"/>
        </w:rPr>
      </w:pPr>
      <w:r>
        <w:rPr>
          <w:sz w:val="29"/>
        </w:rPr>
        <w:t>投资合作方案参考模板，仅供参考</w:t>
      </w:r>
    </w:p>
    <w:p>
      <w:pPr>
        <w:spacing w:after="0"/>
        <w:jc w:val="left"/>
        <w:rPr>
          <w:sz w:val="29"/>
        </w:rPr>
        <w:sectPr>
          <w:headerReference w:type="even" r:id="rId4"/>
          <w:headerReference w:type="default" r:id="rId5"/>
          <w:type w:val="continuous"/>
          <w:pgSz w:w="18360" w:h="23760"/>
          <w:pgMar w:top="2260" w:right="1200" w:bottom="280" w:left="1520" w:header="869" w:footer="708"/>
          <w:cols w:space="708"/>
        </w:sectPr>
      </w:pPr>
    </w:p>
    <w:p>
      <w:pPr>
        <w:pStyle w:val="BodyText"/>
        <w:spacing w:before="21"/>
        <w:ind w:left="4004" w:right="4326"/>
        <w:jc w:val="center"/>
        <w:rPr>
          <w:rFonts w:ascii="幼圆" w:eastAsia="幼圆" w:hint="eastAsia"/>
        </w:rPr>
      </w:pPr>
      <w:r>
        <w:rPr>
          <w:rFonts w:ascii="幼圆" w:eastAsia="幼圆" w:hint="eastAsia"/>
          <w:w w:val="95"/>
        </w:rPr>
        <w:t>摘要</w:t>
      </w:r>
    </w:p>
    <w:p>
      <w:pPr>
        <w:pStyle w:val="BodyText"/>
        <w:spacing w:before="422"/>
        <w:ind w:left="1180"/>
      </w:pPr>
      <w:r>
        <w:rPr>
          <w:w w:val="95"/>
        </w:rPr>
        <w:t>该车用尿素水溶液工程打算总投资</w:t>
      </w:r>
      <w:r>
        <w:rPr>
          <w:spacing w:val="231"/>
        </w:rPr>
        <w:t xml:space="preserve"> </w:t>
      </w:r>
      <w:r>
        <w:rPr>
          <w:w w:val="95"/>
        </w:rPr>
        <w:t>11037.75</w:t>
      </w:r>
      <w:r>
        <w:rPr>
          <w:spacing w:val="18"/>
          <w:w w:val="95"/>
        </w:rPr>
        <w:t xml:space="preserve"> 万元，其中：固定资</w:t>
      </w:r>
    </w:p>
    <w:p>
      <w:pPr>
        <w:pStyle w:val="BodyText"/>
        <w:spacing w:before="422" w:line="405" w:lineRule="auto"/>
        <w:ind w:left="280" w:right="836"/>
      </w:pPr>
      <w:r>
        <w:rPr>
          <w:spacing w:val="5"/>
          <w:w w:val="95"/>
        </w:rPr>
        <w:t xml:space="preserve">产投资 </w:t>
      </w:r>
      <w:r>
        <w:rPr>
          <w:w w:val="95"/>
        </w:rPr>
        <w:t>7927.18</w:t>
      </w:r>
      <w:r>
        <w:rPr>
          <w:spacing w:val="3"/>
          <w:w w:val="95"/>
        </w:rPr>
        <w:t xml:space="preserve"> 万元，占工程总投资的 </w:t>
      </w:r>
      <w:r>
        <w:rPr>
          <w:w w:val="95"/>
        </w:rPr>
        <w:t>71.82</w:t>
      </w:r>
      <w:r>
        <w:rPr>
          <w:spacing w:val="3"/>
          <w:w w:val="95"/>
        </w:rPr>
        <w:t xml:space="preserve">%；流淌资金 </w:t>
      </w:r>
      <w:r>
        <w:rPr>
          <w:w w:val="95"/>
        </w:rPr>
        <w:t>3110.57</w:t>
      </w:r>
      <w:r>
        <w:rPr>
          <w:spacing w:val="10"/>
          <w:w w:val="95"/>
        </w:rPr>
        <w:t xml:space="preserve"> 万</w:t>
      </w:r>
      <w:r>
        <w:rPr>
          <w:spacing w:val="-9"/>
          <w:w w:val="95"/>
        </w:rPr>
        <w:t xml:space="preserve">元，占工程总投资的 </w:t>
      </w:r>
      <w:r>
        <w:rPr>
          <w:w w:val="95"/>
        </w:rPr>
        <w:t>28.18%。</w:t>
      </w:r>
    </w:p>
    <w:p>
      <w:pPr>
        <w:pStyle w:val="BodyText"/>
        <w:spacing w:line="613" w:lineRule="exact"/>
        <w:ind w:left="1180"/>
      </w:pPr>
      <w:r>
        <w:rPr>
          <w:spacing w:val="7"/>
          <w:w w:val="95"/>
        </w:rPr>
        <w:t xml:space="preserve">达产年营业收入 </w:t>
      </w:r>
      <w:r>
        <w:rPr>
          <w:w w:val="95"/>
        </w:rPr>
        <w:t>24566.00</w:t>
      </w:r>
      <w:r>
        <w:rPr>
          <w:spacing w:val="10"/>
          <w:w w:val="95"/>
        </w:rPr>
        <w:t xml:space="preserve"> 万元，总本钱费用 </w:t>
      </w:r>
      <w:r>
        <w:rPr>
          <w:w w:val="95"/>
        </w:rPr>
        <w:t>18678.90</w:t>
      </w:r>
      <w:r>
        <w:rPr>
          <w:spacing w:val="8"/>
          <w:w w:val="95"/>
        </w:rPr>
        <w:t xml:space="preserve"> 万元，税</w:t>
      </w:r>
    </w:p>
    <w:p>
      <w:pPr>
        <w:pStyle w:val="BodyText"/>
        <w:spacing w:before="423"/>
        <w:ind w:left="280"/>
      </w:pPr>
      <w:r>
        <w:rPr>
          <w:spacing w:val="1"/>
          <w:w w:val="95"/>
        </w:rPr>
        <w:t xml:space="preserve">金及附加 </w:t>
      </w:r>
      <w:r>
        <w:rPr>
          <w:w w:val="95"/>
        </w:rPr>
        <w:t>217.79</w:t>
      </w:r>
      <w:r>
        <w:rPr>
          <w:spacing w:val="1"/>
          <w:w w:val="95"/>
        </w:rPr>
        <w:t xml:space="preserve"> 万元，利润总额 </w:t>
      </w:r>
      <w:r>
        <w:rPr>
          <w:w w:val="95"/>
        </w:rPr>
        <w:t>5887.10</w:t>
      </w:r>
      <w:r>
        <w:rPr>
          <w:spacing w:val="1"/>
          <w:w w:val="95"/>
        </w:rPr>
        <w:t xml:space="preserve"> 万元，利税总额 </w:t>
      </w:r>
      <w:r>
        <w:rPr>
          <w:w w:val="95"/>
        </w:rPr>
        <w:t>6916.90</w:t>
      </w:r>
      <w:r>
        <w:rPr>
          <w:spacing w:val="2"/>
          <w:w w:val="95"/>
        </w:rPr>
        <w:t xml:space="preserve"> 万</w:t>
      </w:r>
    </w:p>
    <w:p>
      <w:pPr>
        <w:pStyle w:val="BodyText"/>
        <w:spacing w:before="422" w:line="405" w:lineRule="auto"/>
        <w:ind w:left="280" w:right="596"/>
      </w:pPr>
      <w:r>
        <w:rPr>
          <w:spacing w:val="5"/>
          <w:w w:val="95"/>
        </w:rPr>
        <w:t xml:space="preserve">元，税后净利润 </w:t>
      </w:r>
      <w:r>
        <w:rPr>
          <w:w w:val="95"/>
        </w:rPr>
        <w:t>4415.33</w:t>
      </w:r>
      <w:r>
        <w:rPr>
          <w:spacing w:val="4"/>
          <w:w w:val="95"/>
        </w:rPr>
        <w:t xml:space="preserve"> 万元，达产年纳税总额 </w:t>
      </w:r>
      <w:r>
        <w:rPr>
          <w:w w:val="95"/>
        </w:rPr>
        <w:t>2501.58</w:t>
      </w:r>
      <w:r>
        <w:rPr>
          <w:spacing w:val="4"/>
          <w:w w:val="95"/>
        </w:rPr>
        <w:t xml:space="preserve"> 万元；达产年</w:t>
      </w:r>
      <w:r>
        <w:rPr>
          <w:spacing w:val="19"/>
          <w:w w:val="95"/>
        </w:rPr>
        <w:t xml:space="preserve">投资利润率 </w:t>
      </w:r>
      <w:r>
        <w:rPr>
          <w:w w:val="95"/>
        </w:rPr>
        <w:t>53.34</w:t>
      </w:r>
      <w:r>
        <w:rPr>
          <w:spacing w:val="13"/>
          <w:w w:val="95"/>
        </w:rPr>
        <w:t xml:space="preserve">%，投资利税率 </w:t>
      </w:r>
      <w:r>
        <w:rPr>
          <w:w w:val="95"/>
        </w:rPr>
        <w:t>62.67</w:t>
      </w:r>
      <w:r>
        <w:rPr>
          <w:spacing w:val="14"/>
          <w:w w:val="95"/>
        </w:rPr>
        <w:t xml:space="preserve">%，投资回报率 </w:t>
      </w:r>
      <w:r>
        <w:rPr>
          <w:w w:val="95"/>
        </w:rPr>
        <w:t>40.00%，全部投</w:t>
      </w:r>
      <w:r>
        <w:rPr>
          <w:spacing w:val="-18"/>
          <w:w w:val="95"/>
        </w:rPr>
        <w:t xml:space="preserve">资回收期 </w:t>
      </w:r>
      <w:r>
        <w:rPr>
          <w:w w:val="95"/>
        </w:rPr>
        <w:t>4.00</w:t>
      </w:r>
      <w:r>
        <w:rPr>
          <w:spacing w:val="-21"/>
          <w:w w:val="95"/>
        </w:rPr>
        <w:t xml:space="preserve"> 年，供给就业职位 </w:t>
      </w:r>
      <w:r>
        <w:rPr>
          <w:w w:val="95"/>
        </w:rPr>
        <w:t>479</w:t>
      </w:r>
      <w:r>
        <w:rPr>
          <w:spacing w:val="-34"/>
          <w:w w:val="95"/>
        </w:rPr>
        <w:t xml:space="preserve"> 个。</w:t>
      </w:r>
    </w:p>
    <w:p>
      <w:pPr>
        <w:pStyle w:val="BodyText"/>
        <w:spacing w:line="405" w:lineRule="auto"/>
        <w:ind w:left="280" w:right="995" w:firstLine="900"/>
        <w:jc w:val="both"/>
      </w:pPr>
      <w:r>
        <w:t>工程建设要符合国家“综合利用”的原则。工程承办单位要充分</w:t>
      </w:r>
      <w:r>
        <w:rPr>
          <w:w w:val="95"/>
        </w:rPr>
        <w:t>利用国家对工程产品生产供给的各种有利条件，综合利用企业技术资</w:t>
      </w:r>
      <w:r>
        <w:rPr>
          <w:spacing w:val="2"/>
          <w:w w:val="95"/>
        </w:rPr>
        <w:t xml:space="preserve"> </w:t>
      </w:r>
      <w:r>
        <w:rPr>
          <w:w w:val="95"/>
        </w:rPr>
        <w:t>源，充分发挥当地社会经济进展优势、人力资源优势，区位进展优势</w:t>
      </w:r>
      <w:r>
        <w:rPr>
          <w:spacing w:val="2"/>
          <w:w w:val="95"/>
        </w:rPr>
        <w:t xml:space="preserve"> </w:t>
      </w:r>
      <w:r>
        <w:rPr>
          <w:w w:val="95"/>
        </w:rPr>
        <w:t>以及配套关心设施等有利条件，尽量降低工程建设本钱，到达节约投</w:t>
      </w:r>
      <w:r>
        <w:rPr>
          <w:spacing w:val="1"/>
          <w:w w:val="95"/>
        </w:rPr>
        <w:t xml:space="preserve"> </w:t>
      </w:r>
      <w:r>
        <w:t>资、缩短工期的目的。</w:t>
      </w:r>
    </w:p>
    <w:p>
      <w:pPr>
        <w:pStyle w:val="BodyText"/>
        <w:spacing w:line="405" w:lineRule="auto"/>
        <w:ind w:left="280" w:right="995" w:firstLine="900"/>
        <w:jc w:val="both"/>
      </w:pPr>
      <w:r>
        <w:t>本车用尿素水溶液工程报告所描述的投资预算及财务收益预评估</w:t>
      </w:r>
      <w:r>
        <w:rPr>
          <w:w w:val="95"/>
        </w:rPr>
        <w:t>基于一个动态的环境和对将来推测的不确定性，因此，可能会因时间</w:t>
      </w:r>
      <w:r>
        <w:rPr>
          <w:spacing w:val="1"/>
          <w:w w:val="95"/>
        </w:rPr>
        <w:t xml:space="preserve"> </w:t>
      </w:r>
      <w:r>
        <w:t>或其他因素的变化而导致与将来发生的事实不完全全都。</w:t>
      </w:r>
    </w:p>
    <w:p>
      <w:pPr>
        <w:spacing w:after="0" w:line="405" w:lineRule="auto"/>
        <w:jc w:val="both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https://d.book118.com/417004110123006025</w:t>
        </w:r>
      </w:hyperlink>
    </w:p>
    <w:p>
      <w:pPr>
        <w:spacing w:after="0" w:line="405" w:lineRule="auto"/>
        <w:jc w:val="both"/>
      </w:pPr>
    </w:p>
    <w:sectPr>
      <w:headerReference w:type="even" r:id="rId7"/>
      <w:headerReference w:type="default" r:id="rId8"/>
      <w:pgSz w:w="18360" w:h="23760"/>
      <w:pgMar w:top="2260" w:right="1200" w:bottom="280" w:left="1520" w:header="869" w:footer="0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10.75pt;height:16.95pt;margin-top:42.45pt;margin-left:89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39" w:lineRule="exact"/>
                  <w:ind w:left="20" w:right="0" w:firstLine="0"/>
                  <w:jc w:val="left"/>
                  <w:rPr>
                    <w:sz w:val="30"/>
                  </w:rPr>
                </w:pPr>
              </w:p>
            </w:txbxContent>
          </v:textbox>
        </v:shape>
      </w:pict>
    </w:r>
    <w:r>
      <w:pict>
        <v:shape id="_x0000_s2050" type="#_x0000_t202" style="width:226.1pt;height:16.95pt;margin-top:42.45pt;margin-left:220.43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39" w:lineRule="exact"/>
                  <w:ind w:left="20" w:right="0" w:firstLine="0"/>
                  <w:jc w:val="left"/>
                  <w:rPr>
                    <w:sz w:val="30"/>
                  </w:rPr>
                </w:pPr>
                <w:r>
                  <w:rPr>
                    <w:w w:val="95"/>
                    <w:sz w:val="30"/>
                  </w:rPr>
                  <w:t>车用尿素水溶液工程投资合作方案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10.75pt;height:16.95pt;margin-top:42.45pt;margin-left:89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39" w:lineRule="exact"/>
                  <w:ind w:left="20" w:right="0" w:firstLine="0"/>
                  <w:jc w:val="left"/>
                  <w:rPr>
                    <w:sz w:val="30"/>
                  </w:rPr>
                </w:pPr>
              </w:p>
            </w:txbxContent>
          </v:textbox>
        </v:shape>
      </w:pict>
    </w:r>
    <w:r>
      <w:pict>
        <v:shape id="_x0000_s2052" type="#_x0000_t202" style="width:226.1pt;height:16.95pt;margin-top:42.45pt;margin-left:220.43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39" w:lineRule="exact"/>
                  <w:ind w:left="20" w:right="0" w:firstLine="0"/>
                  <w:jc w:val="left"/>
                  <w:rPr>
                    <w:sz w:val="30"/>
                  </w:rPr>
                </w:pPr>
                <w:r>
                  <w:rPr>
                    <w:w w:val="95"/>
                    <w:sz w:val="30"/>
                  </w:rPr>
                  <w:t>车用尿素水溶液工程投资合作方案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110.75pt;height:16.95pt;margin-top:42.45pt;margin-left:89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39" w:lineRule="exact"/>
                  <w:ind w:left="20" w:right="0" w:firstLine="0"/>
                  <w:jc w:val="left"/>
                  <w:rPr>
                    <w:sz w:val="30"/>
                  </w:rPr>
                </w:pPr>
              </w:p>
            </w:txbxContent>
          </v:textbox>
        </v:shape>
      </w:pict>
    </w:r>
    <w:r>
      <w:pict>
        <v:shape id="_x0000_s2054" type="#_x0000_t202" style="width:226.1pt;height:16.95pt;margin-top:42.45pt;margin-left:220.43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39" w:lineRule="exact"/>
                  <w:ind w:left="20" w:right="0" w:firstLine="0"/>
                  <w:jc w:val="left"/>
                  <w:rPr>
                    <w:sz w:val="30"/>
                  </w:rPr>
                </w:pPr>
                <w:r>
                  <w:rPr>
                    <w:w w:val="95"/>
                    <w:sz w:val="30"/>
                  </w:rPr>
                  <w:t>车用尿素水溶液工程投资合作方案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110.75pt;height:16.95pt;margin-top:42.45pt;margin-left:89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39" w:lineRule="exact"/>
                  <w:ind w:left="20" w:right="0" w:firstLine="0"/>
                  <w:jc w:val="left"/>
                  <w:rPr>
                    <w:sz w:val="30"/>
                  </w:rPr>
                </w:pPr>
              </w:p>
            </w:txbxContent>
          </v:textbox>
        </v:shape>
      </w:pict>
    </w:r>
    <w:r>
      <w:pict>
        <v:shape id="_x0000_s2056" type="#_x0000_t202" style="width:226.1pt;height:16.95pt;margin-top:42.45pt;margin-left:220.43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39" w:lineRule="exact"/>
                  <w:ind w:left="20" w:right="0" w:firstLine="0"/>
                  <w:jc w:val="left"/>
                  <w:rPr>
                    <w:sz w:val="30"/>
                  </w:rPr>
                </w:pPr>
                <w:r>
                  <w:rPr>
                    <w:w w:val="95"/>
                    <w:sz w:val="30"/>
                  </w:rPr>
                  <w:t>车用尿素水溶液工程投资合作方案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48"/>
      <w:szCs w:val="48"/>
    </w:rPr>
  </w:style>
  <w:style w:type="paragraph" w:customStyle="1" w:styleId="Heading1">
    <w:name w:val="Heading 1"/>
    <w:basedOn w:val="Normal"/>
    <w:uiPriority w:val="1"/>
    <w:qFormat/>
    <w:pPr>
      <w:ind w:left="1180"/>
      <w:outlineLvl w:val="1"/>
    </w:pPr>
    <w:rPr>
      <w:rFonts w:ascii="仿宋" w:eastAsia="仿宋" w:hAnsi="仿宋" w:cs="仿宋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58"/>
      <w:ind w:left="50"/>
    </w:pPr>
    <w:rPr>
      <w:rFonts w:ascii="仿宋" w:eastAsia="仿宋" w:hAnsi="仿宋" w:cs="仿宋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yperlink" Target="https://d.book118.com/417004110123006025" TargetMode="External" /><Relationship Id="rId7" Type="http://schemas.openxmlformats.org/officeDocument/2006/relationships/header" Target="header3.xml" /><Relationship Id="rId8" Type="http://schemas.openxmlformats.org/officeDocument/2006/relationships/header" Target="header4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2023-10-11T12:30:34Z</dcterms:created>
  <dcterms:modified xsi:type="dcterms:W3CDTF">2023-10-11T12:30:34Z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2023-10-11T00:00:00Z</vt:filetime>
  </property>
</Properties>
</file>